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78" w:rsidRPr="005F430B" w:rsidRDefault="00003478" w:rsidP="005F430B">
      <w:pPr>
        <w:pStyle w:val="ChapterHeading"/>
      </w:pPr>
      <w:bookmarkStart w:id="0" w:name="_Toc336592939"/>
      <w:r w:rsidRPr="005F430B">
        <w:t>Appendix D. Ongoing Clinical Trials of Interventions for Hepatitis C Infection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2531"/>
        <w:gridCol w:w="2700"/>
        <w:gridCol w:w="1080"/>
        <w:gridCol w:w="5328"/>
      </w:tblGrid>
      <w:tr w:rsidR="002015F9" w:rsidRPr="005F430B" w:rsidTr="005F430B">
        <w:trPr>
          <w:cantSplit/>
          <w:tblHeader/>
        </w:trPr>
        <w:tc>
          <w:tcPr>
            <w:tcW w:w="1537" w:type="dxa"/>
            <w:vAlign w:val="bottom"/>
          </w:tcPr>
          <w:p w:rsidR="002015F9" w:rsidRPr="005F430B" w:rsidRDefault="002015F9" w:rsidP="005F430B">
            <w:pPr>
              <w:pStyle w:val="ChapterHeading"/>
              <w:spacing w:after="0"/>
              <w:rPr>
                <w:rFonts w:cs="Arial"/>
                <w:b w:val="0"/>
                <w:bCs w:val="0"/>
                <w:color w:val="000000"/>
                <w:sz w:val="18"/>
                <w:szCs w:val="18"/>
              </w:rPr>
            </w:pPr>
            <w:r w:rsidRPr="005F430B">
              <w:rPr>
                <w:rFonts w:cs="Arial"/>
                <w:color w:val="000000"/>
                <w:sz w:val="18"/>
                <w:szCs w:val="18"/>
              </w:rPr>
              <w:t>NCT Number</w:t>
            </w:r>
          </w:p>
        </w:tc>
        <w:tc>
          <w:tcPr>
            <w:tcW w:w="2531" w:type="dxa"/>
            <w:vAlign w:val="bottom"/>
          </w:tcPr>
          <w:p w:rsidR="002015F9" w:rsidRPr="005F430B" w:rsidRDefault="002015F9" w:rsidP="005F430B">
            <w:pPr>
              <w:pStyle w:val="ChapterHeading"/>
              <w:spacing w:after="0"/>
              <w:rPr>
                <w:rFonts w:cs="Arial"/>
                <w:b w:val="0"/>
                <w:bCs w:val="0"/>
                <w:color w:val="000000"/>
                <w:sz w:val="18"/>
                <w:szCs w:val="18"/>
              </w:rPr>
            </w:pPr>
            <w:r w:rsidRPr="005F430B">
              <w:rPr>
                <w:rFonts w:cs="Arial"/>
                <w:color w:val="000000"/>
                <w:sz w:val="18"/>
                <w:szCs w:val="18"/>
              </w:rPr>
              <w:t>Study Titles</w:t>
            </w:r>
          </w:p>
        </w:tc>
        <w:tc>
          <w:tcPr>
            <w:tcW w:w="2700" w:type="dxa"/>
            <w:vAlign w:val="bottom"/>
          </w:tcPr>
          <w:p w:rsidR="002015F9" w:rsidRPr="005F430B" w:rsidRDefault="002015F9" w:rsidP="005F430B">
            <w:pPr>
              <w:pStyle w:val="ChapterHeading"/>
              <w:spacing w:after="0"/>
              <w:rPr>
                <w:rFonts w:cs="Arial"/>
                <w:b w:val="0"/>
                <w:bCs w:val="0"/>
                <w:color w:val="000000"/>
                <w:sz w:val="18"/>
                <w:szCs w:val="18"/>
              </w:rPr>
            </w:pPr>
            <w:r w:rsidRPr="005F430B">
              <w:rPr>
                <w:rFonts w:cs="Arial"/>
                <w:color w:val="000000"/>
                <w:sz w:val="18"/>
                <w:szCs w:val="18"/>
              </w:rPr>
              <w:t>Interventions</w:t>
            </w:r>
          </w:p>
        </w:tc>
        <w:tc>
          <w:tcPr>
            <w:tcW w:w="1080" w:type="dxa"/>
            <w:vAlign w:val="center"/>
          </w:tcPr>
          <w:p w:rsidR="002015F9" w:rsidRPr="005F430B" w:rsidRDefault="002015F9" w:rsidP="005F430B">
            <w:pPr>
              <w:pStyle w:val="ChapterHeading"/>
              <w:spacing w:after="0"/>
              <w:rPr>
                <w:rFonts w:cs="Arial"/>
                <w:b w:val="0"/>
                <w:bCs w:val="0"/>
                <w:color w:val="000000"/>
                <w:sz w:val="18"/>
                <w:szCs w:val="18"/>
              </w:rPr>
            </w:pPr>
            <w:r w:rsidRPr="005F430B">
              <w:rPr>
                <w:rFonts w:cs="Arial"/>
                <w:color w:val="000000"/>
                <w:sz w:val="18"/>
                <w:szCs w:val="18"/>
              </w:rPr>
              <w:t>Age Groups</w:t>
            </w:r>
          </w:p>
        </w:tc>
        <w:tc>
          <w:tcPr>
            <w:tcW w:w="5328" w:type="dxa"/>
            <w:vAlign w:val="bottom"/>
          </w:tcPr>
          <w:p w:rsidR="002015F9" w:rsidRPr="005F430B" w:rsidRDefault="002015F9" w:rsidP="005F430B">
            <w:pPr>
              <w:pStyle w:val="ChapterHeading"/>
              <w:spacing w:after="0"/>
              <w:rPr>
                <w:rFonts w:cs="Arial"/>
                <w:b w:val="0"/>
                <w:bCs w:val="0"/>
                <w:color w:val="000000"/>
                <w:sz w:val="18"/>
                <w:szCs w:val="18"/>
              </w:rPr>
            </w:pPr>
            <w:r w:rsidRPr="005F430B">
              <w:rPr>
                <w:rFonts w:cs="Arial"/>
                <w:color w:val="000000"/>
                <w:sz w:val="18"/>
                <w:szCs w:val="18"/>
              </w:rPr>
              <w:t>Outcome Measures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NCT00485342</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Multicentric, Controlled and Randomised Open Clinical Trial Investigating the Efficacy and Safety of Dose Adaptation of Ribavirin Using Pharmacologic Measures of Ribavirin Exposition During Combination Peginterferon Alfa-2 and Ribavirin Treatment in Naive Patients With Chronic Hepatitis C of Genotype 1 on a First Combination Therapy.</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 and 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 with adaptation dose</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Inter group comparison of SVR rates as defined by the proportion of subjects with a negative PCR HCV RNA test at Week 72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endpoints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endpoints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Economic endpoints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NCT00491244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Pegylated Interferon Alfa-2a Plus Low Dose Ribavirin Versus Pegylated Interferon Alfa-2a Alone for Treatment-naïve Dialysis Patients With Chronic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Low-dose ribavirin </w:t>
            </w:r>
          </w:p>
          <w:p w:rsidR="002015F9" w:rsidRPr="005F430B" w:rsidRDefault="002015F9" w:rsidP="005F430B">
            <w:pPr>
              <w:pStyle w:val="ChapterHeading"/>
              <w:spacing w:after="0"/>
              <w:rPr>
                <w:rFonts w:cs="Arial"/>
                <w:b w:val="0"/>
                <w:color w:val="000000"/>
                <w:sz w:val="18"/>
                <w:szCs w:val="18"/>
              </w:rPr>
            </w:pP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Drop-out rate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Histologic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Biochemical response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NCT00540345</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Four Arms, Multicenter, Open Label Study of Tailored Regimens With Peginterferon Plus Ribavirin for Genotype 2 Chronic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 rapid virologic response, HCV RNA seronegative by PCR at week 4 SVR, HCV RNA seronegative by PCR throughout 24-week off-treatment period</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 adverse event rate and profile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NCT00780416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Study of MP-424 in Combination With Peginterferon Alfa-2b and Ribavirin, in Treatment-Naïve Subjects With Genotype 1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MP-424 </w:t>
            </w:r>
          </w:p>
          <w:p w:rsidR="002015F9" w:rsidRPr="005F430B" w:rsidRDefault="002015F9" w:rsidP="005F430B">
            <w:pPr>
              <w:pStyle w:val="ChapterHeading"/>
              <w:spacing w:after="0"/>
              <w:rPr>
                <w:rFonts w:cs="Arial"/>
                <w:b w:val="0"/>
                <w:color w:val="000000"/>
                <w:sz w:val="18"/>
                <w:szCs w:val="18"/>
              </w:rPr>
            </w:pPr>
            <w:r w:rsidRPr="005F430B">
              <w:rPr>
                <w:rFonts w:cs="Arial"/>
                <w:b w:val="0"/>
                <w:sz w:val="18"/>
                <w:szCs w:val="18"/>
              </w:rPr>
              <w:t>Pegylated interferon alfa</w:t>
            </w:r>
            <w:r w:rsidRPr="005F430B">
              <w:rPr>
                <w:rFonts w:cs="Arial"/>
                <w:b w:val="0"/>
                <w:color w:val="000000"/>
                <w:sz w:val="18"/>
                <w:szCs w:val="18"/>
              </w:rPr>
              <w:t>-2b</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tc>
        <w:tc>
          <w:tcPr>
            <w:tcW w:w="5328" w:type="dxa"/>
          </w:tcPr>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The percentage of subjects achieving undetectable HCV</w:t>
            </w:r>
            <w:r w:rsidR="00C37560" w:rsidRPr="005F430B">
              <w:rPr>
                <w:rFonts w:cs="Arial"/>
                <w:b w:val="0"/>
                <w:color w:val="000000"/>
                <w:sz w:val="18"/>
                <w:szCs w:val="18"/>
              </w:rPr>
              <w:t xml:space="preserve"> </w:t>
            </w:r>
            <w:r w:rsidRPr="005F430B">
              <w:rPr>
                <w:rFonts w:cs="Arial"/>
                <w:b w:val="0"/>
                <w:color w:val="000000"/>
                <w:sz w:val="18"/>
                <w:szCs w:val="18"/>
              </w:rPr>
              <w:t>RNA at 24 weeks after treatment completion (SVR)</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NCT01197157</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Impact of Nitazoxanide on Virologic Responses in Chronic HCV Infected Patients With Genotype 4: A Placebo-controlled Randomized Trial.</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Nitazoxanide</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Assessment of efficacy of nitazoxanide as an add-on therapy in terms of achieving a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Assessment of rapid virologic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Assessment of early virologic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Assessment of end-of-treatment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of nitazoxanide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Assessment of the efficacy of nitazoxanide monotherapy following the lead-in phase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NCT01241760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Randomized, Open-label, Phase 3 Study of Telaprevir Administered Twice Daily or Every 8 Hours in Combination With Pegylated Interferon Alfa-2a and Ribavirin in Treatment-naive Subjects With Genotype 1 Chronic Hepatitis C Virus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Telaprevir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Proportion of patients achieving undetectable plasma HCV RNA levels</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Safety and tolerability of the two dose regimens of telaprevir</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Effect of IL28B genotype on viral response</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Pharmacokinetics of telaprevir, pegylated interferonalpha-2a, and Ribavirin and pharmacokinetic-pharmacodynamic relationships for safety and efficacy</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Changes from baseline in the amino acid sequence of the HCV non-structural 3-4A region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NCT01263860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Randomized Trial of 24-Week Versus 48-Week Courses of Peginterferon Plus.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Change in health related quality as measured by Short Form 36 from baseline to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Sick leave in patients treated for 24 or 48 weeks treatment</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sz w:val="18"/>
                <w:szCs w:val="18"/>
              </w:rPr>
            </w:pPr>
            <w:r w:rsidRPr="005F430B">
              <w:rPr>
                <w:rFonts w:cs="Arial"/>
                <w:b w:val="0"/>
                <w:sz w:val="18"/>
                <w:szCs w:val="18"/>
              </w:rPr>
              <w:t>NCT01276756</w:t>
            </w:r>
          </w:p>
        </w:tc>
        <w:tc>
          <w:tcPr>
            <w:tcW w:w="2531" w:type="dxa"/>
          </w:tcPr>
          <w:p w:rsidR="002015F9" w:rsidRPr="005F430B" w:rsidRDefault="002015F9" w:rsidP="005F430B">
            <w:pPr>
              <w:jc w:val="center"/>
              <w:rPr>
                <w:rFonts w:ascii="Arial" w:hAnsi="Arial" w:cs="Arial"/>
                <w:sz w:val="18"/>
                <w:szCs w:val="18"/>
              </w:rPr>
            </w:pPr>
            <w:r w:rsidRPr="005F430B">
              <w:rPr>
                <w:rFonts w:ascii="Arial" w:hAnsi="Arial" w:cs="Arial"/>
                <w:sz w:val="18"/>
                <w:szCs w:val="18"/>
              </w:rPr>
              <w:t>Randomized Study for the Assessment of Nitazoxanide in the Treatment of Chronic Hepatitis C Genotype 4.</w:t>
            </w:r>
          </w:p>
        </w:tc>
        <w:tc>
          <w:tcPr>
            <w:tcW w:w="2700" w:type="dxa"/>
          </w:tcPr>
          <w:p w:rsidR="002015F9" w:rsidRPr="005F430B" w:rsidRDefault="002015F9" w:rsidP="005F430B">
            <w:pPr>
              <w:pStyle w:val="ChapterHeading"/>
              <w:spacing w:after="0"/>
              <w:rPr>
                <w:rFonts w:cs="Arial"/>
                <w:b w:val="0"/>
                <w:sz w:val="18"/>
                <w:szCs w:val="18"/>
              </w:rPr>
            </w:pPr>
            <w:r w:rsidRPr="005F430B">
              <w:rPr>
                <w:rFonts w:cs="Arial"/>
                <w:b w:val="0"/>
                <w:color w:val="000000"/>
                <w:sz w:val="18"/>
                <w:szCs w:val="18"/>
              </w:rPr>
              <w:t>Pegylated interferon alfa-</w:t>
            </w:r>
            <w:r w:rsidRPr="005F430B">
              <w:rPr>
                <w:rFonts w:cs="Arial"/>
                <w:b w:val="0"/>
                <w:sz w:val="18"/>
                <w:szCs w:val="18"/>
              </w:rPr>
              <w:t xml:space="preserve">2a </w:t>
            </w:r>
          </w:p>
          <w:p w:rsidR="002015F9" w:rsidRPr="005F430B" w:rsidRDefault="002015F9" w:rsidP="005F430B">
            <w:pPr>
              <w:pStyle w:val="ChapterHeading"/>
              <w:spacing w:after="0"/>
              <w:rPr>
                <w:rFonts w:cs="Arial"/>
                <w:b w:val="0"/>
                <w:sz w:val="18"/>
                <w:szCs w:val="18"/>
              </w:rPr>
            </w:pPr>
            <w:r w:rsidRPr="005F430B">
              <w:rPr>
                <w:rFonts w:cs="Arial"/>
                <w:b w:val="0"/>
                <w:sz w:val="18"/>
                <w:szCs w:val="18"/>
              </w:rPr>
              <w:t>Ribavirin</w:t>
            </w:r>
          </w:p>
          <w:p w:rsidR="002015F9" w:rsidRPr="005F430B" w:rsidRDefault="002015F9" w:rsidP="005F430B">
            <w:pPr>
              <w:pStyle w:val="ChapterHeading"/>
              <w:spacing w:after="0"/>
              <w:rPr>
                <w:rFonts w:cs="Arial"/>
                <w:b w:val="0"/>
                <w:sz w:val="18"/>
                <w:szCs w:val="18"/>
              </w:rPr>
            </w:pPr>
            <w:r w:rsidRPr="005F430B">
              <w:rPr>
                <w:rFonts w:cs="Arial"/>
                <w:b w:val="0"/>
                <w:sz w:val="18"/>
                <w:szCs w:val="18"/>
              </w:rPr>
              <w:t>Nitazoxanide</w:t>
            </w:r>
          </w:p>
        </w:tc>
        <w:tc>
          <w:tcPr>
            <w:tcW w:w="1080" w:type="dxa"/>
          </w:tcPr>
          <w:p w:rsidR="002015F9" w:rsidRPr="005F430B" w:rsidRDefault="002015F9" w:rsidP="005F430B">
            <w:pPr>
              <w:pStyle w:val="ChapterHeading"/>
              <w:spacing w:after="0"/>
              <w:rPr>
                <w:rFonts w:cs="Arial"/>
                <w:b w:val="0"/>
                <w:sz w:val="18"/>
                <w:szCs w:val="18"/>
              </w:rPr>
            </w:pPr>
            <w:r w:rsidRPr="005F430B">
              <w:rPr>
                <w:rFonts w:cs="Arial"/>
                <w:b w:val="0"/>
                <w:sz w:val="18"/>
                <w:szCs w:val="18"/>
              </w:rPr>
              <w:t>Adult</w:t>
            </w:r>
          </w:p>
        </w:tc>
        <w:tc>
          <w:tcPr>
            <w:tcW w:w="5328" w:type="dxa"/>
          </w:tcPr>
          <w:p w:rsidR="002015F9" w:rsidRPr="005F430B" w:rsidRDefault="002015F9" w:rsidP="005F430B">
            <w:pPr>
              <w:pStyle w:val="ChapterHeading"/>
              <w:spacing w:after="0"/>
              <w:rPr>
                <w:rFonts w:cs="Arial"/>
                <w:b w:val="0"/>
                <w:sz w:val="18"/>
                <w:szCs w:val="18"/>
              </w:rPr>
            </w:pPr>
            <w:r w:rsidRPr="005F430B">
              <w:rPr>
                <w:rFonts w:cs="Arial"/>
                <w:b w:val="0"/>
                <w:sz w:val="18"/>
                <w:szCs w:val="18"/>
              </w:rPr>
              <w:t>SVR</w:t>
            </w:r>
          </w:p>
          <w:p w:rsidR="002015F9" w:rsidRPr="005F430B" w:rsidRDefault="002015F9" w:rsidP="005F430B">
            <w:pPr>
              <w:pStyle w:val="ChapterHeading"/>
              <w:spacing w:after="0"/>
              <w:rPr>
                <w:rFonts w:cs="Arial"/>
                <w:b w:val="0"/>
                <w:sz w:val="18"/>
                <w:szCs w:val="18"/>
              </w:rPr>
            </w:pPr>
            <w:r w:rsidRPr="005F430B">
              <w:rPr>
                <w:rFonts w:cs="Arial"/>
                <w:b w:val="0"/>
                <w:sz w:val="18"/>
                <w:szCs w:val="18"/>
              </w:rPr>
              <w:t>Rapid virologic response</w:t>
            </w:r>
          </w:p>
          <w:p w:rsidR="002015F9" w:rsidRPr="005F430B" w:rsidRDefault="002015F9" w:rsidP="005F430B">
            <w:pPr>
              <w:pStyle w:val="ChapterHeading"/>
              <w:spacing w:after="0"/>
              <w:rPr>
                <w:rFonts w:cs="Arial"/>
                <w:b w:val="0"/>
                <w:sz w:val="18"/>
                <w:szCs w:val="18"/>
              </w:rPr>
            </w:pPr>
            <w:r w:rsidRPr="005F430B">
              <w:rPr>
                <w:rFonts w:cs="Arial"/>
                <w:b w:val="0"/>
                <w:sz w:val="18"/>
                <w:szCs w:val="18"/>
              </w:rPr>
              <w:t>Early virologic response</w:t>
            </w:r>
          </w:p>
          <w:p w:rsidR="002015F9" w:rsidRPr="005F430B" w:rsidRDefault="002015F9" w:rsidP="005F430B">
            <w:pPr>
              <w:pStyle w:val="ChapterHeading"/>
              <w:spacing w:after="0"/>
              <w:rPr>
                <w:rFonts w:cs="Arial"/>
                <w:b w:val="0"/>
                <w:sz w:val="18"/>
                <w:szCs w:val="18"/>
              </w:rPr>
            </w:pPr>
            <w:r w:rsidRPr="005F430B">
              <w:rPr>
                <w:rFonts w:cs="Arial"/>
                <w:b w:val="0"/>
                <w:sz w:val="18"/>
                <w:szCs w:val="18"/>
              </w:rPr>
              <w:t>End-of-treatment response</w:t>
            </w:r>
          </w:p>
          <w:p w:rsidR="002015F9" w:rsidRPr="005F430B" w:rsidRDefault="002015F9" w:rsidP="005F430B">
            <w:pPr>
              <w:pStyle w:val="ChapterHeading"/>
              <w:spacing w:after="0"/>
              <w:rPr>
                <w:rFonts w:cs="Arial"/>
                <w:b w:val="0"/>
                <w:sz w:val="18"/>
                <w:szCs w:val="18"/>
              </w:rPr>
            </w:pPr>
            <w:r w:rsidRPr="005F430B">
              <w:rPr>
                <w:rFonts w:cs="Arial"/>
                <w:b w:val="0"/>
                <w:sz w:val="18"/>
                <w:szCs w:val="18"/>
              </w:rPr>
              <w:t>Safety of nitazoxanide (occurrence of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NCT01289782</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Randomized, Double-blind, Placebo-controlled Study to Investigate the Efficacy, Safety, and Tolerability of S</w:t>
            </w:r>
            <w:r w:rsidR="00ED667D" w:rsidRPr="005F430B">
              <w:rPr>
                <w:rFonts w:ascii="Arial" w:hAnsi="Arial" w:cs="Arial"/>
                <w:color w:val="000000"/>
                <w:sz w:val="18"/>
                <w:szCs w:val="18"/>
              </w:rPr>
              <w:t>imeprevir</w:t>
            </w:r>
            <w:r w:rsidRPr="005F430B">
              <w:rPr>
                <w:rFonts w:ascii="Arial" w:hAnsi="Arial" w:cs="Arial"/>
                <w:color w:val="000000"/>
                <w:sz w:val="18"/>
                <w:szCs w:val="18"/>
              </w:rPr>
              <w:t xml:space="preserve"> vs. Placebo as Part of a Treatment Regimen Including Peginterferon Alfa-2a and Ribavirin in Treatment-naive, Genotype 1 Hepatitis C-infected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Simeprevir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with a SVR 12 weeks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NCT01290679</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Phase III, Double-blind, Placebo-controlled Study to Investigate the Efficacy, Safety, and Tolerability of S</w:t>
            </w:r>
            <w:r w:rsidR="00ED667D" w:rsidRPr="005F430B">
              <w:rPr>
                <w:rFonts w:ascii="Arial" w:hAnsi="Arial" w:cs="Arial"/>
                <w:color w:val="000000"/>
                <w:sz w:val="18"/>
                <w:szCs w:val="18"/>
              </w:rPr>
              <w:t>imeprevir</w:t>
            </w:r>
            <w:r w:rsidRPr="005F430B">
              <w:rPr>
                <w:rFonts w:ascii="Arial" w:hAnsi="Arial" w:cs="Arial"/>
                <w:color w:val="000000"/>
                <w:sz w:val="18"/>
                <w:szCs w:val="18"/>
              </w:rPr>
              <w:t xml:space="preserve"> vs Placebo as Part of a Treatment Regimen Including Peginterferon a-2a and Ribavirin or Peginterferon a-2b and Ribavirin in Treatment-naive, Genotype 1 Hepatitis C-infected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Simprevir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alfa-2b</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with SVR 12 weeks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NCT01297270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Randomized, Double Blind and Placebo Controlled Study of Once Daily BI 201335 120 mg for 24 Weeks and BI 201335 240 mg for 12 Weeks in Combination With Pegylated Interferon Alpha and Ribavirin in Treatment Naive Patients With Genotype 1 Chronic Hepatitis C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BI201335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Plasma HCV RNA level &lt;25 IU/mL, undetected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Occurrence of adverse events (overall, and classified into mild/moderate/severe)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Occurrence of adverse events leading to treatment discontinuation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Occurrence of serious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Occurrence of drug-related adverse events as assessed by the investigator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Occurrence of laboratory test abnormalities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Central tendency and changes from baseline in laboratory test values over time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Plasma HCV RNA level &lt; 25 IU/mL, undetected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 Early treatment success: - Plasma HCV RNA level &lt; 25 IU/mL (detected or undetected) at week 4 and HCV RNA &lt; 25 IU/mL, undetected at week 8</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 Alanine aminotransferase normalization: in normal range 24 weeks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NCT01318694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Randomized, Double-blind, Placebo-controlled Trial of the Efficacy and Safety of DEB025/Alisporivir in Combination With Peg-IFNα2a and Ribavirin in Hepatitis C Genotype 1 Treatment-naïve.</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Standard of care (Pegylated interferon alfa-2a once weekly + Ribavirin twice daily) + DEB025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Standard of care + DEB025 400 mg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Standard of care + DEB025</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Standard of care + Placebo for 48 weeks</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 defined as serum HCV RNA below limit of quantification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week 24 - -duration of DEB025+Ribavirin+ pegylated interferon alfa-2a therapy followed by Ribavirin+pegylated interferon alfa-2a therapy for up to 48 weeks needed to achieve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Rapid virologic response by limit of detection, rapid virologic response by limit of quantification, - defined as serum HCV RNA below limit of detection or limit of quantification respectively after 4 weeks of treatment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response at 12 weeks - defined as HCV RNA undetectable by limit of detection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End of treatment response - defined as HCV RNA undetectable by limit of detection, SVR 48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Change in liver enzyme (alainine aminotransferase and bilirubin) and hematological patient profiles (platelets, neutrophils, hemoglobin) during treatment phase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NCT01323244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Open-Label, Single Arm, Rollover Trial of S</w:t>
            </w:r>
            <w:r w:rsidR="00ED667D" w:rsidRPr="005F430B">
              <w:rPr>
                <w:rFonts w:ascii="Arial" w:hAnsi="Arial" w:cs="Arial"/>
                <w:color w:val="000000"/>
                <w:sz w:val="18"/>
                <w:szCs w:val="18"/>
              </w:rPr>
              <w:t>imeprevir</w:t>
            </w:r>
            <w:r w:rsidRPr="005F430B">
              <w:rPr>
                <w:rFonts w:ascii="Arial" w:hAnsi="Arial" w:cs="Arial"/>
                <w:color w:val="000000"/>
                <w:sz w:val="18"/>
                <w:szCs w:val="18"/>
              </w:rPr>
              <w:t xml:space="preserve"> in Combination With Peginterferon Alpha-2A and Ribavirin for HCV Genotype-1 Infected Subjects Who Participated in the Placebo Group of a Phase II/III S</w:t>
            </w:r>
            <w:r w:rsidR="00ED667D" w:rsidRPr="005F430B">
              <w:rPr>
                <w:rFonts w:ascii="Arial" w:hAnsi="Arial" w:cs="Arial"/>
                <w:color w:val="000000"/>
                <w:sz w:val="18"/>
                <w:szCs w:val="18"/>
              </w:rPr>
              <w:t>imeprevir</w:t>
            </w:r>
            <w:r w:rsidRPr="005F430B">
              <w:rPr>
                <w:rFonts w:ascii="Arial" w:hAnsi="Arial" w:cs="Arial"/>
                <w:color w:val="000000"/>
                <w:sz w:val="18"/>
                <w:szCs w:val="18"/>
              </w:rPr>
              <w:t xml:space="preserve"> Study, or Who Received DAA Treatment in a Tibotec-Sponsored Phase I Study.</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w:t>
            </w:r>
            <w:r w:rsidR="00ED667D" w:rsidRPr="005F430B">
              <w:rPr>
                <w:rFonts w:cs="Arial"/>
                <w:b w:val="0"/>
                <w:color w:val="000000"/>
                <w:sz w:val="18"/>
                <w:szCs w:val="18"/>
              </w:rPr>
              <w:t>imeprevir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with SVR 12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with SVR 24</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HCV RNA level &gt;1000 IU/mL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viral breakthrough</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viral relapse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normalized alanine aminotransferase levels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on-treatment failure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affected by an adverse event</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NCT01343888</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Randomised, Double-blind and Placebo-controlled Study of Once Daily BI 201335 120 mg for 12 or 24 Weeks or BI 201335 240 mg for 12 Weeks in Combination With Pegylated interferon-a and Ribavirin in Treatment-naïve Patients With Genotype 1 Chronic Hepatitis C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BI 201335</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after 12 weeks of</w:t>
            </w:r>
            <w:r w:rsidR="00C37560" w:rsidRPr="005F430B">
              <w:rPr>
                <w:rFonts w:cs="Arial"/>
                <w:b w:val="0"/>
                <w:color w:val="000000"/>
                <w:sz w:val="18"/>
                <w:szCs w:val="18"/>
              </w:rPr>
              <w:t xml:space="preserve"> </w:t>
            </w:r>
            <w:r w:rsidRPr="005F430B">
              <w:rPr>
                <w:rFonts w:cs="Arial"/>
                <w:b w:val="0"/>
                <w:color w:val="000000"/>
                <w:sz w:val="18"/>
                <w:szCs w:val="18"/>
              </w:rPr>
              <w:t xml:space="preserve">treatment completion: Plasma HCV RNA level &lt; 25 IU/mL, undetected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SVR after 24 weeks of treatment completion: Plasma HCV RNA level &lt; 25 IU/mL, undetected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Early treatment success: Plasma HCV RNA level &lt; 25 IU/mL (detected or undetected) at week 4 and HCV RNA &lt; 25 IU/mL undetected at week 8</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Alanine aminotransferase and aspartate aminotransferase normalization: in normal range at end of treatment and post-treatment</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NCT01344889</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Global Observational Cohort Study on the Prediction of Unwanted Adverse Effects in Individuals Infected With Chronic Hepatitis C Receiving a Long Acting Interferon Plus Ribavirin.</w:t>
            </w:r>
          </w:p>
        </w:tc>
        <w:tc>
          <w:tcPr>
            <w:tcW w:w="2700"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Long-acting interferons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baseline patient characteristics and safety related dose reductions/treatment discontinuations of the long-acting interferon or 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safety related dose reductions/treatment discontinuations and SVR, defined as HCV RNA &lt;50 IU/mL at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of on-treatment factors and dose reduction/treatment discontinuation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degree of dose reductions/treatment interruptions (percentage of actual exposure/treatment administrations in relation to target exposure) and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Comparison of on-treatment virological response (rapid virological response, early virological response) in treatment-naive and treatment experienced patients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Incidence of adverse events</w:t>
            </w:r>
          </w:p>
        </w:tc>
      </w:tr>
      <w:tr w:rsidR="002015F9" w:rsidRPr="005F430B" w:rsidTr="005F430B">
        <w:trPr>
          <w:cantSplit/>
        </w:trPr>
        <w:tc>
          <w:tcPr>
            <w:tcW w:w="1537"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NCT01364090</w:t>
            </w:r>
          </w:p>
        </w:tc>
        <w:tc>
          <w:tcPr>
            <w:tcW w:w="2531" w:type="dxa"/>
            <w:shd w:val="clear" w:color="auto" w:fill="auto"/>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IV, Open-label, Multicentre, International Trial of Response Guided Treatment With Directly Observed Pegylated Interferon Alfa 2b and Self Administered Ribavirin for Patients With Chronic HCV Genotype 2 or 3 and Ongoing Injection Drug Use.</w:t>
            </w:r>
          </w:p>
        </w:tc>
        <w:tc>
          <w:tcPr>
            <w:tcW w:w="2700"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alfa-2b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efficacy</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and tolerability</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adherence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response,</w:t>
            </w:r>
            <w:r w:rsidR="00C37560" w:rsidRPr="005F430B">
              <w:rPr>
                <w:rFonts w:cs="Arial"/>
                <w:b w:val="0"/>
                <w:color w:val="000000"/>
                <w:sz w:val="18"/>
                <w:szCs w:val="18"/>
              </w:rPr>
              <w:t xml:space="preserve"> </w:t>
            </w:r>
            <w:r w:rsidRPr="005F430B">
              <w:rPr>
                <w:rFonts w:cs="Arial"/>
                <w:b w:val="0"/>
                <w:color w:val="000000"/>
                <w:sz w:val="18"/>
                <w:szCs w:val="18"/>
              </w:rPr>
              <w:t>(end of treatment and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Behavioral and quality of Life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NCT01370642</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Randomized, Placebo-controlled Study to Evaluate the Safety, Tolerability, and Efficacy of MK-7009 When Administered Concomitantly With Peginterferon Alfa-2b and Ribavirin in Japanese Treatment-Naïve Patients With Chronic Hepatitis C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Vaniprevir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w:t>
            </w:r>
            <w:r w:rsidR="00C37560" w:rsidRPr="005F430B">
              <w:rPr>
                <w:rFonts w:cs="Arial"/>
                <w:b w:val="0"/>
                <w:color w:val="000000"/>
                <w:sz w:val="18"/>
                <w:szCs w:val="18"/>
              </w:rPr>
              <w:t xml:space="preserve">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alfa-2b</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achieving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achieving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achieving rapid virologic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achieving complete early virologic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achieving undetectable HCV RNA at the end of treatment</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NCT01389323</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Open-Label, Single Arm Evaluation of BMS-790052 in Combination With Peg-Interferon Alfa-2a and Ribavirin in Black-African Americans, Latinos and White-Caucasians With Chronic Hepatitis C Genotype 1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BMS-790052 (NS5A Replication Complex Inhibitor)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 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SVR 12 weeks after treatment completion, defined as HCV RNA &lt; limit of quantification (detectable or undetectable) for each cohort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Frequency of serious adverse events and discontinuations due to adverse events for each cohort and overall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CC, CT, or TT genotype at the IL28B rs12979860 single nucleotide polymorphism</w:t>
            </w:r>
            <w:r w:rsidR="00C37560" w:rsidRPr="005F430B">
              <w:rPr>
                <w:rFonts w:cs="Arial"/>
                <w:b w:val="0"/>
                <w:color w:val="000000"/>
                <w:sz w:val="18"/>
                <w:szCs w:val="18"/>
              </w:rPr>
              <w:t xml:space="preserve"> </w:t>
            </w:r>
            <w:r w:rsidRPr="005F430B">
              <w:rPr>
                <w:rFonts w:cs="Arial"/>
                <w:b w:val="0"/>
                <w:color w:val="000000"/>
                <w:sz w:val="18"/>
                <w:szCs w:val="18"/>
              </w:rPr>
              <w:t>who achieves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HCV RNA &lt; limit of quantification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HCV RNA undetectable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NCT01405027</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Boceprevir in Community Practice: Assessing Safety, Efficacy, Compliance and Quality of Life, Impact of an Education Program.</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Educational Intervention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No Intervention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duration compliance rate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Dose exposure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SVR defined as undetectable plasma HCV RNA at followup week 24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Quality of life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with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NCT01446250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Randomized, Open Label Trial of the Safety and Efficacy of DEB025/Alisporivir in Combination With Pegylated Interferon-α2a and Ribavirin (Peg-INFα2a/RBV) and Boceprevir in Combination With Peg-INFα2a/RBV in African American Treatment-naϊve Patients With Chronic Hepatitis C Genotype 1.</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DEB025 plus pegylated interferon alfa-2a and Ribavirin fixed duration treatment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DEB025 plus pegylated interferon alfa-2a and Ribavirin response guided treatment duration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 plus pegylated interferon alfa-2a and Ribavirin per label response guided treatment</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that discontinue study drug or require dose reduction or dose interruption due to treatment-emergent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with emergence of resistant mutations in each treatment arm</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that achieve SVR, defined as serum HCV RNA undetectable by limit of detection 24 weeks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NCT01447420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Clinical Study to Compare Sustained Virological Response in Function of Expression Profile of IL28-b in naïve Patients With Chronic Infection by HCV Genotype 1, With Hepatitis C, Receiving Pegasys and Ribavirin.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Rate of SVR (undetectable HCV RNA 24 weeks after treatment completion) in relation to Interleukin 28B (IL28-b) expression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Incidence of anemia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Response rate (rapid/early/end of treatment) in relation to IL28-b expression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SVR and anemia (hemoglobin levels) during the first month of treatment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SVR and anemia (hemoglobin levels) after the first month of treatment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between viral load (HCV RNA levels) 12 weeks after treatment completion and SVR</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NCT01448044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Evaluation of BMS-790052 in Combination With Peg-Interferon Alfa-2a and Ribavirin in Treatment Naive Subjects With Chronic Hepatitis C Genotype 4.</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BMS-790052 (NS5A Replication Complex Inhibitor)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 matching BMS-790052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Compare rates of SVR 12 weeks after treatment completion for HCV genotype 4 subjects treated with either BMS-790052 or placebo in combination with pegylated interferon ± alfa2a/Ribavirin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HCV RNA &lt; limit of quantification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HCV RNA undetectable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Frequency of serious adverse events and discontinuations due to adverse events for each cohort on treatment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SVR 12 or 24 weeks after treatment completion by rs12979860 single nucleotide polymorphism in the IL28B gene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NCT01457937</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Boceprevir/Peginterferon Alfa (PegIFN α)-2b/Ribavirin (Riba) in Difficult-to-Treat Menopausal Women With Chronic Hepatitis C Genotype 1 (Gt 1), Either Deemed Nonresponders to Peginterferon/Ribavirin or Treatment-naives (MEN_BOC).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Child</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Improvement of SVR in previous treatment failure or naive HCV-positive menopausal women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Early virologic response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NCT01459913</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3b Study of 2 Treatment Durations of Telaprevir, Peg-IFN (Pegasys®), and Ribavirin (Copegus®) in Treatment-Naive and Prior Relapser Subjects With Genotype 1 Chronic Hepatitis C and IL28B CC Genotype.</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Telaprevir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Proportion of subjects assigned to the 12-week regimen of telaprevir, pegylated interferon, and Ribavirin who have SVR 12 weeks after treatment completion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SVR at week 72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relapse overall and by treatment completion status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on-treatment virologic failure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as indicated by adverse events, clinical laboratory results, electrocardiograms, and vital signs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Amino acid sequence of the HCV non-structural 3-4A protease domain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NCT01474811</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HCV-TARGET: Hepatitis C Therapeutic Registry and Research Network - A Longitudinal, Observational Study.</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Telaprevir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tc>
        <w:tc>
          <w:tcPr>
            <w:tcW w:w="1080" w:type="dxa"/>
          </w:tcPr>
          <w:p w:rsidR="002015F9" w:rsidRPr="005F430B" w:rsidRDefault="0000782F" w:rsidP="005F430B">
            <w:pPr>
              <w:pStyle w:val="ChapterHeading"/>
              <w:spacing w:after="0"/>
              <w:rPr>
                <w:rFonts w:cs="Arial"/>
                <w:b w:val="0"/>
                <w:color w:val="000000"/>
                <w:sz w:val="18"/>
                <w:szCs w:val="18"/>
              </w:rPr>
            </w:pPr>
            <w:r w:rsidRPr="005F430B">
              <w:rPr>
                <w:rFonts w:cs="Arial"/>
                <w:b w:val="0"/>
                <w:color w:val="000000"/>
                <w:sz w:val="18"/>
                <w:szCs w:val="18"/>
              </w:rPr>
              <w:t>Adult</w:t>
            </w:r>
          </w:p>
          <w:p w:rsidR="0000782F" w:rsidRPr="005F430B" w:rsidRDefault="0000782F"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have 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Virological breakthrough</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Management of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NCT01492426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Evaluation of BMS-790052 (Daclatasvir) Compared With Telaprevir in Combination With Peginterferon Alfa-2a and Ribavirin in Treatment-Naive Patients With Chronic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BMS-790052 (Daclatasvir) Telaprevir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SVR, defined as HCV RNA &lt; limit of quantification at followup week 12 in each group</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hemoglobin value &lt; 10 g/dL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rash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genotype1b patients with HCV RNA undetectable at week 12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HCV RNA undetectable at week 4</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HCV RNA undetectable at Wweeks 4 and 12</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SVR, defined as HCV RNA &lt; limit of quantification at followup week 24 for each cohort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patients with SVR at followup week 12 based on IL28B rs12979860 single nucleotide polymorphism genotype (CC or non-CC)</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1a patients with SVR, defined as HCV RNA &lt; limit of quantification at followup week 12 for each cohort</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NCT01497366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Multicenter, Randomized, Active-Controlled Study to Investigate the Safety and Efficacy of PSI-7977 and Ribavirin for 12 Weeks Compared to Pegylated Interferon and Ribavirin for 24 Weeks in Treatment-Naïve Patients With Chronic Genotype 2 or 3 HCV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PSI-7977 in combination with ribavirin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in combination with 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Description of Safety with PSI-7977 and 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Amount of circulating HCV RNA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Alaine aminotransferase normalization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subjects with virologic failure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Characterization of drug resistance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NCT01497834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Japanese Study of BMS-790052 Plus BMS-650032 Combination Therapy in Chronic Hepatitis C Genotype 1b Infected Subjects Who Are Non Response to Interferon Plus Ribavirin and Interferon Based Therapy Ineligible Naive/Intolerant.</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BMS-790052 (Daclatasvir)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BMS-650032 (Asunaprevir)</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Antiviral activity, as determined by the proportion of subjects with 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Antiviral activity, as determined by the proportion of subjects who achieve HCV RNA &lt; limit of quantification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Antiviral activity, as determined by the proportion of subjects who achieve undetectable HCV RNA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as measured by the frequency of severe adverse events, discontinuations due to adverse events, adverse effects by intensity and laboratory abnormalities by toxicity grade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SVR 24 weeks after treatment by IL28B status (CC, CT, or TT genotype at the IL28B rs12979860 single nucleotide polymorphisms)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NCT01498068</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Open-Label, Bridging Study to Determine Efficacy and Safety of Telaprevir, Pegylated-Interferon-alfa-2a and Ribavirin in Treatment- Naïve and Treatment-Experienced Russian Subjects With Genotype 1 Chronic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Telaprevir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patients having undetectable plasma HCV RNA levels</w:t>
            </w:r>
          </w:p>
          <w:p w:rsidR="002015F9" w:rsidRPr="005F430B" w:rsidRDefault="002015F9" w:rsidP="005F430B">
            <w:pPr>
              <w:pStyle w:val="ChapterHeading"/>
              <w:spacing w:after="0"/>
              <w:rPr>
                <w:rFonts w:cs="Arial"/>
                <w:b w:val="0"/>
                <w:color w:val="000000"/>
                <w:sz w:val="18"/>
                <w:szCs w:val="18"/>
              </w:rPr>
            </w:pP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NCT01508286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Multicenter, Open-label, Early Access Program of Telaprevir in Combination With Peginterferon Alfa and Ribavirin in Genotype 1 Chronic Hepatitis C Subjects With Severe Fibrosis and Compensated Cirrhosis.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Telaprevir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Not reported</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NCT01544920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Safety and Efficacy Study of Boceprevir/Peginterferon Alfa-2a/Ribavirin in Chronic HCV Genotype 1 IL28B CC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Overall number of participants achieving SVR at followup week 24</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achieving SVR at followup week 24 among those participants who had achieved rapid virologic response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NCT01544920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Safety and Efficacy Study of Boceprevir/Peginterferon Alfa-2a/Ribavirin in Chronic HCV Genotype 1 IL28B CC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Overall number of participants achieving SVR at followup week 24</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participants achieving SVR at followup week 24 among those participants who had achieved rapid virologic response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NCT01567735</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An Open-Label, Single-Arm Phase III Study to Evaluate the Efficacy, Safety and Tolerability of S</w:t>
            </w:r>
            <w:r w:rsidR="00ED667D" w:rsidRPr="005F430B">
              <w:rPr>
                <w:rFonts w:ascii="Arial" w:hAnsi="Arial" w:cs="Arial"/>
                <w:color w:val="000000"/>
                <w:sz w:val="18"/>
                <w:szCs w:val="18"/>
              </w:rPr>
              <w:t>imeprevir</w:t>
            </w:r>
            <w:r w:rsidRPr="005F430B">
              <w:rPr>
                <w:rFonts w:ascii="Arial" w:hAnsi="Arial" w:cs="Arial"/>
                <w:color w:val="000000"/>
                <w:sz w:val="18"/>
                <w:szCs w:val="18"/>
              </w:rPr>
              <w:t xml:space="preserve"> in Combination With PegIFN Alfa-2a (Pegasys) and Ribavirin (Copegus) in Treatment-Naïve or Treatment-Experienced, Chronic Hepatitis C Virus Genotype-4 Infected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Simeprevir</w:t>
            </w:r>
          </w:p>
          <w:p w:rsidR="002015F9" w:rsidRPr="005F430B" w:rsidRDefault="002015F9" w:rsidP="005F430B">
            <w:pPr>
              <w:pStyle w:val="ChapterHeading"/>
              <w:spacing w:after="0"/>
              <w:rPr>
                <w:rFonts w:cs="Arial"/>
                <w:b w:val="0"/>
                <w:color w:val="000000"/>
                <w:sz w:val="18"/>
                <w:szCs w:val="18"/>
              </w:rPr>
            </w:pP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participants achieving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Efficacy of </w:t>
            </w:r>
            <w:r w:rsidR="00ED667D" w:rsidRPr="005F430B">
              <w:rPr>
                <w:rFonts w:cs="Arial"/>
                <w:b w:val="0"/>
                <w:color w:val="000000"/>
                <w:sz w:val="18"/>
                <w:szCs w:val="18"/>
              </w:rPr>
              <w:t>simeprevir</w:t>
            </w:r>
            <w:r w:rsidRPr="005F430B">
              <w:rPr>
                <w:rFonts w:cs="Arial"/>
                <w:b w:val="0"/>
                <w:color w:val="000000"/>
                <w:sz w:val="18"/>
                <w:szCs w:val="18"/>
              </w:rPr>
              <w:t xml:space="preserve"> with respect to proportion of participants achieving</w:t>
            </w:r>
            <w:r w:rsidR="00C37560" w:rsidRPr="005F430B">
              <w:rPr>
                <w:rFonts w:cs="Arial"/>
                <w:b w:val="0"/>
                <w:color w:val="000000"/>
                <w:sz w:val="18"/>
                <w:szCs w:val="18"/>
              </w:rPr>
              <w:t xml:space="preserve"> </w:t>
            </w:r>
            <w:r w:rsidRPr="005F430B">
              <w:rPr>
                <w:rFonts w:cs="Arial"/>
                <w:b w:val="0"/>
                <w:color w:val="000000"/>
                <w:sz w:val="18"/>
                <w:szCs w:val="18"/>
              </w:rPr>
              <w:t>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On-treatment virologic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On-treatment virologic failure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Evaluation of the viral breakthrough rate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Evaluation of viral relapse rate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Evaluation the safety and tolerability</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NCT01579474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Safety, Efficacy and Pharmacokinetics of BI 201335 NA in Patient With Genotype 1 Chronic Hepatitis C Virus Infection in Combination With Pegylated Interferon Alfa-2b and Ribavirin - Cohort 1 for Treatment-naive Patients: Randomised, Double-blind Part of BI 201335 NA for 12 or 24 Weeks - Cohort 2 for Treatment-experienced Patients: Open-label Part of BI 201335 NA for 24 Weeks.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BI 201335 high dose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BI201335 low dose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alfa-2b</w:t>
            </w:r>
          </w:p>
          <w:p w:rsidR="002015F9" w:rsidRPr="005F430B" w:rsidRDefault="002015F9" w:rsidP="005F430B">
            <w:pPr>
              <w:pStyle w:val="ChapterHeading"/>
              <w:spacing w:after="0"/>
              <w:rPr>
                <w:rFonts w:cs="Arial"/>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defined as plasma HCV RNV undetectable at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defined as plasma HCV RNA undetectable at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Early treatment success, defined as plasma HCV RNA &lt;25 IU/mL at week 4 and HCV RNA undetectable at week 8</w:t>
            </w:r>
          </w:p>
          <w:p w:rsidR="002015F9" w:rsidRPr="005F430B" w:rsidRDefault="002015F9" w:rsidP="005F430B">
            <w:pPr>
              <w:pStyle w:val="ChapterHeading"/>
              <w:spacing w:after="0"/>
              <w:rPr>
                <w:rFonts w:cs="Arial"/>
                <w:color w:val="000000"/>
                <w:sz w:val="18"/>
                <w:szCs w:val="18"/>
              </w:rPr>
            </w:pPr>
            <w:r w:rsidRPr="005F430B">
              <w:rPr>
                <w:rFonts w:cs="Arial"/>
                <w:b w:val="0"/>
                <w:color w:val="000000"/>
                <w:sz w:val="18"/>
                <w:szCs w:val="18"/>
              </w:rPr>
              <w:t>Alanine aminotransferase normalization, defined as normal at 24 weeks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NCT01581203</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Study With Asunaprevir and Daclatasvir (DUAL) for Null or Partial Responders to Peginterferon Alfa and Ribavirin (P/R), Intolerant or Ineligible to P/R Subjects and Treatment-Naive Subjects With Chronic Hepatitis C Genotype 1b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Asunaprevir Daclatasvir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 matching Asunaprevir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Placebo matching Daclatasvir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treated subjects with SVR, defined as HCV RNA &lt; limit of quantification at 12 weeks after treatment completion, for all subjects who are prior null or partial responders to pegylated interferon alfa-2a and Ribavirin or are treatment-naïve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treated subjects with SVR, defined as HCV RNA &lt; limit of quantification 12 weeks after treatment completion, for subjects who are intolerant or ineligible to pegylated interferon alfa-2a and 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On treatment safety, as measured by frequency of serious adverse events and discontinuations due to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Differences in rates of selected grade 3-4 laboratory abnormalities during the first 12 weeks between treatments (Asunaprevir + Daclatasvir vs. placebo) for naive subjects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subjects with SVR (defined as HCV RNA &lt; limit of quantification at 12 weeks after treatment completion) by the rs12979860 single nucleotide polymorphisms in the IL28B gene for each cohort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 1b subjects with HCV RNA undetectable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genotypes 1b subjects with HCV RNA &lt; limit of quanitifcation</w:t>
            </w:r>
          </w:p>
        </w:tc>
      </w:tr>
      <w:tr w:rsidR="002015F9" w:rsidRPr="005F430B" w:rsidTr="005F430B">
        <w:trPr>
          <w:cantSplit/>
        </w:trPr>
        <w:tc>
          <w:tcPr>
            <w:tcW w:w="1537" w:type="dxa"/>
          </w:tcPr>
          <w:p w:rsidR="002015F9" w:rsidRPr="005F430B" w:rsidRDefault="002015F9" w:rsidP="005F430B">
            <w:pPr>
              <w:pStyle w:val="ChapterHeading"/>
              <w:pageBreakBefore/>
              <w:spacing w:after="0"/>
              <w:rPr>
                <w:rFonts w:cs="Arial"/>
                <w:b w:val="0"/>
                <w:color w:val="000000"/>
                <w:sz w:val="18"/>
                <w:szCs w:val="18"/>
              </w:rPr>
            </w:pPr>
            <w:r w:rsidRPr="005F430B">
              <w:rPr>
                <w:rFonts w:cs="Arial"/>
                <w:b w:val="0"/>
                <w:color w:val="000000"/>
                <w:sz w:val="18"/>
                <w:szCs w:val="18"/>
              </w:rPr>
              <w:lastRenderedPageBreak/>
              <w:t>NCT01591460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An International, Multicenter, Open-Label Study Evaluating Sustained Virological Response and Safety With Boceprevir in Triple Combination Therapy With Peginterferon Alfa-2a (40KD) and Ribavirin in Treatment-Naïve Patients With Genotype 1 Chronic Hepatitis C.</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(Pegasys)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Ribavirin (Copegus)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Level of HCV RNA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End of treatment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Virologic relapse rate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incidence of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NCT01598090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Blinded Randomized Study of Peginterferon Lambda-1a and Ribavirin Compared to Peginterferon Alfa-2a and Ribavirin, Each Administered With Telaprevir in Subjects With Genotype-1 Chronic Hepatitis C Who Are Treatment-naive or Relapsed on Prior Treatment With Peginterferon Alfa-2a and Ribavirin.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Peginterferon lambda-1a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Telaprevir</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Proportion of subjects achieving efficacy as measured by extended rapid virologic response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as measured by the frequency of deaths, serious adverse events, drug related adverse events, dose reductions and discontinuations due to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achieving efficacy as measured by SVR 12 weeks after treatment completion, defined as HCV RNA &lt; 25 IU/ml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efficacy as measured by SVR 12 weeks after treatment completion, defined as HCV RNA &lt; 25 IU/ml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efficacy as measured by SVR 24 weeks after treatment completion, defined as HCV RNA &lt; 25 IU/ml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efficacy as measured by SVR 12 weeks after treatment completion, defined as HCV RNA &lt; 25 IU/ml in treatment-naive subjects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efficacy as measured by extended rapid virologic response, defined as HCV RNA undetectable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efficacy as measured by SVR 24 weeks after treatment completion, defined as HCV RNA &lt; 25 IU/ml</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incidence for Cytopenic abnormalities (anemia is defined by hemoglobin &lt; 10 g/dL, neutropenia as defined by absolute neutrophil count &lt; 750 mm3, thrombocytopenia as defined by platelets &lt; 50,000 mm3)</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incidence for flu-like symptoms (as defined by pyrexia or chills or pain)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Number of incidence for musculoskeletal symptoms (as defined by arthralgia or myalgia or back pain)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NCT01608737</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III, Randomised, Double-blind and Placebo-controlled Study of Once Daily BI 201335 for 12 or 24 Weeks in Combination With Pegylated interferon-a and Ribavirin in Treatment-naive and Prior Relapser Patients With Genotype 1 Chronic Hepatitis C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Drug BI 201335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 xml:space="preserve">SVR 12 weeks after treatment completion: Plasma HCV RNA &lt;25 IU/mL undetected </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Virologic response\ 24 weeks after treatment completion: Plasma HCV RNA level &lt;25 IU/mL, undetected</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Early treatment success: Plasma HCV RNA level &lt;25 IU/mL (detected or undetected) at week 4 and HCV RNA &lt;25 IU/mL, undetected at week 8</w:t>
            </w:r>
          </w:p>
          <w:p w:rsidR="002015F9" w:rsidRPr="005F430B" w:rsidRDefault="002015F9" w:rsidP="005F430B">
            <w:pPr>
              <w:pStyle w:val="ChapterHeading"/>
              <w:spacing w:after="0"/>
              <w:rPr>
                <w:rFonts w:cs="Arial"/>
                <w:b w:val="0"/>
                <w:bCs w:val="0"/>
                <w:color w:val="000000"/>
                <w:sz w:val="18"/>
                <w:szCs w:val="18"/>
              </w:rPr>
            </w:pPr>
            <w:r w:rsidRPr="005F430B">
              <w:rPr>
                <w:rFonts w:cs="Arial"/>
                <w:b w:val="0"/>
                <w:color w:val="000000"/>
                <w:sz w:val="18"/>
                <w:szCs w:val="18"/>
              </w:rPr>
              <w:t>Alanine Aminotransferase and Aspartate Aminotransferase normalization: normal at end of treatment and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NCT01609049</w:t>
            </w:r>
          </w:p>
          <w:p w:rsidR="002015F9" w:rsidRPr="005F430B" w:rsidRDefault="002015F9" w:rsidP="005F430B">
            <w:pPr>
              <w:pStyle w:val="ChapterHeading"/>
              <w:spacing w:after="0"/>
              <w:rPr>
                <w:rFonts w:cs="Arial"/>
                <w:b w:val="0"/>
                <w:color w:val="000000"/>
                <w:sz w:val="18"/>
                <w:szCs w:val="18"/>
              </w:rPr>
            </w:pPr>
          </w:p>
          <w:p w:rsidR="002015F9" w:rsidRPr="005F430B" w:rsidRDefault="002015F9" w:rsidP="005F430B">
            <w:pPr>
              <w:pStyle w:val="ChapterHeading"/>
              <w:spacing w:after="0"/>
              <w:rPr>
                <w:rFonts w:cs="Arial"/>
                <w:b w:val="0"/>
                <w:color w:val="000000"/>
                <w:sz w:val="18"/>
                <w:szCs w:val="18"/>
              </w:rPr>
            </w:pP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Open-label, Multicenter, Non-comparative, Prospective Observational Study to Evaluate Efficacy and Safety of Combined Ribavirin and Peginterferon Alfa-2a (40 kDa) Therapy in Patients With Chronic Hepatitis C (CHC) and Compensated Liver Cirrhosis in Real Clinical Practice.</w:t>
            </w:r>
          </w:p>
        </w:tc>
        <w:tc>
          <w:tcPr>
            <w:tcW w:w="2700"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Percentage of patients with undetectable HCV RNA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Percentage of patients with SVR and negative HCV RNA at week 4 and 12 (naive patients)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Percentage of patients with SVR and negative HCV RNA at week 12 (previously treated patients)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 Percentage of patients with SVR and decrease in HCV RNA by </w:t>
            </w:r>
            <w:r w:rsidRPr="005F430B">
              <w:rPr>
                <w:rFonts w:cs="Arial"/>
                <w:b w:val="0"/>
                <w:color w:val="000000"/>
                <w:sz w:val="18"/>
                <w:szCs w:val="18"/>
                <w:u w:val="single"/>
              </w:rPr>
              <w:t>&gt;</w:t>
            </w:r>
            <w:r w:rsidRPr="005F430B">
              <w:rPr>
                <w:rFonts w:cs="Arial"/>
                <w:b w:val="0"/>
                <w:color w:val="000000"/>
                <w:sz w:val="18"/>
                <w:szCs w:val="18"/>
              </w:rPr>
              <w:t xml:space="preserve"> log 10 from baseline (previously treated and naive patients)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 Percentage of patients with SVR who had dose reduction of any drug (Ribavirin or Pegylated interferon alfa-2a) due to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Incidence of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NCT01616524</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Randomized, Double-Blind, Controlled Study Evaluating the Efficacy and Safety of Peginterferon Lambda-1a, With and Without Daclatasvir, Compared to Peginterferon Alfa-2a, Each in Combination With Ribavirin, in the Treatment of Naïve Genotype 2 and 3 Chronic Hepatitis C Subjects.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lambda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Daclatasvir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Placebo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achieve SVR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rapid virologic response, undetectable HCVRNA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treatment emergent cytopenic abnormalities (anemia as defined by hemoglobin &lt; 10 g/dL, neutropenia as defined by absolute neutrophil count &lt; 750 mm3 or thrombocytopenia as defined by platelets &lt; 50,000 mm3)</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on-treatment interferon-associated flu-like symptoms (as defined by pyrexia or chills or pain)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on-treatment musculoskeletal symptoms (as defined by arthralgia or myalgia or back pain)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Proportion of subjects with SVR 24 weeks after treatment completion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on-treatment serious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dose reductions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who discontinue due to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SVR 12 weeks after treatment completion in subjects with genotype-3 chronic HCV infection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Proportion of subjects with on-treatment constitutional symptoms (fatigue or asthenia)</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NCT01623336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Safety and Efficacy of BIP48 (Peginterferon Alfa 2b 48kDa) Compared With Pegasys® (Peginterferon 2a 40kDa) for Treatment of Chronic Hepatitis C: Randomized, Multicentric Study With Blinded Analysis.</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BIP 48 (Pegylated interferon alfa-2b 48kDA)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alfa-2a 40kDA BIP 48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The rate of SVR measured by PCR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Frequency of adverse events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Virologic response at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NCT01641640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Multicenter, Open-Label Study to Investigate the Efficacy and Safety of GS-7977 With Peginterferon Alfa 2a and Ribavirin for 12 Weeks in Treatment-Naïve Subjects With Chronic Genotype 1, 4, 5, or 6 HCV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GS 7977 in combination with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and tolerability of GS-7977+Ribavirin+pegylated interferon alfa-2a when given for 12 weeks</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4 and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Amount of circulating HCV RNA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Characterization of viral resistance</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lastRenderedPageBreak/>
              <w:t>NCT01653236</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Pilot Study to Determine the Efficacy and Safety of Combining Boceprevir With Peginterferon Alfa-2b and Ribavirin in the Treatment-naive Patients Infected With Genotype 4 Chronic Hepatitis C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Boceprevir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Pegylated interferon alfa-2b </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Week 8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Week 12 response</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IL-28B polymorphism</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NCT01659567</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Prospective Observational Study on Predictors of On-treatment Response and Sustained Virological Response in a Cohort of HCV-infected Patients Treated With Pegylated Interferons in Georgia.</w:t>
            </w:r>
          </w:p>
        </w:tc>
        <w:tc>
          <w:tcPr>
            <w:tcW w:w="2700" w:type="dxa"/>
            <w:shd w:val="clear" w:color="auto" w:fill="auto"/>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alfa-2b</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Predictive values of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of patient characteristics and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Overall treatment duration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Treatment duration after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Correlation of treatment dose and 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Incidence of adverse events</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NCT01682720</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A Phase 3, Multicenter, Randomized, Double-Blind, Placebo-Controlled Study to Investigate the Efficacy and Safety of GS-7977+ Ribavirin for 12 Weeks in Treatment Naive and Treatment Experienced Subjects With Chronic Genotype 2 or 3 HCV Infection.</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GS-7977</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 xml:space="preserve">Placebo </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12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Safety and tolerability of GS-7977 + Ribavirin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4 and 24 weeks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Efficacy of treatment with GS-7977 + Ribavirin based on prior treatment history</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Kinetics of circulating HCV RNA during and after treatment completion</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Viral resistance to GS-7977 during and after treatment completion</w:t>
            </w:r>
          </w:p>
        </w:tc>
      </w:tr>
      <w:tr w:rsidR="002015F9" w:rsidRPr="005F430B" w:rsidTr="005F430B">
        <w:trPr>
          <w:cantSplit/>
        </w:trPr>
        <w:tc>
          <w:tcPr>
            <w:tcW w:w="1537"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NCT01686789</w:t>
            </w:r>
          </w:p>
        </w:tc>
        <w:tc>
          <w:tcPr>
            <w:tcW w:w="2531" w:type="dxa"/>
          </w:tcPr>
          <w:p w:rsidR="002015F9" w:rsidRPr="005F430B" w:rsidRDefault="002015F9" w:rsidP="005F430B">
            <w:pPr>
              <w:jc w:val="center"/>
              <w:rPr>
                <w:rFonts w:ascii="Arial" w:hAnsi="Arial" w:cs="Arial"/>
                <w:color w:val="000000"/>
                <w:sz w:val="18"/>
                <w:szCs w:val="18"/>
              </w:rPr>
            </w:pPr>
            <w:r w:rsidRPr="005F430B">
              <w:rPr>
                <w:rFonts w:ascii="Arial" w:hAnsi="Arial" w:cs="Arial"/>
                <w:color w:val="000000"/>
                <w:sz w:val="18"/>
                <w:szCs w:val="18"/>
              </w:rPr>
              <w:t>Randomized Controlled Open Label Trial of Peg Alpha 2a Interferon and Adjusted-dose of Ribavirin vs. Standard Therapy in the Treatment of Naive Chronic Hepatitis C Patients Infected With Genotype 4.</w:t>
            </w:r>
          </w:p>
        </w:tc>
        <w:tc>
          <w:tcPr>
            <w:tcW w:w="270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Pegylated interferon alfa--2a</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Ribavirin</w:t>
            </w:r>
          </w:p>
        </w:tc>
        <w:tc>
          <w:tcPr>
            <w:tcW w:w="1080"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Adult</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Senior</w:t>
            </w:r>
          </w:p>
        </w:tc>
        <w:tc>
          <w:tcPr>
            <w:tcW w:w="5328" w:type="dxa"/>
          </w:tcPr>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SVR</w:t>
            </w:r>
          </w:p>
          <w:p w:rsidR="002015F9" w:rsidRPr="005F430B" w:rsidRDefault="002015F9" w:rsidP="005F430B">
            <w:pPr>
              <w:pStyle w:val="ChapterHeading"/>
              <w:spacing w:after="0"/>
              <w:rPr>
                <w:rFonts w:cs="Arial"/>
                <w:b w:val="0"/>
                <w:color w:val="000000"/>
                <w:sz w:val="18"/>
                <w:szCs w:val="18"/>
              </w:rPr>
            </w:pPr>
            <w:r w:rsidRPr="005F430B">
              <w:rPr>
                <w:rFonts w:cs="Arial"/>
                <w:b w:val="0"/>
                <w:color w:val="000000"/>
                <w:sz w:val="18"/>
                <w:szCs w:val="18"/>
              </w:rPr>
              <w:t>Requirement of blood-related products</w:t>
            </w:r>
          </w:p>
        </w:tc>
      </w:tr>
    </w:tbl>
    <w:p w:rsidR="004B06EF" w:rsidRDefault="0042160A" w:rsidP="005F430B">
      <w:pPr>
        <w:pStyle w:val="TableNote"/>
      </w:pPr>
      <w:r w:rsidRPr="005F430B">
        <w:rPr>
          <w:b/>
        </w:rPr>
        <w:t>Note:</w:t>
      </w:r>
      <w:r w:rsidR="00C37560">
        <w:t xml:space="preserve"> </w:t>
      </w:r>
      <w:r>
        <w:t>HCV</w:t>
      </w:r>
      <w:r w:rsidR="00FC5688">
        <w:t>=</w:t>
      </w:r>
      <w:r>
        <w:t>hepatitis C virus; PC</w:t>
      </w:r>
      <w:r w:rsidR="00430B74">
        <w:t>R</w:t>
      </w:r>
      <w:r w:rsidR="00FC5688">
        <w:t>=</w:t>
      </w:r>
      <w:r>
        <w:t>polymerase chain reaction; RNA</w:t>
      </w:r>
      <w:r w:rsidR="00FC5688">
        <w:t>=</w:t>
      </w:r>
      <w:r>
        <w:t>ribonucleic acid; SVR</w:t>
      </w:r>
      <w:r w:rsidR="00FC5688">
        <w:t>=</w:t>
      </w:r>
      <w:r>
        <w:t>sustain virologic response.</w:t>
      </w:r>
      <w:r w:rsidR="005F430B">
        <w:br/>
      </w:r>
      <w:r w:rsidR="00003478" w:rsidRPr="005F430B">
        <w:rPr>
          <w:b/>
        </w:rPr>
        <w:t>Source:</w:t>
      </w:r>
      <w:r w:rsidR="00003478" w:rsidRPr="001D20E8">
        <w:t xml:space="preserve"> Clinicaltrials.gov.</w:t>
      </w:r>
      <w:r w:rsidR="00A46C44" w:rsidRPr="001D20E8">
        <w:fldChar w:fldCharType="begin"/>
      </w:r>
      <w:r w:rsidR="00003478" w:rsidRPr="001D20E8">
        <w:instrText xml:space="preserve"> TOC \o "1-3" \h \z \u </w:instrText>
      </w:r>
      <w:r w:rsidR="00A46C44" w:rsidRPr="001D20E8">
        <w:fldChar w:fldCharType="end"/>
      </w:r>
    </w:p>
    <w:sectPr w:rsidR="004B06EF" w:rsidSect="00635D58">
      <w:footerReference w:type="default" r:id="rId7"/>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2BE" w:rsidRDefault="000432BE">
      <w:r>
        <w:separator/>
      </w:r>
    </w:p>
  </w:endnote>
  <w:endnote w:type="continuationSeparator" w:id="0">
    <w:p w:rsidR="000432BE" w:rsidRDefault="00043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36" w:rsidRDefault="003B2536">
    <w:pPr>
      <w:pStyle w:val="PageNumber"/>
    </w:pPr>
    <w:r>
      <w:t>D-</w:t>
    </w:r>
    <w:fldSimple w:instr=" PAGE   \* MERGEFORMAT ">
      <w:r w:rsidR="008F0EE6">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2BE" w:rsidRDefault="000432BE">
      <w:r>
        <w:separator/>
      </w:r>
    </w:p>
  </w:footnote>
  <w:footnote w:type="continuationSeparator" w:id="0">
    <w:p w:rsidR="000432BE" w:rsidRDefault="00043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B331C"/>
    <w:multiLevelType w:val="hybridMultilevel"/>
    <w:tmpl w:val="1C0C3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9030A"/>
    <w:multiLevelType w:val="hybridMultilevel"/>
    <w:tmpl w:val="B0C86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3484C"/>
    <w:multiLevelType w:val="hybridMultilevel"/>
    <w:tmpl w:val="BE1846F4"/>
    <w:lvl w:ilvl="0" w:tplc="BCCA1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634E4"/>
    <w:multiLevelType w:val="hybridMultilevel"/>
    <w:tmpl w:val="7E783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67D3C"/>
    <w:multiLevelType w:val="hybridMultilevel"/>
    <w:tmpl w:val="895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B146C"/>
    <w:multiLevelType w:val="hybridMultilevel"/>
    <w:tmpl w:val="79C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44E49"/>
    <w:multiLevelType w:val="hybridMultilevel"/>
    <w:tmpl w:val="4000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73B66"/>
    <w:multiLevelType w:val="hybridMultilevel"/>
    <w:tmpl w:val="F6B4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D1E47"/>
    <w:multiLevelType w:val="hybridMultilevel"/>
    <w:tmpl w:val="5FB063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4A2F2F"/>
    <w:multiLevelType w:val="hybridMultilevel"/>
    <w:tmpl w:val="A210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133BC"/>
    <w:multiLevelType w:val="hybridMultilevel"/>
    <w:tmpl w:val="A30A427A"/>
    <w:lvl w:ilvl="0" w:tplc="B4303C4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81200A"/>
    <w:multiLevelType w:val="hybridMultilevel"/>
    <w:tmpl w:val="BDFAB5AE"/>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1009F"/>
    <w:multiLevelType w:val="hybridMultilevel"/>
    <w:tmpl w:val="72D4C936"/>
    <w:lvl w:ilvl="0" w:tplc="D47409EC">
      <w:start w:val="1"/>
      <w:numFmt w:val="decimal"/>
      <w:pStyle w:val="QRResponse"/>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48828A6"/>
    <w:multiLevelType w:val="hybridMultilevel"/>
    <w:tmpl w:val="785CD1FA"/>
    <w:lvl w:ilvl="0" w:tplc="04090001">
      <w:start w:val="1"/>
      <w:numFmt w:val="bullet"/>
      <w:lvlText w:val=""/>
      <w:lvlJc w:val="left"/>
      <w:pPr>
        <w:ind w:left="720" w:hanging="360"/>
      </w:pPr>
      <w:rPr>
        <w:rFonts w:ascii="Symbol" w:hAnsi="Symbol" w:hint="default"/>
      </w:rPr>
    </w:lvl>
    <w:lvl w:ilvl="1" w:tplc="1F1CBC20">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A77F6"/>
    <w:multiLevelType w:val="hybridMultilevel"/>
    <w:tmpl w:val="BA0261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D35945"/>
    <w:multiLevelType w:val="hybridMultilevel"/>
    <w:tmpl w:val="FD8EC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F853A9"/>
    <w:multiLevelType w:val="hybridMultilevel"/>
    <w:tmpl w:val="674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1421A"/>
    <w:multiLevelType w:val="hybridMultilevel"/>
    <w:tmpl w:val="26D897C8"/>
    <w:lvl w:ilvl="0" w:tplc="C0A62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523E8"/>
    <w:multiLevelType w:val="hybridMultilevel"/>
    <w:tmpl w:val="E304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354D8"/>
    <w:multiLevelType w:val="hybridMultilevel"/>
    <w:tmpl w:val="55EE0348"/>
    <w:lvl w:ilvl="0" w:tplc="A0C67DC2">
      <w:start w:val="1"/>
      <w:numFmt w:val="bullet"/>
      <w:pStyle w:val="CERexecsum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A935425"/>
    <w:multiLevelType w:val="hybridMultilevel"/>
    <w:tmpl w:val="AB36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690B20"/>
    <w:multiLevelType w:val="hybridMultilevel"/>
    <w:tmpl w:val="14264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06D44CB"/>
    <w:multiLevelType w:val="hybridMultilevel"/>
    <w:tmpl w:val="E7E257FE"/>
    <w:lvl w:ilvl="0" w:tplc="C9EE4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60948"/>
    <w:multiLevelType w:val="hybridMultilevel"/>
    <w:tmpl w:val="89283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AC00F9"/>
    <w:multiLevelType w:val="hybridMultilevel"/>
    <w:tmpl w:val="F0F48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14"/>
  </w:num>
  <w:num w:numId="4">
    <w:abstractNumId w:val="4"/>
  </w:num>
  <w:num w:numId="5">
    <w:abstractNumId w:val="12"/>
  </w:num>
  <w:num w:numId="6">
    <w:abstractNumId w:val="22"/>
  </w:num>
  <w:num w:numId="7">
    <w:abstractNumId w:val="15"/>
  </w:num>
  <w:num w:numId="8">
    <w:abstractNumId w:val="16"/>
  </w:num>
  <w:num w:numId="9">
    <w:abstractNumId w:val="13"/>
  </w:num>
  <w:num w:numId="10">
    <w:abstractNumId w:val="7"/>
  </w:num>
  <w:num w:numId="11">
    <w:abstractNumId w:val="11"/>
  </w:num>
  <w:num w:numId="12">
    <w:abstractNumId w:val="19"/>
  </w:num>
  <w:num w:numId="13">
    <w:abstractNumId w:val="21"/>
  </w:num>
  <w:num w:numId="14">
    <w:abstractNumId w:val="3"/>
  </w:num>
  <w:num w:numId="15">
    <w:abstractNumId w:val="28"/>
  </w:num>
  <w:num w:numId="16">
    <w:abstractNumId w:val="25"/>
  </w:num>
  <w:num w:numId="17">
    <w:abstractNumId w:val="26"/>
  </w:num>
  <w:num w:numId="18">
    <w:abstractNumId w:val="20"/>
  </w:num>
  <w:num w:numId="19">
    <w:abstractNumId w:val="9"/>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
  </w:num>
  <w:num w:numId="27">
    <w:abstractNumId w:val="1"/>
  </w:num>
  <w:num w:numId="28">
    <w:abstractNumId w:val="6"/>
  </w:num>
  <w:num w:numId="29">
    <w:abstractNumId w:val="23"/>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Hep C FRN.enl&lt;/item&gt;&lt;/Libraries&gt;&lt;/ENLibraries&gt;"/>
  </w:docVars>
  <w:rsids>
    <w:rsidRoot w:val="002A2F09"/>
    <w:rsid w:val="00003478"/>
    <w:rsid w:val="00003CDD"/>
    <w:rsid w:val="0000782F"/>
    <w:rsid w:val="00011FF1"/>
    <w:rsid w:val="00021028"/>
    <w:rsid w:val="00032A6F"/>
    <w:rsid w:val="00035515"/>
    <w:rsid w:val="000432BE"/>
    <w:rsid w:val="00043633"/>
    <w:rsid w:val="00044445"/>
    <w:rsid w:val="00052905"/>
    <w:rsid w:val="0006017D"/>
    <w:rsid w:val="000717EA"/>
    <w:rsid w:val="00072EA2"/>
    <w:rsid w:val="00080D51"/>
    <w:rsid w:val="00081848"/>
    <w:rsid w:val="00082418"/>
    <w:rsid w:val="000844D9"/>
    <w:rsid w:val="000850F6"/>
    <w:rsid w:val="00085AD7"/>
    <w:rsid w:val="000955DD"/>
    <w:rsid w:val="0009684D"/>
    <w:rsid w:val="000A3269"/>
    <w:rsid w:val="000C2695"/>
    <w:rsid w:val="000C4FAF"/>
    <w:rsid w:val="000C518C"/>
    <w:rsid w:val="000C7175"/>
    <w:rsid w:val="000D54CA"/>
    <w:rsid w:val="000D6126"/>
    <w:rsid w:val="000E1199"/>
    <w:rsid w:val="000E27D7"/>
    <w:rsid w:val="000F1DDA"/>
    <w:rsid w:val="000F1FAB"/>
    <w:rsid w:val="00120920"/>
    <w:rsid w:val="00125BFA"/>
    <w:rsid w:val="00131618"/>
    <w:rsid w:val="00132B29"/>
    <w:rsid w:val="001409A4"/>
    <w:rsid w:val="00150AC7"/>
    <w:rsid w:val="001540BD"/>
    <w:rsid w:val="001610B2"/>
    <w:rsid w:val="0016619E"/>
    <w:rsid w:val="00167198"/>
    <w:rsid w:val="00173081"/>
    <w:rsid w:val="001745C4"/>
    <w:rsid w:val="0017667A"/>
    <w:rsid w:val="00182507"/>
    <w:rsid w:val="00190FEA"/>
    <w:rsid w:val="001B0D15"/>
    <w:rsid w:val="001C07DF"/>
    <w:rsid w:val="001C4FE3"/>
    <w:rsid w:val="001D1D4B"/>
    <w:rsid w:val="001D20E8"/>
    <w:rsid w:val="001D6A1F"/>
    <w:rsid w:val="001E1AAB"/>
    <w:rsid w:val="001E6D3A"/>
    <w:rsid w:val="001F00D7"/>
    <w:rsid w:val="001F4C75"/>
    <w:rsid w:val="001F5D30"/>
    <w:rsid w:val="002015F9"/>
    <w:rsid w:val="00201F4B"/>
    <w:rsid w:val="00205EF3"/>
    <w:rsid w:val="00207496"/>
    <w:rsid w:val="002217BC"/>
    <w:rsid w:val="00232BB2"/>
    <w:rsid w:val="00233979"/>
    <w:rsid w:val="00236068"/>
    <w:rsid w:val="00240186"/>
    <w:rsid w:val="002401FA"/>
    <w:rsid w:val="0024184D"/>
    <w:rsid w:val="00260356"/>
    <w:rsid w:val="0026239B"/>
    <w:rsid w:val="00263CC8"/>
    <w:rsid w:val="00266F9A"/>
    <w:rsid w:val="00273DB6"/>
    <w:rsid w:val="002743FC"/>
    <w:rsid w:val="00275260"/>
    <w:rsid w:val="002844D3"/>
    <w:rsid w:val="00284A20"/>
    <w:rsid w:val="00284DF5"/>
    <w:rsid w:val="002930EC"/>
    <w:rsid w:val="00294B3F"/>
    <w:rsid w:val="002965E1"/>
    <w:rsid w:val="002A1F51"/>
    <w:rsid w:val="002A2F09"/>
    <w:rsid w:val="002A4587"/>
    <w:rsid w:val="002A7892"/>
    <w:rsid w:val="002A7A3B"/>
    <w:rsid w:val="002A7FDD"/>
    <w:rsid w:val="002B65FE"/>
    <w:rsid w:val="002B7563"/>
    <w:rsid w:val="002B77BE"/>
    <w:rsid w:val="002C22A5"/>
    <w:rsid w:val="002C3189"/>
    <w:rsid w:val="002D2258"/>
    <w:rsid w:val="002D3D11"/>
    <w:rsid w:val="002D6098"/>
    <w:rsid w:val="002E5A55"/>
    <w:rsid w:val="002F3A5B"/>
    <w:rsid w:val="002F4DDD"/>
    <w:rsid w:val="003003A2"/>
    <w:rsid w:val="00313AD8"/>
    <w:rsid w:val="00314727"/>
    <w:rsid w:val="00316496"/>
    <w:rsid w:val="00316F1E"/>
    <w:rsid w:val="00317896"/>
    <w:rsid w:val="00317946"/>
    <w:rsid w:val="00322614"/>
    <w:rsid w:val="003274F5"/>
    <w:rsid w:val="003319F4"/>
    <w:rsid w:val="00345E7F"/>
    <w:rsid w:val="00353ED4"/>
    <w:rsid w:val="00356609"/>
    <w:rsid w:val="00362999"/>
    <w:rsid w:val="00370668"/>
    <w:rsid w:val="00371B1E"/>
    <w:rsid w:val="003740F0"/>
    <w:rsid w:val="00383080"/>
    <w:rsid w:val="003839A0"/>
    <w:rsid w:val="00383C09"/>
    <w:rsid w:val="00394816"/>
    <w:rsid w:val="00396601"/>
    <w:rsid w:val="003B2536"/>
    <w:rsid w:val="003B2753"/>
    <w:rsid w:val="003C089E"/>
    <w:rsid w:val="003C716A"/>
    <w:rsid w:val="003D6771"/>
    <w:rsid w:val="003F0327"/>
    <w:rsid w:val="003F21BA"/>
    <w:rsid w:val="003F7E56"/>
    <w:rsid w:val="0040239E"/>
    <w:rsid w:val="00402954"/>
    <w:rsid w:val="004041A8"/>
    <w:rsid w:val="00407BFD"/>
    <w:rsid w:val="00407ECC"/>
    <w:rsid w:val="004116A6"/>
    <w:rsid w:val="00413DA4"/>
    <w:rsid w:val="0042160A"/>
    <w:rsid w:val="00424D4B"/>
    <w:rsid w:val="00430B74"/>
    <w:rsid w:val="0044137F"/>
    <w:rsid w:val="00442E3B"/>
    <w:rsid w:val="00443C7F"/>
    <w:rsid w:val="00445B9C"/>
    <w:rsid w:val="004523A3"/>
    <w:rsid w:val="00453F46"/>
    <w:rsid w:val="00464FD3"/>
    <w:rsid w:val="004757A0"/>
    <w:rsid w:val="004817FE"/>
    <w:rsid w:val="00482B0A"/>
    <w:rsid w:val="00485E24"/>
    <w:rsid w:val="00487F8F"/>
    <w:rsid w:val="0049250C"/>
    <w:rsid w:val="004925AE"/>
    <w:rsid w:val="00495C42"/>
    <w:rsid w:val="00496EB9"/>
    <w:rsid w:val="004975F6"/>
    <w:rsid w:val="004A0393"/>
    <w:rsid w:val="004B06EF"/>
    <w:rsid w:val="004C048B"/>
    <w:rsid w:val="004C1231"/>
    <w:rsid w:val="004C31DC"/>
    <w:rsid w:val="004C587E"/>
    <w:rsid w:val="004C76CF"/>
    <w:rsid w:val="004D04A4"/>
    <w:rsid w:val="004D50AB"/>
    <w:rsid w:val="004D7218"/>
    <w:rsid w:val="004E3C7A"/>
    <w:rsid w:val="004E6E2A"/>
    <w:rsid w:val="00507213"/>
    <w:rsid w:val="0051069F"/>
    <w:rsid w:val="00512D1D"/>
    <w:rsid w:val="00512E9C"/>
    <w:rsid w:val="0052133B"/>
    <w:rsid w:val="00524C81"/>
    <w:rsid w:val="0052758C"/>
    <w:rsid w:val="00534C7D"/>
    <w:rsid w:val="00536DE7"/>
    <w:rsid w:val="0053728C"/>
    <w:rsid w:val="0054535E"/>
    <w:rsid w:val="00547832"/>
    <w:rsid w:val="00553B53"/>
    <w:rsid w:val="00564AA7"/>
    <w:rsid w:val="00565BDC"/>
    <w:rsid w:val="005709C8"/>
    <w:rsid w:val="00571D14"/>
    <w:rsid w:val="00573142"/>
    <w:rsid w:val="00576900"/>
    <w:rsid w:val="00576982"/>
    <w:rsid w:val="00586DEB"/>
    <w:rsid w:val="00592D54"/>
    <w:rsid w:val="00594146"/>
    <w:rsid w:val="00594C09"/>
    <w:rsid w:val="005957E5"/>
    <w:rsid w:val="005A4688"/>
    <w:rsid w:val="005A5FAB"/>
    <w:rsid w:val="005B1C05"/>
    <w:rsid w:val="005B3F29"/>
    <w:rsid w:val="005E2640"/>
    <w:rsid w:val="005E6717"/>
    <w:rsid w:val="005F430B"/>
    <w:rsid w:val="005F5924"/>
    <w:rsid w:val="005F5FB4"/>
    <w:rsid w:val="005F6688"/>
    <w:rsid w:val="005F6877"/>
    <w:rsid w:val="006145A8"/>
    <w:rsid w:val="00617A55"/>
    <w:rsid w:val="00621A5F"/>
    <w:rsid w:val="00622558"/>
    <w:rsid w:val="0062267A"/>
    <w:rsid w:val="0062463E"/>
    <w:rsid w:val="006346B2"/>
    <w:rsid w:val="00635D58"/>
    <w:rsid w:val="006500EF"/>
    <w:rsid w:val="00657A8D"/>
    <w:rsid w:val="00682CFB"/>
    <w:rsid w:val="006856FD"/>
    <w:rsid w:val="00692142"/>
    <w:rsid w:val="00693E74"/>
    <w:rsid w:val="006B4887"/>
    <w:rsid w:val="006C2A1D"/>
    <w:rsid w:val="006D3E3F"/>
    <w:rsid w:val="006E3512"/>
    <w:rsid w:val="006F78A4"/>
    <w:rsid w:val="00703A7B"/>
    <w:rsid w:val="00710E8C"/>
    <w:rsid w:val="007174DC"/>
    <w:rsid w:val="00717D14"/>
    <w:rsid w:val="00736817"/>
    <w:rsid w:val="0073767B"/>
    <w:rsid w:val="00747DBF"/>
    <w:rsid w:val="007507DD"/>
    <w:rsid w:val="00752F16"/>
    <w:rsid w:val="00764693"/>
    <w:rsid w:val="00765535"/>
    <w:rsid w:val="00785F1E"/>
    <w:rsid w:val="007A616B"/>
    <w:rsid w:val="007B2387"/>
    <w:rsid w:val="007C0EF8"/>
    <w:rsid w:val="007C24F5"/>
    <w:rsid w:val="007C446C"/>
    <w:rsid w:val="007C4D87"/>
    <w:rsid w:val="007C538F"/>
    <w:rsid w:val="007D6C7F"/>
    <w:rsid w:val="007D7B2F"/>
    <w:rsid w:val="007E31F3"/>
    <w:rsid w:val="007E3395"/>
    <w:rsid w:val="007F7284"/>
    <w:rsid w:val="0080132A"/>
    <w:rsid w:val="0080457C"/>
    <w:rsid w:val="00816303"/>
    <w:rsid w:val="0082352D"/>
    <w:rsid w:val="00825F7A"/>
    <w:rsid w:val="00832E69"/>
    <w:rsid w:val="00834624"/>
    <w:rsid w:val="00843025"/>
    <w:rsid w:val="00855DD5"/>
    <w:rsid w:val="0087420D"/>
    <w:rsid w:val="00874595"/>
    <w:rsid w:val="00875AF8"/>
    <w:rsid w:val="00883020"/>
    <w:rsid w:val="00885550"/>
    <w:rsid w:val="00895F5A"/>
    <w:rsid w:val="008A0557"/>
    <w:rsid w:val="008A07F1"/>
    <w:rsid w:val="008B11AE"/>
    <w:rsid w:val="008C4CD1"/>
    <w:rsid w:val="008C509E"/>
    <w:rsid w:val="008C6CAC"/>
    <w:rsid w:val="008C6E37"/>
    <w:rsid w:val="008D1E04"/>
    <w:rsid w:val="008E3603"/>
    <w:rsid w:val="008E7AAD"/>
    <w:rsid w:val="008F0C3C"/>
    <w:rsid w:val="008F0E65"/>
    <w:rsid w:val="008F0EE6"/>
    <w:rsid w:val="008F2E49"/>
    <w:rsid w:val="008F5D0C"/>
    <w:rsid w:val="00922827"/>
    <w:rsid w:val="0092413E"/>
    <w:rsid w:val="009250DF"/>
    <w:rsid w:val="009262E9"/>
    <w:rsid w:val="0093033D"/>
    <w:rsid w:val="00933628"/>
    <w:rsid w:val="00933864"/>
    <w:rsid w:val="00936395"/>
    <w:rsid w:val="00953823"/>
    <w:rsid w:val="00963304"/>
    <w:rsid w:val="009651E4"/>
    <w:rsid w:val="00977028"/>
    <w:rsid w:val="00985FCB"/>
    <w:rsid w:val="00992EA2"/>
    <w:rsid w:val="009979A1"/>
    <w:rsid w:val="009A22F6"/>
    <w:rsid w:val="009A3659"/>
    <w:rsid w:val="009A66B3"/>
    <w:rsid w:val="009A7352"/>
    <w:rsid w:val="009C39D5"/>
    <w:rsid w:val="009C5CBA"/>
    <w:rsid w:val="009C5E18"/>
    <w:rsid w:val="009E158D"/>
    <w:rsid w:val="009E5CD4"/>
    <w:rsid w:val="009F04CB"/>
    <w:rsid w:val="009F1E38"/>
    <w:rsid w:val="00A216B3"/>
    <w:rsid w:val="00A32E5A"/>
    <w:rsid w:val="00A433AE"/>
    <w:rsid w:val="00A46C44"/>
    <w:rsid w:val="00A51D6B"/>
    <w:rsid w:val="00A602A8"/>
    <w:rsid w:val="00A61357"/>
    <w:rsid w:val="00A61DC4"/>
    <w:rsid w:val="00A646B0"/>
    <w:rsid w:val="00A71FAD"/>
    <w:rsid w:val="00A73FE3"/>
    <w:rsid w:val="00A77D78"/>
    <w:rsid w:val="00A961D1"/>
    <w:rsid w:val="00AA3E88"/>
    <w:rsid w:val="00AB125B"/>
    <w:rsid w:val="00AB1D0B"/>
    <w:rsid w:val="00AB35A3"/>
    <w:rsid w:val="00AB3FBE"/>
    <w:rsid w:val="00AB7CFB"/>
    <w:rsid w:val="00AC5A67"/>
    <w:rsid w:val="00AC700F"/>
    <w:rsid w:val="00AC7FEB"/>
    <w:rsid w:val="00AD25D0"/>
    <w:rsid w:val="00AD5EC4"/>
    <w:rsid w:val="00AE5A5B"/>
    <w:rsid w:val="00AF5BAB"/>
    <w:rsid w:val="00B002B3"/>
    <w:rsid w:val="00B030AC"/>
    <w:rsid w:val="00B038D0"/>
    <w:rsid w:val="00B0459F"/>
    <w:rsid w:val="00B078F5"/>
    <w:rsid w:val="00B1317C"/>
    <w:rsid w:val="00B1503A"/>
    <w:rsid w:val="00B17797"/>
    <w:rsid w:val="00B23B6F"/>
    <w:rsid w:val="00B243C7"/>
    <w:rsid w:val="00B27B1A"/>
    <w:rsid w:val="00B41F0C"/>
    <w:rsid w:val="00B50B58"/>
    <w:rsid w:val="00B56C00"/>
    <w:rsid w:val="00B631E9"/>
    <w:rsid w:val="00B64EC8"/>
    <w:rsid w:val="00B67479"/>
    <w:rsid w:val="00B731FC"/>
    <w:rsid w:val="00B83CD6"/>
    <w:rsid w:val="00B8402F"/>
    <w:rsid w:val="00B8676A"/>
    <w:rsid w:val="00B91C3D"/>
    <w:rsid w:val="00B93BB3"/>
    <w:rsid w:val="00B961A5"/>
    <w:rsid w:val="00BA48E1"/>
    <w:rsid w:val="00BA6EAD"/>
    <w:rsid w:val="00BB6936"/>
    <w:rsid w:val="00BC096C"/>
    <w:rsid w:val="00BC11AF"/>
    <w:rsid w:val="00BC64D2"/>
    <w:rsid w:val="00BD14E9"/>
    <w:rsid w:val="00BD45A9"/>
    <w:rsid w:val="00BD5CDE"/>
    <w:rsid w:val="00BE1EE0"/>
    <w:rsid w:val="00BF0A3E"/>
    <w:rsid w:val="00BF1620"/>
    <w:rsid w:val="00BF4AD5"/>
    <w:rsid w:val="00BF5F0F"/>
    <w:rsid w:val="00C253BD"/>
    <w:rsid w:val="00C27D58"/>
    <w:rsid w:val="00C33929"/>
    <w:rsid w:val="00C33A40"/>
    <w:rsid w:val="00C37560"/>
    <w:rsid w:val="00C403FA"/>
    <w:rsid w:val="00C45BCD"/>
    <w:rsid w:val="00C538A7"/>
    <w:rsid w:val="00C61613"/>
    <w:rsid w:val="00C620E0"/>
    <w:rsid w:val="00C66765"/>
    <w:rsid w:val="00C67B72"/>
    <w:rsid w:val="00C70381"/>
    <w:rsid w:val="00C712FE"/>
    <w:rsid w:val="00C71908"/>
    <w:rsid w:val="00C7269F"/>
    <w:rsid w:val="00C919C2"/>
    <w:rsid w:val="00C97F61"/>
    <w:rsid w:val="00CB0C58"/>
    <w:rsid w:val="00CB45EE"/>
    <w:rsid w:val="00CB48D5"/>
    <w:rsid w:val="00CC0A78"/>
    <w:rsid w:val="00CC246C"/>
    <w:rsid w:val="00CC3C49"/>
    <w:rsid w:val="00CC4507"/>
    <w:rsid w:val="00CC545D"/>
    <w:rsid w:val="00CD4325"/>
    <w:rsid w:val="00CE23E3"/>
    <w:rsid w:val="00CE63C6"/>
    <w:rsid w:val="00CE73EB"/>
    <w:rsid w:val="00CF7DE4"/>
    <w:rsid w:val="00D0109A"/>
    <w:rsid w:val="00D10A6F"/>
    <w:rsid w:val="00D17B7E"/>
    <w:rsid w:val="00D202D8"/>
    <w:rsid w:val="00D232DA"/>
    <w:rsid w:val="00D23BD9"/>
    <w:rsid w:val="00D361FE"/>
    <w:rsid w:val="00D710F4"/>
    <w:rsid w:val="00D73D22"/>
    <w:rsid w:val="00D80906"/>
    <w:rsid w:val="00D853F1"/>
    <w:rsid w:val="00D86A99"/>
    <w:rsid w:val="00D90B24"/>
    <w:rsid w:val="00D915EA"/>
    <w:rsid w:val="00D93203"/>
    <w:rsid w:val="00D93A0F"/>
    <w:rsid w:val="00DA0A2E"/>
    <w:rsid w:val="00DB0E74"/>
    <w:rsid w:val="00DB4E0F"/>
    <w:rsid w:val="00DC0F8B"/>
    <w:rsid w:val="00DC2450"/>
    <w:rsid w:val="00DC2C05"/>
    <w:rsid w:val="00DD3873"/>
    <w:rsid w:val="00DD5BBE"/>
    <w:rsid w:val="00DE6BED"/>
    <w:rsid w:val="00DF4960"/>
    <w:rsid w:val="00DF6D5E"/>
    <w:rsid w:val="00E02424"/>
    <w:rsid w:val="00E077C4"/>
    <w:rsid w:val="00E07F17"/>
    <w:rsid w:val="00E13469"/>
    <w:rsid w:val="00E25117"/>
    <w:rsid w:val="00E2696F"/>
    <w:rsid w:val="00E31AC1"/>
    <w:rsid w:val="00E33403"/>
    <w:rsid w:val="00E442E3"/>
    <w:rsid w:val="00E50EDC"/>
    <w:rsid w:val="00E525A6"/>
    <w:rsid w:val="00E54004"/>
    <w:rsid w:val="00E55AFD"/>
    <w:rsid w:val="00E577F3"/>
    <w:rsid w:val="00E57DAC"/>
    <w:rsid w:val="00E63F6C"/>
    <w:rsid w:val="00E9049E"/>
    <w:rsid w:val="00E923FC"/>
    <w:rsid w:val="00EA35CC"/>
    <w:rsid w:val="00EB1E33"/>
    <w:rsid w:val="00EB5922"/>
    <w:rsid w:val="00EB6E0A"/>
    <w:rsid w:val="00EB73E6"/>
    <w:rsid w:val="00EC1D9F"/>
    <w:rsid w:val="00EC3389"/>
    <w:rsid w:val="00ED0B9E"/>
    <w:rsid w:val="00ED667D"/>
    <w:rsid w:val="00EE13C7"/>
    <w:rsid w:val="00EE3B70"/>
    <w:rsid w:val="00EF0051"/>
    <w:rsid w:val="00EF19EB"/>
    <w:rsid w:val="00EF2CA7"/>
    <w:rsid w:val="00EF2D1A"/>
    <w:rsid w:val="00EF2D27"/>
    <w:rsid w:val="00EF754B"/>
    <w:rsid w:val="00EF77EE"/>
    <w:rsid w:val="00F00577"/>
    <w:rsid w:val="00F0107F"/>
    <w:rsid w:val="00F017CE"/>
    <w:rsid w:val="00F01DD9"/>
    <w:rsid w:val="00F12437"/>
    <w:rsid w:val="00F12967"/>
    <w:rsid w:val="00F1541E"/>
    <w:rsid w:val="00F31B24"/>
    <w:rsid w:val="00F37CC3"/>
    <w:rsid w:val="00F37EDC"/>
    <w:rsid w:val="00F4122E"/>
    <w:rsid w:val="00F46B31"/>
    <w:rsid w:val="00F51992"/>
    <w:rsid w:val="00F56A6C"/>
    <w:rsid w:val="00F573B1"/>
    <w:rsid w:val="00F671D3"/>
    <w:rsid w:val="00F7197A"/>
    <w:rsid w:val="00F7203A"/>
    <w:rsid w:val="00F72AD6"/>
    <w:rsid w:val="00F7560B"/>
    <w:rsid w:val="00F81AF0"/>
    <w:rsid w:val="00F9258E"/>
    <w:rsid w:val="00F933C0"/>
    <w:rsid w:val="00FA2A6E"/>
    <w:rsid w:val="00FA2BE8"/>
    <w:rsid w:val="00FA3516"/>
    <w:rsid w:val="00FA789D"/>
    <w:rsid w:val="00FC5688"/>
    <w:rsid w:val="00FC5DFB"/>
    <w:rsid w:val="00FC6CEC"/>
    <w:rsid w:val="00FD0F3E"/>
    <w:rsid w:val="00FE74E4"/>
    <w:rsid w:val="00FF4902"/>
    <w:rsid w:val="00FF5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qFormat="1"/>
    <w:lsdException w:name="Emphasis" w:qFormat="1"/>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D04A4"/>
    <w:rPr>
      <w:rFonts w:ascii="Times" w:eastAsia="Times"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BodyTextFirstIndent"/>
    <w:link w:val="Heading2Char"/>
    <w:uiPriority w:val="99"/>
    <w:qFormat/>
    <w:rsid w:val="004D04A4"/>
    <w:pPr>
      <w:keepNext/>
      <w:outlineLvl w:val="1"/>
    </w:pPr>
    <w:rPr>
      <w:rFonts w:ascii="Arial" w:hAnsi="Arial"/>
      <w:b/>
      <w:color w:val="000000"/>
      <w:sz w:val="28"/>
    </w:rPr>
  </w:style>
  <w:style w:type="paragraph" w:styleId="Heading3">
    <w:name w:val="heading 3"/>
    <w:basedOn w:val="Normal"/>
    <w:next w:val="Normal"/>
    <w:link w:val="Heading3Char"/>
    <w:uiPriority w:val="99"/>
    <w:qFormat/>
    <w:rsid w:val="004D04A4"/>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4D04A4"/>
    <w:pPr>
      <w:keepNext/>
      <w:tabs>
        <w:tab w:val="right" w:pos="9180"/>
      </w:tabs>
      <w:outlineLvl w:val="3"/>
    </w:pPr>
    <w:rPr>
      <w:sz w:val="28"/>
      <w:szCs w:val="28"/>
    </w:rPr>
  </w:style>
  <w:style w:type="paragraph" w:styleId="Heading5">
    <w:name w:val="heading 5"/>
    <w:basedOn w:val="Normal"/>
    <w:next w:val="Normal"/>
    <w:link w:val="Heading5Char"/>
    <w:uiPriority w:val="99"/>
    <w:qFormat/>
    <w:rsid w:val="004D04A4"/>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4D04A4"/>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4D04A4"/>
    <w:pPr>
      <w:keepNext/>
      <w:tabs>
        <w:tab w:val="left" w:pos="5400"/>
      </w:tabs>
      <w:ind w:left="2160"/>
      <w:outlineLvl w:val="6"/>
    </w:pPr>
    <w:rPr>
      <w:b/>
      <w:sz w:val="28"/>
    </w:rPr>
  </w:style>
  <w:style w:type="paragraph" w:styleId="Heading8">
    <w:name w:val="heading 8"/>
    <w:basedOn w:val="Normal"/>
    <w:next w:val="Normal"/>
    <w:link w:val="Heading8Char"/>
    <w:uiPriority w:val="99"/>
    <w:qFormat/>
    <w:rsid w:val="004D04A4"/>
    <w:pPr>
      <w:keepNext/>
      <w:jc w:val="center"/>
      <w:outlineLvl w:val="7"/>
    </w:pPr>
    <w:rPr>
      <w:b/>
      <w:sz w:val="36"/>
    </w:rPr>
  </w:style>
  <w:style w:type="paragraph" w:styleId="Heading9">
    <w:name w:val="heading 9"/>
    <w:basedOn w:val="Normal"/>
    <w:next w:val="Normal"/>
    <w:link w:val="Heading9Char"/>
    <w:uiPriority w:val="99"/>
    <w:qFormat/>
    <w:rsid w:val="004D04A4"/>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785F1E"/>
    <w:pPr>
      <w:tabs>
        <w:tab w:val="right" w:leader="dot" w:pos="9350"/>
      </w:tabs>
    </w:pPr>
    <w:rPr>
      <w:rFonts w:ascii="Times New Roman" w:hAnsi="Times New Roman"/>
      <w:szCs w:val="24"/>
      <w:lang w:val="en-CA"/>
    </w:rPr>
  </w:style>
  <w:style w:type="paragraph" w:styleId="TOC2">
    <w:name w:val="toc 2"/>
    <w:basedOn w:val="Normal"/>
    <w:next w:val="Normal"/>
    <w:autoRedefine/>
    <w:rsid w:val="006C2A1D"/>
    <w:pPr>
      <w:ind w:left="240"/>
    </w:pPr>
    <w:rPr>
      <w:rFonts w:ascii="Times New Roman" w:hAnsi="Times New Roman"/>
      <w:szCs w:val="24"/>
      <w:lang w:val="en-CA"/>
    </w:rPr>
  </w:style>
  <w:style w:type="paragraph" w:customStyle="1" w:styleId="ChapterHeading">
    <w:name w:val="ChapterHeading"/>
    <w:qFormat/>
    <w:rsid w:val="004D04A4"/>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semiHidden/>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rPr>
      <w:rFonts w:ascii="Times New Roman" w:hAnsi="Times New Roman"/>
      <w:szCs w:val="24"/>
    </w:r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9"/>
    <w:rsid w:val="004D04A4"/>
    <w:rPr>
      <w:rFonts w:ascii="Arial" w:eastAsia="Times" w:hAnsi="Arial"/>
      <w:b/>
      <w:color w:val="000000"/>
      <w:sz w:val="28"/>
    </w:rPr>
  </w:style>
  <w:style w:type="character" w:customStyle="1" w:styleId="Heading3Char">
    <w:name w:val="Heading 3 Char"/>
    <w:basedOn w:val="DefaultParagraphFont"/>
    <w:link w:val="Heading3"/>
    <w:uiPriority w:val="99"/>
    <w:rsid w:val="004D04A4"/>
    <w:rPr>
      <w:rFonts w:ascii="Times New Roman" w:eastAsia="Times" w:hAnsi="Times New Roman" w:cs="Arial"/>
      <w:b/>
      <w:bCs/>
      <w:sz w:val="24"/>
      <w:szCs w:val="26"/>
    </w:rPr>
  </w:style>
  <w:style w:type="character" w:customStyle="1" w:styleId="Heading4Char">
    <w:name w:val="Heading 4 Char"/>
    <w:basedOn w:val="DefaultParagraphFont"/>
    <w:link w:val="Heading4"/>
    <w:uiPriority w:val="99"/>
    <w:rsid w:val="004D04A4"/>
    <w:rPr>
      <w:rFonts w:ascii="Times" w:eastAsia="Times" w:hAnsi="Times"/>
      <w:sz w:val="28"/>
      <w:szCs w:val="28"/>
    </w:rPr>
  </w:style>
  <w:style w:type="character" w:customStyle="1" w:styleId="Heading5Char">
    <w:name w:val="Heading 5 Char"/>
    <w:basedOn w:val="DefaultParagraphFont"/>
    <w:link w:val="Heading5"/>
    <w:uiPriority w:val="99"/>
    <w:rsid w:val="004D04A4"/>
    <w:rPr>
      <w:rFonts w:ascii="Arial" w:eastAsia="Times" w:hAnsi="Arial"/>
      <w:b/>
      <w:bCs/>
      <w:sz w:val="24"/>
      <w:szCs w:val="40"/>
    </w:rPr>
  </w:style>
  <w:style w:type="character" w:customStyle="1" w:styleId="Heading6Char">
    <w:name w:val="Heading 6 Char"/>
    <w:basedOn w:val="DefaultParagraphFont"/>
    <w:link w:val="Heading6"/>
    <w:uiPriority w:val="99"/>
    <w:rsid w:val="004D04A4"/>
    <w:rPr>
      <w:rFonts w:ascii="Times" w:eastAsia="Times" w:hAnsi="Times"/>
      <w:b/>
      <w:sz w:val="28"/>
    </w:rPr>
  </w:style>
  <w:style w:type="character" w:customStyle="1" w:styleId="Heading7Char">
    <w:name w:val="Heading 7 Char"/>
    <w:basedOn w:val="DefaultParagraphFont"/>
    <w:link w:val="Heading7"/>
    <w:uiPriority w:val="99"/>
    <w:rsid w:val="004D04A4"/>
    <w:rPr>
      <w:rFonts w:ascii="Times" w:eastAsia="Times" w:hAnsi="Times"/>
      <w:b/>
      <w:sz w:val="28"/>
    </w:rPr>
  </w:style>
  <w:style w:type="character" w:customStyle="1" w:styleId="Heading8Char">
    <w:name w:val="Heading 8 Char"/>
    <w:basedOn w:val="DefaultParagraphFont"/>
    <w:link w:val="Heading8"/>
    <w:uiPriority w:val="99"/>
    <w:rsid w:val="004D04A4"/>
    <w:rPr>
      <w:rFonts w:ascii="Times" w:eastAsia="Times" w:hAnsi="Times"/>
      <w:b/>
      <w:sz w:val="36"/>
    </w:rPr>
  </w:style>
  <w:style w:type="character" w:customStyle="1" w:styleId="Heading9Char">
    <w:name w:val="Heading 9 Char"/>
    <w:basedOn w:val="DefaultParagraphFont"/>
    <w:link w:val="Heading9"/>
    <w:uiPriority w:val="99"/>
    <w:rsid w:val="004D04A4"/>
    <w:rPr>
      <w:rFonts w:ascii="Times" w:eastAsia="Times" w:hAnsi="Times"/>
      <w:b/>
      <w:sz w:val="28"/>
    </w:rPr>
  </w:style>
  <w:style w:type="character" w:customStyle="1" w:styleId="Heading1Char1">
    <w:name w:val="Heading 1 Char1"/>
    <w:aliases w:val="Heading 1 Char Char"/>
    <w:basedOn w:val="DefaultParagraphFont"/>
    <w:uiPriority w:val="99"/>
    <w:locked/>
    <w:rsid w:val="004D04A4"/>
    <w:rPr>
      <w:rFonts w:ascii="Cambria" w:hAnsi="Cambria" w:cs="Times New Roman"/>
      <w:b/>
      <w:bCs/>
      <w:kern w:val="32"/>
      <w:sz w:val="32"/>
      <w:szCs w:val="32"/>
    </w:rPr>
  </w:style>
  <w:style w:type="paragraph" w:styleId="BodyText0">
    <w:name w:val="Body Text"/>
    <w:basedOn w:val="Normal"/>
    <w:next w:val="BodyTextFirstIndent"/>
    <w:link w:val="BodyTextChar0"/>
    <w:uiPriority w:val="99"/>
    <w:rsid w:val="004D04A4"/>
    <w:rPr>
      <w:rFonts w:ascii="Times New Roman" w:hAnsi="Times New Roman"/>
    </w:rPr>
  </w:style>
  <w:style w:type="character" w:customStyle="1" w:styleId="BodyTextChar0">
    <w:name w:val="Body Text Char"/>
    <w:basedOn w:val="DefaultParagraphFont"/>
    <w:link w:val="BodyText0"/>
    <w:uiPriority w:val="99"/>
    <w:rsid w:val="004D04A4"/>
    <w:rPr>
      <w:rFonts w:ascii="Times New Roman" w:eastAsia="Times" w:hAnsi="Times New Roman"/>
      <w:sz w:val="24"/>
    </w:rPr>
  </w:style>
  <w:style w:type="paragraph" w:styleId="BodyTextFirstIndent">
    <w:name w:val="Body Text First Indent"/>
    <w:basedOn w:val="BodyText0"/>
    <w:link w:val="BodyTextFirstIndentChar"/>
    <w:uiPriority w:val="99"/>
    <w:rsid w:val="004D04A4"/>
    <w:pPr>
      <w:spacing w:after="120"/>
      <w:ind w:firstLine="360"/>
    </w:pPr>
    <w:rPr>
      <w:rFonts w:ascii="Times" w:hAnsi="Times"/>
    </w:rPr>
  </w:style>
  <w:style w:type="character" w:customStyle="1" w:styleId="BodyTextFirstIndentChar">
    <w:name w:val="Body Text First Indent Char"/>
    <w:basedOn w:val="BodyTextChar0"/>
    <w:link w:val="BodyTextFirstIndent"/>
    <w:uiPriority w:val="99"/>
    <w:rsid w:val="004D04A4"/>
    <w:rPr>
      <w:rFonts w:ascii="Times" w:eastAsia="Times" w:hAnsi="Times"/>
      <w:sz w:val="24"/>
    </w:rPr>
  </w:style>
  <w:style w:type="paragraph" w:styleId="Title">
    <w:name w:val="Title"/>
    <w:basedOn w:val="Normal"/>
    <w:link w:val="TitleChar"/>
    <w:uiPriority w:val="99"/>
    <w:qFormat/>
    <w:rsid w:val="004D04A4"/>
    <w:pPr>
      <w:jc w:val="center"/>
      <w:outlineLvl w:val="0"/>
    </w:pPr>
    <w:rPr>
      <w:b/>
      <w:sz w:val="40"/>
    </w:rPr>
  </w:style>
  <w:style w:type="character" w:customStyle="1" w:styleId="TitleChar">
    <w:name w:val="Title Char"/>
    <w:basedOn w:val="DefaultParagraphFont"/>
    <w:link w:val="Title"/>
    <w:uiPriority w:val="99"/>
    <w:rsid w:val="004D04A4"/>
    <w:rPr>
      <w:rFonts w:ascii="Times" w:eastAsia="Times" w:hAnsi="Times"/>
      <w:b/>
      <w:sz w:val="40"/>
    </w:rPr>
  </w:style>
  <w:style w:type="character" w:styleId="PageNumber0">
    <w:name w:val="page number"/>
    <w:basedOn w:val="DefaultParagraphFont"/>
    <w:uiPriority w:val="99"/>
    <w:rsid w:val="004D04A4"/>
    <w:rPr>
      <w:rFonts w:cs="Times New Roman"/>
    </w:rPr>
  </w:style>
  <w:style w:type="paragraph" w:customStyle="1" w:styleId="TitlePageHeader">
    <w:name w:val="Title Page Header"/>
    <w:basedOn w:val="Normal"/>
    <w:next w:val="Normal"/>
    <w:uiPriority w:val="99"/>
    <w:rsid w:val="004D04A4"/>
    <w:rPr>
      <w:b/>
      <w:i/>
      <w:sz w:val="32"/>
    </w:rPr>
  </w:style>
  <w:style w:type="paragraph" w:customStyle="1" w:styleId="ReportTitle0">
    <w:name w:val="Report Title"/>
    <w:basedOn w:val="Normal"/>
    <w:uiPriority w:val="99"/>
    <w:rsid w:val="004D04A4"/>
    <w:rPr>
      <w:rFonts w:ascii="Arial" w:hAnsi="Arial" w:cs="Arial"/>
      <w:b/>
      <w:sz w:val="36"/>
      <w:szCs w:val="36"/>
    </w:rPr>
  </w:style>
  <w:style w:type="paragraph" w:customStyle="1" w:styleId="OtherFrontmatterHeadings">
    <w:name w:val="Other Frontmatter Headings"/>
    <w:basedOn w:val="Normal"/>
    <w:uiPriority w:val="99"/>
    <w:rsid w:val="004D04A4"/>
    <w:rPr>
      <w:rFonts w:ascii="Helvetica" w:hAnsi="Helvetica"/>
      <w:b/>
      <w:color w:val="000000"/>
      <w:sz w:val="32"/>
      <w:szCs w:val="32"/>
    </w:rPr>
  </w:style>
  <w:style w:type="paragraph" w:customStyle="1" w:styleId="AbstractRun-inHeadings">
    <w:name w:val="Abstract Run-in Headings"/>
    <w:basedOn w:val="Heading1"/>
    <w:next w:val="BodyText0"/>
    <w:uiPriority w:val="99"/>
    <w:rsid w:val="004D04A4"/>
    <w:pPr>
      <w:spacing w:before="0" w:after="0"/>
    </w:pPr>
    <w:rPr>
      <w:rFonts w:ascii="Times New Roman" w:hAnsi="Times New Roman"/>
      <w:bCs w:val="0"/>
      <w:kern w:val="0"/>
      <w:sz w:val="24"/>
      <w:szCs w:val="20"/>
    </w:rPr>
  </w:style>
  <w:style w:type="paragraph" w:customStyle="1" w:styleId="DividerPageHeadings">
    <w:name w:val="Divider Page Headings"/>
    <w:basedOn w:val="Normal"/>
    <w:uiPriority w:val="99"/>
    <w:rsid w:val="004D04A4"/>
    <w:pPr>
      <w:spacing w:before="4000"/>
      <w:jc w:val="center"/>
    </w:pPr>
    <w:rPr>
      <w:rFonts w:ascii="Arial" w:hAnsi="Arial" w:cs="Arial"/>
      <w:b/>
      <w:sz w:val="36"/>
      <w:szCs w:val="36"/>
    </w:rPr>
  </w:style>
  <w:style w:type="paragraph" w:customStyle="1" w:styleId="TableandFigureHeading">
    <w:name w:val="Table and Figure Heading"/>
    <w:basedOn w:val="Normal"/>
    <w:uiPriority w:val="99"/>
    <w:rsid w:val="004D04A4"/>
    <w:rPr>
      <w:rFonts w:ascii="Arial" w:hAnsi="Arial" w:cs="Arial"/>
      <w:b/>
      <w:sz w:val="20"/>
      <w:szCs w:val="36"/>
    </w:rPr>
  </w:style>
  <w:style w:type="paragraph" w:customStyle="1" w:styleId="ReferenceBibliographyHeading">
    <w:name w:val="Reference/Bibliography Heading"/>
    <w:basedOn w:val="Normal"/>
    <w:uiPriority w:val="99"/>
    <w:rsid w:val="004D04A4"/>
    <w:rPr>
      <w:rFonts w:ascii="Times New Roman" w:hAnsi="Times New Roman" w:cs="Arial"/>
      <w:b/>
      <w:szCs w:val="36"/>
    </w:rPr>
  </w:style>
  <w:style w:type="character" w:customStyle="1" w:styleId="ReferenceBibliographyHeadingChar">
    <w:name w:val="Reference/Bibliography Heading Char"/>
    <w:basedOn w:val="DefaultParagraphFont"/>
    <w:uiPriority w:val="99"/>
    <w:rsid w:val="004D04A4"/>
    <w:rPr>
      <w:rFonts w:eastAsia="Times New Roman" w:cs="Arial"/>
      <w:b/>
      <w:sz w:val="36"/>
      <w:szCs w:val="36"/>
      <w:lang w:val="en-US" w:eastAsia="en-US" w:bidi="ar-SA"/>
    </w:rPr>
  </w:style>
  <w:style w:type="paragraph" w:customStyle="1" w:styleId="StyleReferenceBibliographyHeadingItalic">
    <w:name w:val="Style Reference/Bibliography Heading + Italic"/>
    <w:basedOn w:val="ReferenceBibliographyHeading"/>
    <w:uiPriority w:val="99"/>
    <w:rsid w:val="004D04A4"/>
    <w:rPr>
      <w:bCs/>
      <w:iCs/>
      <w:szCs w:val="24"/>
    </w:rPr>
  </w:style>
  <w:style w:type="character" w:customStyle="1" w:styleId="StyleReferenceBibliographyHeadingItalicChar">
    <w:name w:val="Style Reference/Bibliography Heading + Italic Char"/>
    <w:basedOn w:val="ReferenceBibliographyHeadingChar"/>
    <w:uiPriority w:val="99"/>
    <w:rsid w:val="004D04A4"/>
    <w:rPr>
      <w:rFonts w:eastAsia="Times New Roman" w:cs="Arial"/>
      <w:b/>
      <w:bCs/>
      <w:iCs/>
      <w:sz w:val="24"/>
      <w:szCs w:val="24"/>
      <w:lang w:val="en-US" w:eastAsia="en-US" w:bidi="ar-SA"/>
    </w:rPr>
  </w:style>
  <w:style w:type="paragraph" w:customStyle="1" w:styleId="Level1Heading0">
    <w:name w:val="Level 1 Heading"/>
    <w:basedOn w:val="OtherFrontmatterHeadings"/>
    <w:next w:val="BodyTextFirstIndent"/>
    <w:uiPriority w:val="99"/>
    <w:semiHidden/>
    <w:rsid w:val="004D04A4"/>
    <w:pPr>
      <w:jc w:val="center"/>
    </w:pPr>
  </w:style>
  <w:style w:type="paragraph" w:customStyle="1" w:styleId="Heading40">
    <w:name w:val="Heading  4"/>
    <w:basedOn w:val="Heading3"/>
    <w:next w:val="Normal"/>
    <w:uiPriority w:val="99"/>
    <w:rsid w:val="004D04A4"/>
    <w:rPr>
      <w:b w:val="0"/>
      <w:i/>
      <w:szCs w:val="24"/>
    </w:rPr>
  </w:style>
  <w:style w:type="character" w:customStyle="1" w:styleId="Heading4Char0">
    <w:name w:val="Heading  4 Char"/>
    <w:basedOn w:val="DefaultParagraphFont"/>
    <w:uiPriority w:val="99"/>
    <w:rsid w:val="004D04A4"/>
    <w:rPr>
      <w:rFonts w:eastAsia="Times New Roman" w:cs="Arial"/>
      <w:bCs/>
      <w:i/>
      <w:sz w:val="24"/>
      <w:szCs w:val="24"/>
      <w:lang w:val="en-US" w:eastAsia="en-US" w:bidi="ar-SA"/>
    </w:rPr>
  </w:style>
  <w:style w:type="paragraph" w:customStyle="1" w:styleId="ChapterHeading0">
    <w:name w:val="Chapter Heading"/>
    <w:basedOn w:val="Normal"/>
    <w:next w:val="BodyTextFirstIndent"/>
    <w:uiPriority w:val="99"/>
    <w:rsid w:val="004D04A4"/>
    <w:rPr>
      <w:rFonts w:ascii="Arial" w:hAnsi="Arial"/>
      <w:b/>
      <w:sz w:val="36"/>
    </w:rPr>
  </w:style>
  <w:style w:type="character" w:customStyle="1" w:styleId="ChapterHeadingChar">
    <w:name w:val="Chapter Heading Char"/>
    <w:basedOn w:val="DefaultParagraphFont"/>
    <w:uiPriority w:val="99"/>
    <w:rsid w:val="004D04A4"/>
    <w:rPr>
      <w:rFonts w:ascii="Arial" w:hAnsi="Arial" w:cs="Times New Roman"/>
      <w:b/>
      <w:sz w:val="36"/>
      <w:lang w:val="en-US" w:eastAsia="en-US" w:bidi="ar-SA"/>
    </w:rPr>
  </w:style>
  <w:style w:type="paragraph" w:customStyle="1" w:styleId="CitationHeading">
    <w:name w:val="Citation Heading"/>
    <w:basedOn w:val="Normal"/>
    <w:next w:val="BodyText0"/>
    <w:uiPriority w:val="99"/>
    <w:rsid w:val="004D04A4"/>
    <w:rPr>
      <w:rFonts w:ascii="Times New Roman" w:hAnsi="Times New Roman"/>
      <w:b/>
    </w:rPr>
  </w:style>
  <w:style w:type="character" w:customStyle="1" w:styleId="CharChar1">
    <w:name w:val="Char Char1"/>
    <w:basedOn w:val="DefaultParagraphFont"/>
    <w:uiPriority w:val="99"/>
    <w:rsid w:val="004D04A4"/>
    <w:rPr>
      <w:rFonts w:ascii="Arial" w:hAnsi="Arial" w:cs="Times New Roman"/>
      <w:b/>
      <w:sz w:val="32"/>
      <w:lang w:val="en-US" w:eastAsia="en-US" w:bidi="ar-SA"/>
    </w:rPr>
  </w:style>
  <w:style w:type="character" w:customStyle="1" w:styleId="AbstractRun-inHeadingsChar">
    <w:name w:val="Abstract Run-in Headings Char"/>
    <w:basedOn w:val="CharChar1"/>
    <w:uiPriority w:val="99"/>
    <w:rsid w:val="004D04A4"/>
    <w:rPr>
      <w:rFonts w:ascii="Arial" w:hAnsi="Arial" w:cs="Times New Roman"/>
      <w:b/>
      <w:sz w:val="24"/>
      <w:lang w:val="en-US" w:eastAsia="en-US" w:bidi="ar-SA"/>
    </w:rPr>
  </w:style>
  <w:style w:type="character" w:customStyle="1" w:styleId="CharChar">
    <w:name w:val="Char Char"/>
    <w:basedOn w:val="DefaultParagraphFont"/>
    <w:uiPriority w:val="99"/>
    <w:rsid w:val="004D04A4"/>
    <w:rPr>
      <w:rFonts w:eastAsia="Times New Roman" w:cs="Times New Roman"/>
      <w:sz w:val="24"/>
      <w:lang w:val="en-US" w:eastAsia="en-US" w:bidi="ar-SA"/>
    </w:rPr>
  </w:style>
  <w:style w:type="paragraph" w:customStyle="1" w:styleId="TableofContents1">
    <w:name w:val="Table of Contents 1"/>
    <w:basedOn w:val="BodyText0"/>
    <w:uiPriority w:val="99"/>
    <w:rsid w:val="004D04A4"/>
  </w:style>
  <w:style w:type="paragraph" w:customStyle="1" w:styleId="StyleTableofContent1Bold">
    <w:name w:val="Style Table of Content 1 + Bold"/>
    <w:basedOn w:val="TableofContents1"/>
    <w:uiPriority w:val="99"/>
    <w:semiHidden/>
    <w:rsid w:val="004D04A4"/>
    <w:pPr>
      <w:tabs>
        <w:tab w:val="left" w:leader="dot" w:pos="8827"/>
      </w:tabs>
    </w:pPr>
    <w:rPr>
      <w:bCs/>
      <w:szCs w:val="24"/>
    </w:rPr>
  </w:style>
  <w:style w:type="paragraph" w:customStyle="1" w:styleId="TableofContents2">
    <w:name w:val="Table of Contents 2"/>
    <w:basedOn w:val="Normal"/>
    <w:uiPriority w:val="99"/>
    <w:rsid w:val="004D04A4"/>
    <w:pPr>
      <w:tabs>
        <w:tab w:val="left" w:pos="990"/>
        <w:tab w:val="left" w:leader="dot" w:pos="8856"/>
      </w:tabs>
      <w:ind w:left="990" w:right="-360" w:hanging="540"/>
    </w:pPr>
    <w:rPr>
      <w:rFonts w:ascii="Times New Roman" w:hAnsi="Times New Roman"/>
      <w:szCs w:val="24"/>
    </w:rPr>
  </w:style>
  <w:style w:type="paragraph" w:styleId="FootnoteText">
    <w:name w:val="footnote text"/>
    <w:basedOn w:val="Normal"/>
    <w:link w:val="FootnoteTextChar"/>
    <w:uiPriority w:val="99"/>
    <w:semiHidden/>
    <w:rsid w:val="004D04A4"/>
    <w:rPr>
      <w:sz w:val="20"/>
    </w:rPr>
  </w:style>
  <w:style w:type="character" w:customStyle="1" w:styleId="FootnoteTextChar">
    <w:name w:val="Footnote Text Char"/>
    <w:basedOn w:val="DefaultParagraphFont"/>
    <w:link w:val="FootnoteText"/>
    <w:uiPriority w:val="99"/>
    <w:semiHidden/>
    <w:rsid w:val="004D04A4"/>
    <w:rPr>
      <w:rFonts w:ascii="Times" w:eastAsia="Times" w:hAnsi="Times"/>
    </w:rPr>
  </w:style>
  <w:style w:type="character" w:styleId="FootnoteReference">
    <w:name w:val="footnote reference"/>
    <w:basedOn w:val="DefaultParagraphFont"/>
    <w:uiPriority w:val="99"/>
    <w:semiHidden/>
    <w:rsid w:val="004D04A4"/>
    <w:rPr>
      <w:rFonts w:cs="Times New Roman"/>
      <w:vertAlign w:val="superscript"/>
    </w:rPr>
  </w:style>
  <w:style w:type="paragraph" w:styleId="BodyTextIndent">
    <w:name w:val="Body Text Indent"/>
    <w:basedOn w:val="Normal"/>
    <w:link w:val="BodyTextIndentChar"/>
    <w:uiPriority w:val="99"/>
    <w:rsid w:val="004D04A4"/>
    <w:pPr>
      <w:spacing w:after="120"/>
      <w:ind w:left="360"/>
    </w:pPr>
  </w:style>
  <w:style w:type="character" w:customStyle="1" w:styleId="BodyTextIndentChar">
    <w:name w:val="Body Text Indent Char"/>
    <w:basedOn w:val="DefaultParagraphFont"/>
    <w:link w:val="BodyTextIndent"/>
    <w:uiPriority w:val="99"/>
    <w:rsid w:val="004D04A4"/>
    <w:rPr>
      <w:rFonts w:ascii="Times" w:eastAsia="Times" w:hAnsi="Times"/>
      <w:sz w:val="24"/>
    </w:rPr>
  </w:style>
  <w:style w:type="paragraph" w:customStyle="1" w:styleId="xl28">
    <w:name w:val="xl28"/>
    <w:basedOn w:val="Normal"/>
    <w:uiPriority w:val="99"/>
    <w:rsid w:val="004D04A4"/>
    <w:pPr>
      <w:spacing w:before="100" w:beforeAutospacing="1" w:after="100" w:afterAutospacing="1"/>
      <w:textAlignment w:val="top"/>
    </w:pPr>
    <w:rPr>
      <w:rFonts w:ascii="Arial" w:hAnsi="Arial" w:cs="Arial"/>
      <w:b/>
      <w:bCs/>
      <w:szCs w:val="24"/>
    </w:rPr>
  </w:style>
  <w:style w:type="paragraph" w:customStyle="1" w:styleId="CERexecsumheader1">
    <w:name w:val="CER exec sum header 1"/>
    <w:basedOn w:val="Normal"/>
    <w:uiPriority w:val="99"/>
    <w:rsid w:val="004D04A4"/>
    <w:pPr>
      <w:keepNext/>
      <w:keepLines/>
      <w:spacing w:before="120"/>
    </w:pPr>
    <w:rPr>
      <w:rFonts w:ascii="Arial" w:eastAsia="Times New Roman" w:hAnsi="Arial" w:cs="Arial"/>
      <w:b/>
      <w:color w:val="000000"/>
      <w:sz w:val="22"/>
    </w:rPr>
  </w:style>
  <w:style w:type="paragraph" w:customStyle="1" w:styleId="CERexecsumtext">
    <w:name w:val="CER exec sum text"/>
    <w:basedOn w:val="Normal"/>
    <w:uiPriority w:val="99"/>
    <w:rsid w:val="004D04A4"/>
    <w:pPr>
      <w:spacing w:before="60"/>
      <w:ind w:firstLine="360"/>
    </w:pPr>
    <w:rPr>
      <w:rFonts w:ascii="Arial" w:eastAsia="Times New Roman" w:hAnsi="Arial" w:cs="Arial"/>
      <w:color w:val="000000"/>
      <w:sz w:val="20"/>
    </w:rPr>
  </w:style>
  <w:style w:type="paragraph" w:customStyle="1" w:styleId="CERexecsumbullet2">
    <w:name w:val="CER exec sum bullet 2"/>
    <w:basedOn w:val="CERexecsumtext"/>
    <w:uiPriority w:val="99"/>
    <w:rsid w:val="004D04A4"/>
    <w:pPr>
      <w:numPr>
        <w:numId w:val="6"/>
      </w:numPr>
    </w:pPr>
  </w:style>
  <w:style w:type="paragraph" w:customStyle="1" w:styleId="Title2">
    <w:name w:val="Title 2"/>
    <w:basedOn w:val="Normal"/>
    <w:uiPriority w:val="99"/>
    <w:rsid w:val="004D04A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uiPriority w:val="99"/>
    <w:rsid w:val="004D04A4"/>
    <w:pPr>
      <w:autoSpaceDE w:val="0"/>
      <w:autoSpaceDN w:val="0"/>
      <w:adjustRightInd w:val="0"/>
    </w:pPr>
    <w:rPr>
      <w:rFonts w:ascii="Arial" w:eastAsia="Times New Roman" w:hAnsi="Arial" w:cs="Arial"/>
      <w:b/>
      <w:bCs/>
      <w:sz w:val="36"/>
      <w:szCs w:val="36"/>
    </w:rPr>
  </w:style>
  <w:style w:type="paragraph" w:customStyle="1" w:styleId="CERexecsumbullet1">
    <w:name w:val="CER exec sum bullet 1"/>
    <w:basedOn w:val="CERexecsumbullet2"/>
    <w:uiPriority w:val="99"/>
    <w:rsid w:val="004D04A4"/>
    <w:pPr>
      <w:tabs>
        <w:tab w:val="num" w:pos="360"/>
      </w:tabs>
      <w:ind w:left="360"/>
    </w:pPr>
  </w:style>
  <w:style w:type="paragraph" w:customStyle="1" w:styleId="TextprovidedbyAHRQOCKT">
    <w:name w:val="Text provided by AHRQ OCKT"/>
    <w:basedOn w:val="CERexecsumtext"/>
    <w:uiPriority w:val="99"/>
    <w:rsid w:val="004D04A4"/>
    <w:rPr>
      <w:color w:val="000080"/>
    </w:rPr>
  </w:style>
  <w:style w:type="paragraph" w:styleId="BodyTextIndent2">
    <w:name w:val="Body Text Indent 2"/>
    <w:basedOn w:val="Normal"/>
    <w:link w:val="BodyTextIndent2Char"/>
    <w:uiPriority w:val="99"/>
    <w:rsid w:val="004D04A4"/>
    <w:pPr>
      <w:ind w:left="360"/>
    </w:pPr>
    <w:rPr>
      <w:rFonts w:ascii="Arial" w:eastAsia="MS Mincho" w:hAnsi="Arial"/>
      <w:b/>
      <w:szCs w:val="24"/>
    </w:rPr>
  </w:style>
  <w:style w:type="character" w:customStyle="1" w:styleId="BodyTextIndent2Char">
    <w:name w:val="Body Text Indent 2 Char"/>
    <w:basedOn w:val="DefaultParagraphFont"/>
    <w:link w:val="BodyTextIndent2"/>
    <w:uiPriority w:val="99"/>
    <w:rsid w:val="004D04A4"/>
    <w:rPr>
      <w:rFonts w:ascii="Arial" w:eastAsia="MS Mincho" w:hAnsi="Arial"/>
      <w:b/>
      <w:sz w:val="24"/>
      <w:szCs w:val="24"/>
    </w:rPr>
  </w:style>
  <w:style w:type="paragraph" w:styleId="BodyText2">
    <w:name w:val="Body Text 2"/>
    <w:basedOn w:val="Normal"/>
    <w:link w:val="BodyText2Char"/>
    <w:uiPriority w:val="99"/>
    <w:rsid w:val="004D04A4"/>
    <w:pPr>
      <w:tabs>
        <w:tab w:val="left" w:pos="990"/>
        <w:tab w:val="left" w:leader="dot" w:pos="8856"/>
      </w:tabs>
      <w:ind w:right="-360"/>
    </w:pPr>
    <w:rPr>
      <w:rFonts w:ascii="Times New Roman" w:hAnsi="Times New Roman"/>
      <w:bCs/>
      <w:iCs/>
      <w:szCs w:val="32"/>
    </w:rPr>
  </w:style>
  <w:style w:type="character" w:customStyle="1" w:styleId="BodyText2Char">
    <w:name w:val="Body Text 2 Char"/>
    <w:basedOn w:val="DefaultParagraphFont"/>
    <w:link w:val="BodyText2"/>
    <w:uiPriority w:val="99"/>
    <w:rsid w:val="004D04A4"/>
    <w:rPr>
      <w:rFonts w:ascii="Times New Roman" w:eastAsia="Times" w:hAnsi="Times New Roman"/>
      <w:bCs/>
      <w:iCs/>
      <w:sz w:val="24"/>
      <w:szCs w:val="32"/>
    </w:rPr>
  </w:style>
  <w:style w:type="character" w:styleId="FollowedHyperlink">
    <w:name w:val="FollowedHyperlink"/>
    <w:basedOn w:val="DefaultParagraphFont"/>
    <w:uiPriority w:val="99"/>
    <w:rsid w:val="004D04A4"/>
    <w:rPr>
      <w:rFonts w:cs="Times New Roman"/>
      <w:color w:val="800080"/>
      <w:u w:val="single"/>
    </w:rPr>
  </w:style>
  <w:style w:type="character" w:customStyle="1" w:styleId="Heading1CharCharChar">
    <w:name w:val="Heading 1 Char Char Char"/>
    <w:basedOn w:val="DefaultParagraphFont"/>
    <w:uiPriority w:val="99"/>
    <w:rsid w:val="004D04A4"/>
    <w:rPr>
      <w:rFonts w:ascii="Arial" w:hAnsi="Arial" w:cs="Times New Roman"/>
      <w:b/>
      <w:sz w:val="24"/>
      <w:szCs w:val="24"/>
      <w:lang w:val="en-US" w:eastAsia="en-US" w:bidi="ar-SA"/>
    </w:rPr>
  </w:style>
  <w:style w:type="paragraph" w:styleId="ListBullet">
    <w:name w:val="List Bullet"/>
    <w:basedOn w:val="Normal"/>
    <w:uiPriority w:val="99"/>
    <w:rsid w:val="004D04A4"/>
    <w:pPr>
      <w:tabs>
        <w:tab w:val="num" w:pos="360"/>
      </w:tabs>
      <w:suppressAutoHyphens/>
      <w:spacing w:before="60" w:after="60" w:line="264" w:lineRule="auto"/>
      <w:ind w:left="360" w:hanging="360"/>
    </w:pPr>
    <w:rPr>
      <w:rFonts w:ascii="Tahoma" w:eastAsia="Times New Roman" w:hAnsi="Tahoma"/>
      <w:iCs/>
      <w:sz w:val="22"/>
    </w:rPr>
  </w:style>
  <w:style w:type="character" w:customStyle="1" w:styleId="CommentTextChar">
    <w:name w:val="Comment Text Char"/>
    <w:basedOn w:val="DefaultParagraphFont"/>
    <w:link w:val="CommentText"/>
    <w:uiPriority w:val="99"/>
    <w:semiHidden/>
    <w:locked/>
    <w:rsid w:val="004D04A4"/>
  </w:style>
  <w:style w:type="character" w:styleId="LineNumber">
    <w:name w:val="line number"/>
    <w:basedOn w:val="DefaultParagraphFont"/>
    <w:uiPriority w:val="99"/>
    <w:rsid w:val="004D04A4"/>
    <w:rPr>
      <w:rFonts w:cs="Times New Roman"/>
    </w:rPr>
  </w:style>
  <w:style w:type="paragraph" w:customStyle="1" w:styleId="xl23">
    <w:name w:val="xl23"/>
    <w:basedOn w:val="Normal"/>
    <w:uiPriority w:val="99"/>
    <w:rsid w:val="004D04A4"/>
    <w:pPr>
      <w:spacing w:before="100" w:beforeAutospacing="1" w:after="100" w:afterAutospacing="1"/>
      <w:textAlignment w:val="top"/>
    </w:pPr>
    <w:rPr>
      <w:rFonts w:ascii="Arial" w:eastAsia="Times New Roman" w:hAnsi="Arial" w:cs="Arial"/>
      <w:sz w:val="16"/>
      <w:szCs w:val="16"/>
    </w:rPr>
  </w:style>
  <w:style w:type="paragraph" w:customStyle="1" w:styleId="QRResponse">
    <w:name w:val="Q&amp;R Response"/>
    <w:basedOn w:val="Normal"/>
    <w:autoRedefine/>
    <w:uiPriority w:val="99"/>
    <w:rsid w:val="004D04A4"/>
    <w:pPr>
      <w:keepNext/>
      <w:numPr>
        <w:numId w:val="7"/>
      </w:numPr>
      <w:spacing w:before="300" w:after="400"/>
      <w:outlineLvl w:val="0"/>
    </w:pPr>
    <w:rPr>
      <w:rFonts w:ascii="Arial" w:eastAsia="Times New Roman" w:hAnsi="Arial" w:cs="Arial"/>
      <w:bCs/>
      <w:kern w:val="32"/>
      <w:sz w:val="22"/>
      <w:szCs w:val="32"/>
    </w:rPr>
  </w:style>
  <w:style w:type="character" w:customStyle="1" w:styleId="CommentSubjectChar">
    <w:name w:val="Comment Subject Char"/>
    <w:basedOn w:val="CommentTextChar"/>
    <w:link w:val="CommentSubject"/>
    <w:uiPriority w:val="99"/>
    <w:semiHidden/>
    <w:locked/>
    <w:rsid w:val="004D04A4"/>
    <w:rPr>
      <w:b/>
      <w:bCs/>
    </w:rPr>
  </w:style>
  <w:style w:type="paragraph" w:styleId="BodyText3">
    <w:name w:val="Body Text 3"/>
    <w:basedOn w:val="Normal"/>
    <w:link w:val="BodyText3Char"/>
    <w:uiPriority w:val="99"/>
    <w:rsid w:val="004D04A4"/>
    <w:rPr>
      <w:rFonts w:ascii="Arial" w:hAnsi="Arial" w:cs="Arial"/>
      <w:sz w:val="20"/>
    </w:rPr>
  </w:style>
  <w:style w:type="character" w:customStyle="1" w:styleId="BodyText3Char">
    <w:name w:val="Body Text 3 Char"/>
    <w:basedOn w:val="DefaultParagraphFont"/>
    <w:link w:val="BodyText3"/>
    <w:uiPriority w:val="99"/>
    <w:rsid w:val="004D04A4"/>
    <w:rPr>
      <w:rFonts w:ascii="Arial" w:eastAsia="Times" w:hAnsi="Arial" w:cs="Arial"/>
    </w:rPr>
  </w:style>
  <w:style w:type="character" w:styleId="Strong">
    <w:name w:val="Strong"/>
    <w:basedOn w:val="DefaultParagraphFont"/>
    <w:uiPriority w:val="99"/>
    <w:qFormat/>
    <w:rsid w:val="004D04A4"/>
    <w:rPr>
      <w:rFonts w:cs="Times New Roman"/>
      <w:b/>
      <w:bCs/>
    </w:rPr>
  </w:style>
  <w:style w:type="character" w:styleId="Emphasis">
    <w:name w:val="Emphasis"/>
    <w:basedOn w:val="DefaultParagraphFont"/>
    <w:uiPriority w:val="99"/>
    <w:qFormat/>
    <w:rsid w:val="004D04A4"/>
    <w:rPr>
      <w:rFonts w:cs="Times New Roman"/>
      <w:i/>
      <w:iCs/>
    </w:rPr>
  </w:style>
  <w:style w:type="character" w:styleId="EndnoteReference">
    <w:name w:val="endnote reference"/>
    <w:basedOn w:val="DefaultParagraphFont"/>
    <w:uiPriority w:val="99"/>
    <w:semiHidden/>
    <w:rsid w:val="004D04A4"/>
    <w:rPr>
      <w:rFonts w:cs="Times New Roman"/>
      <w:vertAlign w:val="superscript"/>
    </w:rPr>
  </w:style>
  <w:style w:type="character" w:customStyle="1" w:styleId="indent">
    <w:name w:val="indent"/>
    <w:basedOn w:val="DefaultParagraphFont"/>
    <w:uiPriority w:val="99"/>
    <w:rsid w:val="004D04A4"/>
    <w:rPr>
      <w:rFonts w:cs="Times New Roman"/>
    </w:rPr>
  </w:style>
  <w:style w:type="paragraph" w:styleId="EndnoteText">
    <w:name w:val="endnote text"/>
    <w:basedOn w:val="Normal"/>
    <w:link w:val="EndnoteTextChar"/>
    <w:uiPriority w:val="99"/>
    <w:semiHidden/>
    <w:rsid w:val="004D04A4"/>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4D04A4"/>
    <w:rPr>
      <w:rFonts w:ascii="Times New Roman" w:eastAsia="Times New Roman" w:hAnsi="Times New Roman"/>
    </w:rPr>
  </w:style>
  <w:style w:type="paragraph" w:styleId="Subtitle">
    <w:name w:val="Subtitle"/>
    <w:basedOn w:val="Normal"/>
    <w:link w:val="SubtitleChar"/>
    <w:uiPriority w:val="99"/>
    <w:qFormat/>
    <w:rsid w:val="004D04A4"/>
    <w:rPr>
      <w:rFonts w:ascii="Times New Roman" w:eastAsia="Times New Roman" w:hAnsi="Times New Roman"/>
      <w:szCs w:val="24"/>
      <w:u w:val="single"/>
    </w:rPr>
  </w:style>
  <w:style w:type="character" w:customStyle="1" w:styleId="SubtitleChar">
    <w:name w:val="Subtitle Char"/>
    <w:basedOn w:val="DefaultParagraphFont"/>
    <w:link w:val="Subtitle"/>
    <w:uiPriority w:val="99"/>
    <w:rsid w:val="004D04A4"/>
    <w:rPr>
      <w:rFonts w:ascii="Times New Roman" w:eastAsia="Times New Roman" w:hAnsi="Times New Roman"/>
      <w:sz w:val="24"/>
      <w:szCs w:val="24"/>
      <w:u w:val="single"/>
    </w:rPr>
  </w:style>
  <w:style w:type="paragraph" w:styleId="BlockText">
    <w:name w:val="Block Text"/>
    <w:basedOn w:val="Normal"/>
    <w:uiPriority w:val="99"/>
    <w:rsid w:val="004D04A4"/>
    <w:pPr>
      <w:ind w:left="380" w:right="2368"/>
    </w:pPr>
    <w:rPr>
      <w:rFonts w:ascii="Arial" w:eastAsia="Times New Roman" w:hAnsi="Arial" w:cs="Arial"/>
      <w:sz w:val="20"/>
    </w:rPr>
  </w:style>
  <w:style w:type="paragraph" w:styleId="HTMLPreformatted">
    <w:name w:val="HTML Preformatted"/>
    <w:basedOn w:val="Normal"/>
    <w:link w:val="HTMLPreformattedChar"/>
    <w:uiPriority w:val="99"/>
    <w:rsid w:val="004D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Courier New"/>
      <w:szCs w:val="24"/>
    </w:rPr>
  </w:style>
  <w:style w:type="character" w:customStyle="1" w:styleId="HTMLPreformattedChar">
    <w:name w:val="HTML Preformatted Char"/>
    <w:basedOn w:val="DefaultParagraphFont"/>
    <w:link w:val="HTMLPreformatted"/>
    <w:uiPriority w:val="99"/>
    <w:rsid w:val="004D04A4"/>
    <w:rPr>
      <w:rFonts w:ascii="Arial Unicode MS" w:eastAsia="Times New Roman" w:hAnsi="Times New Roman" w:cs="Courier New"/>
      <w:sz w:val="24"/>
      <w:szCs w:val="24"/>
    </w:rPr>
  </w:style>
  <w:style w:type="character" w:styleId="HTMLTypewriter">
    <w:name w:val="HTML Typewriter"/>
    <w:basedOn w:val="DefaultParagraphFont"/>
    <w:uiPriority w:val="99"/>
    <w:rsid w:val="004D04A4"/>
    <w:rPr>
      <w:rFonts w:ascii="Arial Unicode MS" w:eastAsia="Times New Roman" w:cs="Courier New"/>
      <w:sz w:val="20"/>
      <w:szCs w:val="20"/>
    </w:rPr>
  </w:style>
  <w:style w:type="paragraph" w:customStyle="1" w:styleId="text">
    <w:name w:val="text"/>
    <w:basedOn w:val="Normal"/>
    <w:uiPriority w:val="99"/>
    <w:rsid w:val="004D04A4"/>
    <w:pPr>
      <w:spacing w:before="120"/>
      <w:ind w:firstLine="720"/>
    </w:pPr>
    <w:rPr>
      <w:rFonts w:ascii="Arial" w:eastAsia="Times New Roman" w:hAnsi="Arial"/>
      <w:szCs w:val="24"/>
    </w:rPr>
  </w:style>
  <w:style w:type="paragraph" w:customStyle="1" w:styleId="HeadingI">
    <w:name w:val="Heading I"/>
    <w:basedOn w:val="Normal"/>
    <w:uiPriority w:val="99"/>
    <w:rsid w:val="004D04A4"/>
    <w:pPr>
      <w:keepNext/>
      <w:keepLines/>
      <w:widowControl w:val="0"/>
      <w:tabs>
        <w:tab w:val="left" w:pos="450"/>
      </w:tabs>
      <w:spacing w:before="240"/>
      <w:ind w:left="450" w:hanging="450"/>
    </w:pPr>
    <w:rPr>
      <w:rFonts w:ascii="Arial" w:eastAsia="Times New Roman" w:hAnsi="Arial"/>
      <w:b/>
      <w:sz w:val="28"/>
      <w:szCs w:val="28"/>
    </w:rPr>
  </w:style>
  <w:style w:type="paragraph" w:styleId="Revision">
    <w:name w:val="Revision"/>
    <w:hidden/>
    <w:uiPriority w:val="99"/>
    <w:semiHidden/>
    <w:rsid w:val="004D04A4"/>
    <w:rPr>
      <w:rFonts w:ascii="Times" w:eastAsia="Times" w:hAnsi="Times"/>
      <w:sz w:val="24"/>
    </w:rPr>
  </w:style>
  <w:style w:type="paragraph" w:customStyle="1" w:styleId="StylePlainTextTimesNewRoman12pt">
    <w:name w:val="Style Plain Text + Times New Roman 12 pt"/>
    <w:basedOn w:val="PlainText"/>
    <w:link w:val="StylePlainTextTimesNewRoman12ptChar"/>
    <w:rsid w:val="004D04A4"/>
  </w:style>
  <w:style w:type="character" w:customStyle="1" w:styleId="StylePlainTextTimesNewRoman12ptChar">
    <w:name w:val="Style Plain Text + Times New Roman 12 pt Char"/>
    <w:basedOn w:val="DefaultParagraphFont"/>
    <w:link w:val="StylePlainTextTimesNewRoman12pt"/>
    <w:rsid w:val="004D04A4"/>
    <w:rPr>
      <w:rFonts w:ascii="Courier New" w:eastAsia="Times" w:hAnsi="Courier New" w:cs="Courier New"/>
    </w:rPr>
  </w:style>
  <w:style w:type="paragraph" w:customStyle="1" w:styleId="AHRQBODYTEXT">
    <w:name w:val="AHRQ BODY TEXT"/>
    <w:basedOn w:val="Normal"/>
    <w:link w:val="AHRQBODYTEXTChar"/>
    <w:rsid w:val="004D04A4"/>
    <w:pPr>
      <w:ind w:firstLine="360"/>
    </w:pPr>
    <w:rPr>
      <w:rFonts w:ascii="Times New Roman" w:hAnsi="Times New Roman"/>
    </w:rPr>
  </w:style>
  <w:style w:type="character" w:customStyle="1" w:styleId="AHRQBODYTEXTChar">
    <w:name w:val="AHRQ BODY TEXT Char"/>
    <w:basedOn w:val="DefaultParagraphFont"/>
    <w:link w:val="AHRQBODYTEXT"/>
    <w:rsid w:val="004D04A4"/>
    <w:rPr>
      <w:rFonts w:ascii="Times New Roman" w:eastAsia="Times" w:hAnsi="Times New Roman"/>
      <w:sz w:val="24"/>
    </w:rPr>
  </w:style>
  <w:style w:type="paragraph" w:styleId="PlainText">
    <w:name w:val="Plain Text"/>
    <w:basedOn w:val="Normal"/>
    <w:link w:val="PlainTextChar"/>
    <w:uiPriority w:val="99"/>
    <w:semiHidden/>
    <w:unhideWhenUsed/>
    <w:rsid w:val="004D04A4"/>
    <w:rPr>
      <w:rFonts w:ascii="Courier New" w:hAnsi="Courier New" w:cs="Courier New"/>
      <w:sz w:val="20"/>
    </w:rPr>
  </w:style>
  <w:style w:type="character" w:customStyle="1" w:styleId="PlainTextChar">
    <w:name w:val="Plain Text Char"/>
    <w:basedOn w:val="DefaultParagraphFont"/>
    <w:link w:val="PlainText"/>
    <w:uiPriority w:val="99"/>
    <w:semiHidden/>
    <w:rsid w:val="004D04A4"/>
    <w:rPr>
      <w:rFonts w:ascii="Courier New" w:eastAsia="Times" w:hAnsi="Courier New" w:cs="Courier New"/>
    </w:rPr>
  </w:style>
  <w:style w:type="paragraph" w:styleId="ListParagraph">
    <w:name w:val="List Paragraph"/>
    <w:basedOn w:val="Normal"/>
    <w:uiPriority w:val="34"/>
    <w:qFormat/>
    <w:rsid w:val="004D04A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4D04A4"/>
  </w:style>
  <w:style w:type="paragraph" w:styleId="Caption">
    <w:name w:val="caption"/>
    <w:basedOn w:val="Normal"/>
    <w:next w:val="Normal"/>
    <w:uiPriority w:val="35"/>
    <w:unhideWhenUsed/>
    <w:qFormat/>
    <w:rsid w:val="002A2F09"/>
    <w:pPr>
      <w:spacing w:after="60"/>
    </w:pPr>
    <w:rPr>
      <w:rFonts w:ascii="Arial" w:hAnsi="Arial"/>
      <w:b/>
      <w:bCs/>
      <w:sz w:val="20"/>
      <w:szCs w:val="18"/>
    </w:rPr>
  </w:style>
  <w:style w:type="paragraph" w:styleId="TOC3">
    <w:name w:val="toc 3"/>
    <w:basedOn w:val="Normal"/>
    <w:next w:val="Normal"/>
    <w:autoRedefine/>
    <w:uiPriority w:val="39"/>
    <w:unhideWhenUsed/>
    <w:rsid w:val="00232BB2"/>
    <w:pPr>
      <w:tabs>
        <w:tab w:val="right" w:leader="dot" w:pos="9350"/>
      </w:tabs>
      <w:ind w:left="475"/>
    </w:pPr>
  </w:style>
  <w:style w:type="paragraph" w:styleId="TableofFigures">
    <w:name w:val="table of figures"/>
    <w:basedOn w:val="Normal"/>
    <w:next w:val="Normal"/>
    <w:uiPriority w:val="99"/>
    <w:unhideWhenUsed/>
    <w:rsid w:val="00232BB2"/>
  </w:style>
  <w:style w:type="paragraph" w:styleId="DocumentMap">
    <w:name w:val="Document Map"/>
    <w:basedOn w:val="Normal"/>
    <w:link w:val="DocumentMapChar"/>
    <w:uiPriority w:val="99"/>
    <w:semiHidden/>
    <w:unhideWhenUsed/>
    <w:rsid w:val="00CC4507"/>
    <w:rPr>
      <w:rFonts w:ascii="Tahoma" w:hAnsi="Tahoma" w:cs="Tahoma"/>
      <w:sz w:val="16"/>
      <w:szCs w:val="16"/>
    </w:rPr>
  </w:style>
  <w:style w:type="character" w:customStyle="1" w:styleId="DocumentMapChar">
    <w:name w:val="Document Map Char"/>
    <w:basedOn w:val="DefaultParagraphFont"/>
    <w:link w:val="DocumentMap"/>
    <w:uiPriority w:val="99"/>
    <w:semiHidden/>
    <w:rsid w:val="00CC4507"/>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qFormat="1"/>
    <w:lsdException w:name="Emphasis" w:qFormat="1"/>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D04A4"/>
    <w:rPr>
      <w:rFonts w:ascii="Times" w:eastAsia="Times"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BodyTextFirstIndent"/>
    <w:link w:val="Heading2Char"/>
    <w:uiPriority w:val="99"/>
    <w:qFormat/>
    <w:rsid w:val="004D04A4"/>
    <w:pPr>
      <w:keepNext/>
      <w:outlineLvl w:val="1"/>
    </w:pPr>
    <w:rPr>
      <w:rFonts w:ascii="Arial" w:hAnsi="Arial"/>
      <w:b/>
      <w:color w:val="000000"/>
      <w:sz w:val="28"/>
    </w:rPr>
  </w:style>
  <w:style w:type="paragraph" w:styleId="Heading3">
    <w:name w:val="heading 3"/>
    <w:basedOn w:val="Normal"/>
    <w:next w:val="Normal"/>
    <w:link w:val="Heading3Char"/>
    <w:uiPriority w:val="99"/>
    <w:qFormat/>
    <w:rsid w:val="004D04A4"/>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4D04A4"/>
    <w:pPr>
      <w:keepNext/>
      <w:tabs>
        <w:tab w:val="right" w:pos="9180"/>
      </w:tabs>
      <w:outlineLvl w:val="3"/>
    </w:pPr>
    <w:rPr>
      <w:sz w:val="28"/>
      <w:szCs w:val="28"/>
    </w:rPr>
  </w:style>
  <w:style w:type="paragraph" w:styleId="Heading5">
    <w:name w:val="heading 5"/>
    <w:basedOn w:val="Normal"/>
    <w:next w:val="Normal"/>
    <w:link w:val="Heading5Char"/>
    <w:uiPriority w:val="99"/>
    <w:qFormat/>
    <w:rsid w:val="004D04A4"/>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4D04A4"/>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4D04A4"/>
    <w:pPr>
      <w:keepNext/>
      <w:tabs>
        <w:tab w:val="left" w:pos="5400"/>
      </w:tabs>
      <w:ind w:left="2160"/>
      <w:outlineLvl w:val="6"/>
    </w:pPr>
    <w:rPr>
      <w:b/>
      <w:sz w:val="28"/>
    </w:rPr>
  </w:style>
  <w:style w:type="paragraph" w:styleId="Heading8">
    <w:name w:val="heading 8"/>
    <w:basedOn w:val="Normal"/>
    <w:next w:val="Normal"/>
    <w:link w:val="Heading8Char"/>
    <w:uiPriority w:val="99"/>
    <w:qFormat/>
    <w:rsid w:val="004D04A4"/>
    <w:pPr>
      <w:keepNext/>
      <w:jc w:val="center"/>
      <w:outlineLvl w:val="7"/>
    </w:pPr>
    <w:rPr>
      <w:b/>
      <w:sz w:val="36"/>
    </w:rPr>
  </w:style>
  <w:style w:type="paragraph" w:styleId="Heading9">
    <w:name w:val="heading 9"/>
    <w:basedOn w:val="Normal"/>
    <w:next w:val="Normal"/>
    <w:link w:val="Heading9Char"/>
    <w:uiPriority w:val="99"/>
    <w:qFormat/>
    <w:rsid w:val="004D04A4"/>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785F1E"/>
    <w:pPr>
      <w:tabs>
        <w:tab w:val="right" w:leader="dot" w:pos="9350"/>
      </w:tabs>
    </w:pPr>
    <w:rPr>
      <w:rFonts w:ascii="Times New Roman" w:hAnsi="Times New Roman"/>
      <w:szCs w:val="24"/>
      <w:lang w:val="en-CA"/>
    </w:rPr>
  </w:style>
  <w:style w:type="paragraph" w:styleId="TOC2">
    <w:name w:val="toc 2"/>
    <w:basedOn w:val="Normal"/>
    <w:next w:val="Normal"/>
    <w:autoRedefine/>
    <w:rsid w:val="006C2A1D"/>
    <w:pPr>
      <w:ind w:left="240"/>
    </w:pPr>
    <w:rPr>
      <w:rFonts w:ascii="Times New Roman" w:hAnsi="Times New Roman"/>
      <w:szCs w:val="24"/>
      <w:lang w:val="en-CA"/>
    </w:rPr>
  </w:style>
  <w:style w:type="paragraph" w:customStyle="1" w:styleId="ChapterHeading">
    <w:name w:val="ChapterHeading"/>
    <w:qFormat/>
    <w:rsid w:val="004D04A4"/>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semiHidden/>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rPr>
      <w:rFonts w:ascii="Times New Roman" w:hAnsi="Times New Roman"/>
      <w:szCs w:val="24"/>
    </w:r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9"/>
    <w:rsid w:val="004D04A4"/>
    <w:rPr>
      <w:rFonts w:ascii="Arial" w:eastAsia="Times" w:hAnsi="Arial"/>
      <w:b/>
      <w:color w:val="000000"/>
      <w:sz w:val="28"/>
    </w:rPr>
  </w:style>
  <w:style w:type="character" w:customStyle="1" w:styleId="Heading3Char">
    <w:name w:val="Heading 3 Char"/>
    <w:basedOn w:val="DefaultParagraphFont"/>
    <w:link w:val="Heading3"/>
    <w:uiPriority w:val="99"/>
    <w:rsid w:val="004D04A4"/>
    <w:rPr>
      <w:rFonts w:ascii="Times New Roman" w:eastAsia="Times" w:hAnsi="Times New Roman" w:cs="Arial"/>
      <w:b/>
      <w:bCs/>
      <w:sz w:val="24"/>
      <w:szCs w:val="26"/>
    </w:rPr>
  </w:style>
  <w:style w:type="character" w:customStyle="1" w:styleId="Heading4Char">
    <w:name w:val="Heading 4 Char"/>
    <w:basedOn w:val="DefaultParagraphFont"/>
    <w:link w:val="Heading4"/>
    <w:uiPriority w:val="99"/>
    <w:rsid w:val="004D04A4"/>
    <w:rPr>
      <w:rFonts w:ascii="Times" w:eastAsia="Times" w:hAnsi="Times"/>
      <w:sz w:val="28"/>
      <w:szCs w:val="28"/>
    </w:rPr>
  </w:style>
  <w:style w:type="character" w:customStyle="1" w:styleId="Heading5Char">
    <w:name w:val="Heading 5 Char"/>
    <w:basedOn w:val="DefaultParagraphFont"/>
    <w:link w:val="Heading5"/>
    <w:uiPriority w:val="99"/>
    <w:rsid w:val="004D04A4"/>
    <w:rPr>
      <w:rFonts w:ascii="Arial" w:eastAsia="Times" w:hAnsi="Arial"/>
      <w:b/>
      <w:bCs/>
      <w:sz w:val="24"/>
      <w:szCs w:val="40"/>
    </w:rPr>
  </w:style>
  <w:style w:type="character" w:customStyle="1" w:styleId="Heading6Char">
    <w:name w:val="Heading 6 Char"/>
    <w:basedOn w:val="DefaultParagraphFont"/>
    <w:link w:val="Heading6"/>
    <w:uiPriority w:val="99"/>
    <w:rsid w:val="004D04A4"/>
    <w:rPr>
      <w:rFonts w:ascii="Times" w:eastAsia="Times" w:hAnsi="Times"/>
      <w:b/>
      <w:sz w:val="28"/>
    </w:rPr>
  </w:style>
  <w:style w:type="character" w:customStyle="1" w:styleId="Heading7Char">
    <w:name w:val="Heading 7 Char"/>
    <w:basedOn w:val="DefaultParagraphFont"/>
    <w:link w:val="Heading7"/>
    <w:uiPriority w:val="99"/>
    <w:rsid w:val="004D04A4"/>
    <w:rPr>
      <w:rFonts w:ascii="Times" w:eastAsia="Times" w:hAnsi="Times"/>
      <w:b/>
      <w:sz w:val="28"/>
    </w:rPr>
  </w:style>
  <w:style w:type="character" w:customStyle="1" w:styleId="Heading8Char">
    <w:name w:val="Heading 8 Char"/>
    <w:basedOn w:val="DefaultParagraphFont"/>
    <w:link w:val="Heading8"/>
    <w:uiPriority w:val="99"/>
    <w:rsid w:val="004D04A4"/>
    <w:rPr>
      <w:rFonts w:ascii="Times" w:eastAsia="Times" w:hAnsi="Times"/>
      <w:b/>
      <w:sz w:val="36"/>
    </w:rPr>
  </w:style>
  <w:style w:type="character" w:customStyle="1" w:styleId="Heading9Char">
    <w:name w:val="Heading 9 Char"/>
    <w:basedOn w:val="DefaultParagraphFont"/>
    <w:link w:val="Heading9"/>
    <w:uiPriority w:val="99"/>
    <w:rsid w:val="004D04A4"/>
    <w:rPr>
      <w:rFonts w:ascii="Times" w:eastAsia="Times" w:hAnsi="Times"/>
      <w:b/>
      <w:sz w:val="28"/>
    </w:rPr>
  </w:style>
  <w:style w:type="character" w:customStyle="1" w:styleId="Heading1Char1">
    <w:name w:val="Heading 1 Char1"/>
    <w:aliases w:val="Heading 1 Char Char"/>
    <w:basedOn w:val="DefaultParagraphFont"/>
    <w:uiPriority w:val="99"/>
    <w:locked/>
    <w:rsid w:val="004D04A4"/>
    <w:rPr>
      <w:rFonts w:ascii="Cambria" w:hAnsi="Cambria" w:cs="Times New Roman"/>
      <w:b/>
      <w:bCs/>
      <w:kern w:val="32"/>
      <w:sz w:val="32"/>
      <w:szCs w:val="32"/>
    </w:rPr>
  </w:style>
  <w:style w:type="paragraph" w:styleId="BodyText0">
    <w:name w:val="Body Text"/>
    <w:basedOn w:val="Normal"/>
    <w:next w:val="BodyTextFirstIndent"/>
    <w:link w:val="BodyTextChar0"/>
    <w:uiPriority w:val="99"/>
    <w:rsid w:val="004D04A4"/>
    <w:rPr>
      <w:rFonts w:ascii="Times New Roman" w:hAnsi="Times New Roman"/>
    </w:rPr>
  </w:style>
  <w:style w:type="character" w:customStyle="1" w:styleId="BodyTextChar0">
    <w:name w:val="Body Text Char"/>
    <w:basedOn w:val="DefaultParagraphFont"/>
    <w:link w:val="BodyText0"/>
    <w:uiPriority w:val="99"/>
    <w:rsid w:val="004D04A4"/>
    <w:rPr>
      <w:rFonts w:ascii="Times New Roman" w:eastAsia="Times" w:hAnsi="Times New Roman"/>
      <w:sz w:val="24"/>
    </w:rPr>
  </w:style>
  <w:style w:type="paragraph" w:styleId="BodyTextFirstIndent">
    <w:name w:val="Body Text First Indent"/>
    <w:basedOn w:val="BodyText0"/>
    <w:link w:val="BodyTextFirstIndentChar"/>
    <w:uiPriority w:val="99"/>
    <w:rsid w:val="004D04A4"/>
    <w:pPr>
      <w:spacing w:after="120"/>
      <w:ind w:firstLine="360"/>
    </w:pPr>
    <w:rPr>
      <w:rFonts w:ascii="Times" w:hAnsi="Times"/>
    </w:rPr>
  </w:style>
  <w:style w:type="character" w:customStyle="1" w:styleId="BodyTextFirstIndentChar">
    <w:name w:val="Body Text First Indent Char"/>
    <w:basedOn w:val="BodyTextChar0"/>
    <w:link w:val="BodyTextFirstIndent"/>
    <w:uiPriority w:val="99"/>
    <w:rsid w:val="004D04A4"/>
    <w:rPr>
      <w:rFonts w:ascii="Times" w:eastAsia="Times" w:hAnsi="Times"/>
      <w:sz w:val="24"/>
    </w:rPr>
  </w:style>
  <w:style w:type="paragraph" w:styleId="Title">
    <w:name w:val="Title"/>
    <w:basedOn w:val="Normal"/>
    <w:link w:val="TitleChar"/>
    <w:uiPriority w:val="99"/>
    <w:qFormat/>
    <w:rsid w:val="004D04A4"/>
    <w:pPr>
      <w:jc w:val="center"/>
      <w:outlineLvl w:val="0"/>
    </w:pPr>
    <w:rPr>
      <w:b/>
      <w:sz w:val="40"/>
    </w:rPr>
  </w:style>
  <w:style w:type="character" w:customStyle="1" w:styleId="TitleChar">
    <w:name w:val="Title Char"/>
    <w:basedOn w:val="DefaultParagraphFont"/>
    <w:link w:val="Title"/>
    <w:uiPriority w:val="99"/>
    <w:rsid w:val="004D04A4"/>
    <w:rPr>
      <w:rFonts w:ascii="Times" w:eastAsia="Times" w:hAnsi="Times"/>
      <w:b/>
      <w:sz w:val="40"/>
    </w:rPr>
  </w:style>
  <w:style w:type="character" w:styleId="PageNumber0">
    <w:name w:val="page number"/>
    <w:basedOn w:val="DefaultParagraphFont"/>
    <w:uiPriority w:val="99"/>
    <w:rsid w:val="004D04A4"/>
    <w:rPr>
      <w:rFonts w:cs="Times New Roman"/>
    </w:rPr>
  </w:style>
  <w:style w:type="paragraph" w:customStyle="1" w:styleId="TitlePageHeader">
    <w:name w:val="Title Page Header"/>
    <w:basedOn w:val="Normal"/>
    <w:next w:val="Normal"/>
    <w:uiPriority w:val="99"/>
    <w:rsid w:val="004D04A4"/>
    <w:rPr>
      <w:b/>
      <w:i/>
      <w:sz w:val="32"/>
    </w:rPr>
  </w:style>
  <w:style w:type="paragraph" w:customStyle="1" w:styleId="ReportTitle0">
    <w:name w:val="Report Title"/>
    <w:basedOn w:val="Normal"/>
    <w:uiPriority w:val="99"/>
    <w:rsid w:val="004D04A4"/>
    <w:rPr>
      <w:rFonts w:ascii="Arial" w:hAnsi="Arial" w:cs="Arial"/>
      <w:b/>
      <w:sz w:val="36"/>
      <w:szCs w:val="36"/>
    </w:rPr>
  </w:style>
  <w:style w:type="paragraph" w:customStyle="1" w:styleId="OtherFrontmatterHeadings">
    <w:name w:val="Other Frontmatter Headings"/>
    <w:basedOn w:val="Normal"/>
    <w:uiPriority w:val="99"/>
    <w:rsid w:val="004D04A4"/>
    <w:rPr>
      <w:rFonts w:ascii="Helvetica" w:hAnsi="Helvetica"/>
      <w:b/>
      <w:color w:val="000000"/>
      <w:sz w:val="32"/>
      <w:szCs w:val="32"/>
    </w:rPr>
  </w:style>
  <w:style w:type="paragraph" w:customStyle="1" w:styleId="AbstractRun-inHeadings">
    <w:name w:val="Abstract Run-in Headings"/>
    <w:basedOn w:val="Heading1"/>
    <w:next w:val="BodyText0"/>
    <w:uiPriority w:val="99"/>
    <w:rsid w:val="004D04A4"/>
    <w:pPr>
      <w:spacing w:before="0" w:after="0"/>
    </w:pPr>
    <w:rPr>
      <w:rFonts w:ascii="Times New Roman" w:hAnsi="Times New Roman"/>
      <w:bCs w:val="0"/>
      <w:kern w:val="0"/>
      <w:sz w:val="24"/>
      <w:szCs w:val="20"/>
    </w:rPr>
  </w:style>
  <w:style w:type="paragraph" w:customStyle="1" w:styleId="DividerPageHeadings">
    <w:name w:val="Divider Page Headings"/>
    <w:basedOn w:val="Normal"/>
    <w:uiPriority w:val="99"/>
    <w:rsid w:val="004D04A4"/>
    <w:pPr>
      <w:spacing w:before="4000"/>
      <w:jc w:val="center"/>
    </w:pPr>
    <w:rPr>
      <w:rFonts w:ascii="Arial" w:hAnsi="Arial" w:cs="Arial"/>
      <w:b/>
      <w:sz w:val="36"/>
      <w:szCs w:val="36"/>
    </w:rPr>
  </w:style>
  <w:style w:type="paragraph" w:customStyle="1" w:styleId="TableandFigureHeading">
    <w:name w:val="Table and Figure Heading"/>
    <w:basedOn w:val="Normal"/>
    <w:uiPriority w:val="99"/>
    <w:rsid w:val="004D04A4"/>
    <w:rPr>
      <w:rFonts w:ascii="Arial" w:hAnsi="Arial" w:cs="Arial"/>
      <w:b/>
      <w:sz w:val="20"/>
      <w:szCs w:val="36"/>
    </w:rPr>
  </w:style>
  <w:style w:type="paragraph" w:customStyle="1" w:styleId="ReferenceBibliographyHeading">
    <w:name w:val="Reference/Bibliography Heading"/>
    <w:basedOn w:val="Normal"/>
    <w:uiPriority w:val="99"/>
    <w:rsid w:val="004D04A4"/>
    <w:rPr>
      <w:rFonts w:ascii="Times New Roman" w:hAnsi="Times New Roman" w:cs="Arial"/>
      <w:b/>
      <w:szCs w:val="36"/>
    </w:rPr>
  </w:style>
  <w:style w:type="character" w:customStyle="1" w:styleId="ReferenceBibliographyHeadingChar">
    <w:name w:val="Reference/Bibliography Heading Char"/>
    <w:basedOn w:val="DefaultParagraphFont"/>
    <w:uiPriority w:val="99"/>
    <w:rsid w:val="004D04A4"/>
    <w:rPr>
      <w:rFonts w:eastAsia="Times New Roman" w:cs="Arial"/>
      <w:b/>
      <w:sz w:val="36"/>
      <w:szCs w:val="36"/>
      <w:lang w:val="en-US" w:eastAsia="en-US" w:bidi="ar-SA"/>
    </w:rPr>
  </w:style>
  <w:style w:type="paragraph" w:customStyle="1" w:styleId="StyleReferenceBibliographyHeadingItalic">
    <w:name w:val="Style Reference/Bibliography Heading + Italic"/>
    <w:basedOn w:val="ReferenceBibliographyHeading"/>
    <w:uiPriority w:val="99"/>
    <w:rsid w:val="004D04A4"/>
    <w:rPr>
      <w:bCs/>
      <w:iCs/>
      <w:szCs w:val="24"/>
    </w:rPr>
  </w:style>
  <w:style w:type="character" w:customStyle="1" w:styleId="StyleReferenceBibliographyHeadingItalicChar">
    <w:name w:val="Style Reference/Bibliography Heading + Italic Char"/>
    <w:basedOn w:val="ReferenceBibliographyHeadingChar"/>
    <w:uiPriority w:val="99"/>
    <w:rsid w:val="004D04A4"/>
    <w:rPr>
      <w:rFonts w:eastAsia="Times New Roman" w:cs="Arial"/>
      <w:b/>
      <w:bCs/>
      <w:iCs/>
      <w:sz w:val="24"/>
      <w:szCs w:val="24"/>
      <w:lang w:val="en-US" w:eastAsia="en-US" w:bidi="ar-SA"/>
    </w:rPr>
  </w:style>
  <w:style w:type="paragraph" w:customStyle="1" w:styleId="Level1Heading0">
    <w:name w:val="Level 1 Heading"/>
    <w:basedOn w:val="OtherFrontmatterHeadings"/>
    <w:next w:val="BodyTextFirstIndent"/>
    <w:uiPriority w:val="99"/>
    <w:semiHidden/>
    <w:rsid w:val="004D04A4"/>
    <w:pPr>
      <w:jc w:val="center"/>
    </w:pPr>
  </w:style>
  <w:style w:type="paragraph" w:customStyle="1" w:styleId="Heading40">
    <w:name w:val="Heading  4"/>
    <w:basedOn w:val="Heading3"/>
    <w:next w:val="Normal"/>
    <w:uiPriority w:val="99"/>
    <w:rsid w:val="004D04A4"/>
    <w:rPr>
      <w:b w:val="0"/>
      <w:i/>
      <w:szCs w:val="24"/>
    </w:rPr>
  </w:style>
  <w:style w:type="character" w:customStyle="1" w:styleId="Heading4Char0">
    <w:name w:val="Heading  4 Char"/>
    <w:basedOn w:val="DefaultParagraphFont"/>
    <w:uiPriority w:val="99"/>
    <w:rsid w:val="004D04A4"/>
    <w:rPr>
      <w:rFonts w:eastAsia="Times New Roman" w:cs="Arial"/>
      <w:bCs/>
      <w:i/>
      <w:sz w:val="24"/>
      <w:szCs w:val="24"/>
      <w:lang w:val="en-US" w:eastAsia="en-US" w:bidi="ar-SA"/>
    </w:rPr>
  </w:style>
  <w:style w:type="paragraph" w:customStyle="1" w:styleId="ChapterHeading0">
    <w:name w:val="Chapter Heading"/>
    <w:basedOn w:val="Normal"/>
    <w:next w:val="BodyTextFirstIndent"/>
    <w:uiPriority w:val="99"/>
    <w:rsid w:val="004D04A4"/>
    <w:rPr>
      <w:rFonts w:ascii="Arial" w:hAnsi="Arial"/>
      <w:b/>
      <w:sz w:val="36"/>
    </w:rPr>
  </w:style>
  <w:style w:type="character" w:customStyle="1" w:styleId="ChapterHeadingChar">
    <w:name w:val="Chapter Heading Char"/>
    <w:basedOn w:val="DefaultParagraphFont"/>
    <w:uiPriority w:val="99"/>
    <w:rsid w:val="004D04A4"/>
    <w:rPr>
      <w:rFonts w:ascii="Arial" w:hAnsi="Arial" w:cs="Times New Roman"/>
      <w:b/>
      <w:sz w:val="36"/>
      <w:lang w:val="en-US" w:eastAsia="en-US" w:bidi="ar-SA"/>
    </w:rPr>
  </w:style>
  <w:style w:type="paragraph" w:customStyle="1" w:styleId="CitationHeading">
    <w:name w:val="Citation Heading"/>
    <w:basedOn w:val="Normal"/>
    <w:next w:val="BodyText0"/>
    <w:uiPriority w:val="99"/>
    <w:rsid w:val="004D04A4"/>
    <w:rPr>
      <w:rFonts w:ascii="Times New Roman" w:hAnsi="Times New Roman"/>
      <w:b/>
    </w:rPr>
  </w:style>
  <w:style w:type="character" w:customStyle="1" w:styleId="CharChar1">
    <w:name w:val="Char Char1"/>
    <w:basedOn w:val="DefaultParagraphFont"/>
    <w:uiPriority w:val="99"/>
    <w:rsid w:val="004D04A4"/>
    <w:rPr>
      <w:rFonts w:ascii="Arial" w:hAnsi="Arial" w:cs="Times New Roman"/>
      <w:b/>
      <w:sz w:val="32"/>
      <w:lang w:val="en-US" w:eastAsia="en-US" w:bidi="ar-SA"/>
    </w:rPr>
  </w:style>
  <w:style w:type="character" w:customStyle="1" w:styleId="AbstractRun-inHeadingsChar">
    <w:name w:val="Abstract Run-in Headings Char"/>
    <w:basedOn w:val="CharChar1"/>
    <w:uiPriority w:val="99"/>
    <w:rsid w:val="004D04A4"/>
    <w:rPr>
      <w:rFonts w:ascii="Arial" w:hAnsi="Arial" w:cs="Times New Roman"/>
      <w:b/>
      <w:sz w:val="24"/>
      <w:lang w:val="en-US" w:eastAsia="en-US" w:bidi="ar-SA"/>
    </w:rPr>
  </w:style>
  <w:style w:type="character" w:customStyle="1" w:styleId="CharChar">
    <w:name w:val="Char Char"/>
    <w:basedOn w:val="DefaultParagraphFont"/>
    <w:uiPriority w:val="99"/>
    <w:rsid w:val="004D04A4"/>
    <w:rPr>
      <w:rFonts w:eastAsia="Times New Roman" w:cs="Times New Roman"/>
      <w:sz w:val="24"/>
      <w:lang w:val="en-US" w:eastAsia="en-US" w:bidi="ar-SA"/>
    </w:rPr>
  </w:style>
  <w:style w:type="paragraph" w:customStyle="1" w:styleId="TableofContents1">
    <w:name w:val="Table of Contents 1"/>
    <w:basedOn w:val="BodyText0"/>
    <w:uiPriority w:val="99"/>
    <w:rsid w:val="004D04A4"/>
  </w:style>
  <w:style w:type="paragraph" w:customStyle="1" w:styleId="StyleTableofContent1Bold">
    <w:name w:val="Style Table of Content 1 + Bold"/>
    <w:basedOn w:val="TableofContents1"/>
    <w:uiPriority w:val="99"/>
    <w:semiHidden/>
    <w:rsid w:val="004D04A4"/>
    <w:pPr>
      <w:tabs>
        <w:tab w:val="left" w:leader="dot" w:pos="8827"/>
      </w:tabs>
    </w:pPr>
    <w:rPr>
      <w:bCs/>
      <w:szCs w:val="24"/>
    </w:rPr>
  </w:style>
  <w:style w:type="paragraph" w:customStyle="1" w:styleId="TableofContents2">
    <w:name w:val="Table of Contents 2"/>
    <w:basedOn w:val="Normal"/>
    <w:uiPriority w:val="99"/>
    <w:rsid w:val="004D04A4"/>
    <w:pPr>
      <w:tabs>
        <w:tab w:val="left" w:pos="990"/>
        <w:tab w:val="left" w:leader="dot" w:pos="8856"/>
      </w:tabs>
      <w:ind w:left="990" w:right="-360" w:hanging="540"/>
    </w:pPr>
    <w:rPr>
      <w:rFonts w:ascii="Times New Roman" w:hAnsi="Times New Roman"/>
      <w:szCs w:val="24"/>
    </w:rPr>
  </w:style>
  <w:style w:type="paragraph" w:styleId="FootnoteText">
    <w:name w:val="footnote text"/>
    <w:basedOn w:val="Normal"/>
    <w:link w:val="FootnoteTextChar"/>
    <w:uiPriority w:val="99"/>
    <w:semiHidden/>
    <w:rsid w:val="004D04A4"/>
    <w:rPr>
      <w:sz w:val="20"/>
    </w:rPr>
  </w:style>
  <w:style w:type="character" w:customStyle="1" w:styleId="FootnoteTextChar">
    <w:name w:val="Footnote Text Char"/>
    <w:basedOn w:val="DefaultParagraphFont"/>
    <w:link w:val="FootnoteText"/>
    <w:uiPriority w:val="99"/>
    <w:semiHidden/>
    <w:rsid w:val="004D04A4"/>
    <w:rPr>
      <w:rFonts w:ascii="Times" w:eastAsia="Times" w:hAnsi="Times"/>
    </w:rPr>
  </w:style>
  <w:style w:type="character" w:styleId="FootnoteReference">
    <w:name w:val="footnote reference"/>
    <w:basedOn w:val="DefaultParagraphFont"/>
    <w:uiPriority w:val="99"/>
    <w:semiHidden/>
    <w:rsid w:val="004D04A4"/>
    <w:rPr>
      <w:rFonts w:cs="Times New Roman"/>
      <w:vertAlign w:val="superscript"/>
    </w:rPr>
  </w:style>
  <w:style w:type="paragraph" w:styleId="BodyTextIndent">
    <w:name w:val="Body Text Indent"/>
    <w:basedOn w:val="Normal"/>
    <w:link w:val="BodyTextIndentChar"/>
    <w:uiPriority w:val="99"/>
    <w:rsid w:val="004D04A4"/>
    <w:pPr>
      <w:spacing w:after="120"/>
      <w:ind w:left="360"/>
    </w:pPr>
  </w:style>
  <w:style w:type="character" w:customStyle="1" w:styleId="BodyTextIndentChar">
    <w:name w:val="Body Text Indent Char"/>
    <w:basedOn w:val="DefaultParagraphFont"/>
    <w:link w:val="BodyTextIndent"/>
    <w:uiPriority w:val="99"/>
    <w:rsid w:val="004D04A4"/>
    <w:rPr>
      <w:rFonts w:ascii="Times" w:eastAsia="Times" w:hAnsi="Times"/>
      <w:sz w:val="24"/>
    </w:rPr>
  </w:style>
  <w:style w:type="paragraph" w:customStyle="1" w:styleId="xl28">
    <w:name w:val="xl28"/>
    <w:basedOn w:val="Normal"/>
    <w:uiPriority w:val="99"/>
    <w:rsid w:val="004D04A4"/>
    <w:pPr>
      <w:spacing w:before="100" w:beforeAutospacing="1" w:after="100" w:afterAutospacing="1"/>
      <w:textAlignment w:val="top"/>
    </w:pPr>
    <w:rPr>
      <w:rFonts w:ascii="Arial" w:hAnsi="Arial" w:cs="Arial"/>
      <w:b/>
      <w:bCs/>
      <w:szCs w:val="24"/>
    </w:rPr>
  </w:style>
  <w:style w:type="paragraph" w:customStyle="1" w:styleId="CERexecsumheader1">
    <w:name w:val="CER exec sum header 1"/>
    <w:basedOn w:val="Normal"/>
    <w:uiPriority w:val="99"/>
    <w:rsid w:val="004D04A4"/>
    <w:pPr>
      <w:keepNext/>
      <w:keepLines/>
      <w:spacing w:before="120"/>
    </w:pPr>
    <w:rPr>
      <w:rFonts w:ascii="Arial" w:eastAsia="Times New Roman" w:hAnsi="Arial" w:cs="Arial"/>
      <w:b/>
      <w:color w:val="000000"/>
      <w:sz w:val="22"/>
    </w:rPr>
  </w:style>
  <w:style w:type="paragraph" w:customStyle="1" w:styleId="CERexecsumtext">
    <w:name w:val="CER exec sum text"/>
    <w:basedOn w:val="Normal"/>
    <w:uiPriority w:val="99"/>
    <w:rsid w:val="004D04A4"/>
    <w:pPr>
      <w:spacing w:before="60"/>
      <w:ind w:firstLine="360"/>
    </w:pPr>
    <w:rPr>
      <w:rFonts w:ascii="Arial" w:eastAsia="Times New Roman" w:hAnsi="Arial" w:cs="Arial"/>
      <w:color w:val="000000"/>
      <w:sz w:val="20"/>
    </w:rPr>
  </w:style>
  <w:style w:type="paragraph" w:customStyle="1" w:styleId="CERexecsumbullet2">
    <w:name w:val="CER exec sum bullet 2"/>
    <w:basedOn w:val="CERexecsumtext"/>
    <w:uiPriority w:val="99"/>
    <w:rsid w:val="004D04A4"/>
    <w:pPr>
      <w:numPr>
        <w:numId w:val="6"/>
      </w:numPr>
    </w:pPr>
  </w:style>
  <w:style w:type="paragraph" w:customStyle="1" w:styleId="Title2">
    <w:name w:val="Title 2"/>
    <w:basedOn w:val="Normal"/>
    <w:uiPriority w:val="99"/>
    <w:rsid w:val="004D04A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uiPriority w:val="99"/>
    <w:rsid w:val="004D04A4"/>
    <w:pPr>
      <w:autoSpaceDE w:val="0"/>
      <w:autoSpaceDN w:val="0"/>
      <w:adjustRightInd w:val="0"/>
    </w:pPr>
    <w:rPr>
      <w:rFonts w:ascii="Arial" w:eastAsia="Times New Roman" w:hAnsi="Arial" w:cs="Arial"/>
      <w:b/>
      <w:bCs/>
      <w:sz w:val="36"/>
      <w:szCs w:val="36"/>
    </w:rPr>
  </w:style>
  <w:style w:type="paragraph" w:customStyle="1" w:styleId="CERexecsumbullet1">
    <w:name w:val="CER exec sum bullet 1"/>
    <w:basedOn w:val="CERexecsumbullet2"/>
    <w:uiPriority w:val="99"/>
    <w:rsid w:val="004D04A4"/>
    <w:pPr>
      <w:tabs>
        <w:tab w:val="num" w:pos="360"/>
      </w:tabs>
      <w:ind w:left="360"/>
    </w:pPr>
  </w:style>
  <w:style w:type="paragraph" w:customStyle="1" w:styleId="TextprovidedbyAHRQOCKT">
    <w:name w:val="Text provided by AHRQ OCKT"/>
    <w:basedOn w:val="CERexecsumtext"/>
    <w:uiPriority w:val="99"/>
    <w:rsid w:val="004D04A4"/>
    <w:rPr>
      <w:color w:val="000080"/>
    </w:rPr>
  </w:style>
  <w:style w:type="paragraph" w:styleId="BodyTextIndent2">
    <w:name w:val="Body Text Indent 2"/>
    <w:basedOn w:val="Normal"/>
    <w:link w:val="BodyTextIndent2Char"/>
    <w:uiPriority w:val="99"/>
    <w:rsid w:val="004D04A4"/>
    <w:pPr>
      <w:ind w:left="360"/>
    </w:pPr>
    <w:rPr>
      <w:rFonts w:ascii="Arial" w:eastAsia="MS Mincho" w:hAnsi="Arial"/>
      <w:b/>
      <w:szCs w:val="24"/>
    </w:rPr>
  </w:style>
  <w:style w:type="character" w:customStyle="1" w:styleId="BodyTextIndent2Char">
    <w:name w:val="Body Text Indent 2 Char"/>
    <w:basedOn w:val="DefaultParagraphFont"/>
    <w:link w:val="BodyTextIndent2"/>
    <w:uiPriority w:val="99"/>
    <w:rsid w:val="004D04A4"/>
    <w:rPr>
      <w:rFonts w:ascii="Arial" w:eastAsia="MS Mincho" w:hAnsi="Arial"/>
      <w:b/>
      <w:sz w:val="24"/>
      <w:szCs w:val="24"/>
    </w:rPr>
  </w:style>
  <w:style w:type="paragraph" w:styleId="BodyText2">
    <w:name w:val="Body Text 2"/>
    <w:basedOn w:val="Normal"/>
    <w:link w:val="BodyText2Char"/>
    <w:uiPriority w:val="99"/>
    <w:rsid w:val="004D04A4"/>
    <w:pPr>
      <w:tabs>
        <w:tab w:val="left" w:pos="990"/>
        <w:tab w:val="left" w:leader="dot" w:pos="8856"/>
      </w:tabs>
      <w:ind w:right="-360"/>
    </w:pPr>
    <w:rPr>
      <w:rFonts w:ascii="Times New Roman" w:hAnsi="Times New Roman"/>
      <w:bCs/>
      <w:iCs/>
      <w:szCs w:val="32"/>
    </w:rPr>
  </w:style>
  <w:style w:type="character" w:customStyle="1" w:styleId="BodyText2Char">
    <w:name w:val="Body Text 2 Char"/>
    <w:basedOn w:val="DefaultParagraphFont"/>
    <w:link w:val="BodyText2"/>
    <w:uiPriority w:val="99"/>
    <w:rsid w:val="004D04A4"/>
    <w:rPr>
      <w:rFonts w:ascii="Times New Roman" w:eastAsia="Times" w:hAnsi="Times New Roman"/>
      <w:bCs/>
      <w:iCs/>
      <w:sz w:val="24"/>
      <w:szCs w:val="32"/>
    </w:rPr>
  </w:style>
  <w:style w:type="character" w:styleId="FollowedHyperlink">
    <w:name w:val="FollowedHyperlink"/>
    <w:basedOn w:val="DefaultParagraphFont"/>
    <w:uiPriority w:val="99"/>
    <w:rsid w:val="004D04A4"/>
    <w:rPr>
      <w:rFonts w:cs="Times New Roman"/>
      <w:color w:val="800080"/>
      <w:u w:val="single"/>
    </w:rPr>
  </w:style>
  <w:style w:type="character" w:customStyle="1" w:styleId="Heading1CharCharChar">
    <w:name w:val="Heading 1 Char Char Char"/>
    <w:basedOn w:val="DefaultParagraphFont"/>
    <w:uiPriority w:val="99"/>
    <w:rsid w:val="004D04A4"/>
    <w:rPr>
      <w:rFonts w:ascii="Arial" w:hAnsi="Arial" w:cs="Times New Roman"/>
      <w:b/>
      <w:sz w:val="24"/>
      <w:szCs w:val="24"/>
      <w:lang w:val="en-US" w:eastAsia="en-US" w:bidi="ar-SA"/>
    </w:rPr>
  </w:style>
  <w:style w:type="paragraph" w:styleId="ListBullet">
    <w:name w:val="List Bullet"/>
    <w:basedOn w:val="Normal"/>
    <w:uiPriority w:val="99"/>
    <w:rsid w:val="004D04A4"/>
    <w:pPr>
      <w:tabs>
        <w:tab w:val="num" w:pos="360"/>
      </w:tabs>
      <w:suppressAutoHyphens/>
      <w:spacing w:before="60" w:after="60" w:line="264" w:lineRule="auto"/>
      <w:ind w:left="360" w:hanging="360"/>
    </w:pPr>
    <w:rPr>
      <w:rFonts w:ascii="Tahoma" w:eastAsia="Times New Roman" w:hAnsi="Tahoma"/>
      <w:iCs/>
      <w:sz w:val="22"/>
    </w:rPr>
  </w:style>
  <w:style w:type="character" w:customStyle="1" w:styleId="CommentTextChar">
    <w:name w:val="Comment Text Char"/>
    <w:basedOn w:val="DefaultParagraphFont"/>
    <w:link w:val="CommentText"/>
    <w:uiPriority w:val="99"/>
    <w:semiHidden/>
    <w:locked/>
    <w:rsid w:val="004D04A4"/>
  </w:style>
  <w:style w:type="character" w:styleId="LineNumber">
    <w:name w:val="line number"/>
    <w:basedOn w:val="DefaultParagraphFont"/>
    <w:uiPriority w:val="99"/>
    <w:rsid w:val="004D04A4"/>
    <w:rPr>
      <w:rFonts w:cs="Times New Roman"/>
    </w:rPr>
  </w:style>
  <w:style w:type="paragraph" w:customStyle="1" w:styleId="xl23">
    <w:name w:val="xl23"/>
    <w:basedOn w:val="Normal"/>
    <w:uiPriority w:val="99"/>
    <w:rsid w:val="004D04A4"/>
    <w:pPr>
      <w:spacing w:before="100" w:beforeAutospacing="1" w:after="100" w:afterAutospacing="1"/>
      <w:textAlignment w:val="top"/>
    </w:pPr>
    <w:rPr>
      <w:rFonts w:ascii="Arial" w:eastAsia="Times New Roman" w:hAnsi="Arial" w:cs="Arial"/>
      <w:sz w:val="16"/>
      <w:szCs w:val="16"/>
    </w:rPr>
  </w:style>
  <w:style w:type="paragraph" w:customStyle="1" w:styleId="QRResponse">
    <w:name w:val="Q&amp;R Response"/>
    <w:basedOn w:val="Normal"/>
    <w:autoRedefine/>
    <w:uiPriority w:val="99"/>
    <w:rsid w:val="004D04A4"/>
    <w:pPr>
      <w:keepNext/>
      <w:numPr>
        <w:numId w:val="7"/>
      </w:numPr>
      <w:spacing w:before="300" w:after="400"/>
      <w:outlineLvl w:val="0"/>
    </w:pPr>
    <w:rPr>
      <w:rFonts w:ascii="Arial" w:eastAsia="Times New Roman" w:hAnsi="Arial" w:cs="Arial"/>
      <w:bCs/>
      <w:kern w:val="32"/>
      <w:sz w:val="22"/>
      <w:szCs w:val="32"/>
    </w:rPr>
  </w:style>
  <w:style w:type="character" w:customStyle="1" w:styleId="CommentSubjectChar">
    <w:name w:val="Comment Subject Char"/>
    <w:basedOn w:val="CommentTextChar"/>
    <w:link w:val="CommentSubject"/>
    <w:uiPriority w:val="99"/>
    <w:semiHidden/>
    <w:locked/>
    <w:rsid w:val="004D04A4"/>
    <w:rPr>
      <w:b/>
      <w:bCs/>
    </w:rPr>
  </w:style>
  <w:style w:type="paragraph" w:styleId="BodyText3">
    <w:name w:val="Body Text 3"/>
    <w:basedOn w:val="Normal"/>
    <w:link w:val="BodyText3Char"/>
    <w:uiPriority w:val="99"/>
    <w:rsid w:val="004D04A4"/>
    <w:rPr>
      <w:rFonts w:ascii="Arial" w:hAnsi="Arial" w:cs="Arial"/>
      <w:sz w:val="20"/>
    </w:rPr>
  </w:style>
  <w:style w:type="character" w:customStyle="1" w:styleId="BodyText3Char">
    <w:name w:val="Body Text 3 Char"/>
    <w:basedOn w:val="DefaultParagraphFont"/>
    <w:link w:val="BodyText3"/>
    <w:uiPriority w:val="99"/>
    <w:rsid w:val="004D04A4"/>
    <w:rPr>
      <w:rFonts w:ascii="Arial" w:eastAsia="Times" w:hAnsi="Arial" w:cs="Arial"/>
    </w:rPr>
  </w:style>
  <w:style w:type="character" w:styleId="Strong">
    <w:name w:val="Strong"/>
    <w:basedOn w:val="DefaultParagraphFont"/>
    <w:uiPriority w:val="99"/>
    <w:qFormat/>
    <w:rsid w:val="004D04A4"/>
    <w:rPr>
      <w:rFonts w:cs="Times New Roman"/>
      <w:b/>
      <w:bCs/>
    </w:rPr>
  </w:style>
  <w:style w:type="character" w:styleId="Emphasis">
    <w:name w:val="Emphasis"/>
    <w:basedOn w:val="DefaultParagraphFont"/>
    <w:uiPriority w:val="99"/>
    <w:qFormat/>
    <w:rsid w:val="004D04A4"/>
    <w:rPr>
      <w:rFonts w:cs="Times New Roman"/>
      <w:i/>
      <w:iCs/>
    </w:rPr>
  </w:style>
  <w:style w:type="character" w:styleId="EndnoteReference">
    <w:name w:val="endnote reference"/>
    <w:basedOn w:val="DefaultParagraphFont"/>
    <w:uiPriority w:val="99"/>
    <w:semiHidden/>
    <w:rsid w:val="004D04A4"/>
    <w:rPr>
      <w:rFonts w:cs="Times New Roman"/>
      <w:vertAlign w:val="superscript"/>
    </w:rPr>
  </w:style>
  <w:style w:type="character" w:customStyle="1" w:styleId="indent">
    <w:name w:val="indent"/>
    <w:basedOn w:val="DefaultParagraphFont"/>
    <w:uiPriority w:val="99"/>
    <w:rsid w:val="004D04A4"/>
    <w:rPr>
      <w:rFonts w:cs="Times New Roman"/>
    </w:rPr>
  </w:style>
  <w:style w:type="paragraph" w:styleId="EndnoteText">
    <w:name w:val="endnote text"/>
    <w:basedOn w:val="Normal"/>
    <w:link w:val="EndnoteTextChar"/>
    <w:uiPriority w:val="99"/>
    <w:semiHidden/>
    <w:rsid w:val="004D04A4"/>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4D04A4"/>
    <w:rPr>
      <w:rFonts w:ascii="Times New Roman" w:eastAsia="Times New Roman" w:hAnsi="Times New Roman"/>
    </w:rPr>
  </w:style>
  <w:style w:type="paragraph" w:styleId="Subtitle">
    <w:name w:val="Subtitle"/>
    <w:basedOn w:val="Normal"/>
    <w:link w:val="SubtitleChar"/>
    <w:uiPriority w:val="99"/>
    <w:qFormat/>
    <w:rsid w:val="004D04A4"/>
    <w:rPr>
      <w:rFonts w:ascii="Times New Roman" w:eastAsia="Times New Roman" w:hAnsi="Times New Roman"/>
      <w:szCs w:val="24"/>
      <w:u w:val="single"/>
    </w:rPr>
  </w:style>
  <w:style w:type="character" w:customStyle="1" w:styleId="SubtitleChar">
    <w:name w:val="Subtitle Char"/>
    <w:basedOn w:val="DefaultParagraphFont"/>
    <w:link w:val="Subtitle"/>
    <w:uiPriority w:val="99"/>
    <w:rsid w:val="004D04A4"/>
    <w:rPr>
      <w:rFonts w:ascii="Times New Roman" w:eastAsia="Times New Roman" w:hAnsi="Times New Roman"/>
      <w:sz w:val="24"/>
      <w:szCs w:val="24"/>
      <w:u w:val="single"/>
    </w:rPr>
  </w:style>
  <w:style w:type="paragraph" w:styleId="BlockText">
    <w:name w:val="Block Text"/>
    <w:basedOn w:val="Normal"/>
    <w:uiPriority w:val="99"/>
    <w:rsid w:val="004D04A4"/>
    <w:pPr>
      <w:ind w:left="380" w:right="2368"/>
    </w:pPr>
    <w:rPr>
      <w:rFonts w:ascii="Arial" w:eastAsia="Times New Roman" w:hAnsi="Arial" w:cs="Arial"/>
      <w:sz w:val="20"/>
    </w:rPr>
  </w:style>
  <w:style w:type="paragraph" w:styleId="HTMLPreformatted">
    <w:name w:val="HTML Preformatted"/>
    <w:basedOn w:val="Normal"/>
    <w:link w:val="HTMLPreformattedChar"/>
    <w:uiPriority w:val="99"/>
    <w:rsid w:val="004D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Courier New"/>
      <w:szCs w:val="24"/>
    </w:rPr>
  </w:style>
  <w:style w:type="character" w:customStyle="1" w:styleId="HTMLPreformattedChar">
    <w:name w:val="HTML Preformatted Char"/>
    <w:basedOn w:val="DefaultParagraphFont"/>
    <w:link w:val="HTMLPreformatted"/>
    <w:uiPriority w:val="99"/>
    <w:rsid w:val="004D04A4"/>
    <w:rPr>
      <w:rFonts w:ascii="Arial Unicode MS" w:eastAsia="Times New Roman" w:hAnsi="Times New Roman" w:cs="Courier New"/>
      <w:sz w:val="24"/>
      <w:szCs w:val="24"/>
    </w:rPr>
  </w:style>
  <w:style w:type="character" w:styleId="HTMLTypewriter">
    <w:name w:val="HTML Typewriter"/>
    <w:basedOn w:val="DefaultParagraphFont"/>
    <w:uiPriority w:val="99"/>
    <w:rsid w:val="004D04A4"/>
    <w:rPr>
      <w:rFonts w:ascii="Arial Unicode MS" w:eastAsia="Times New Roman" w:cs="Courier New"/>
      <w:sz w:val="20"/>
      <w:szCs w:val="20"/>
    </w:rPr>
  </w:style>
  <w:style w:type="paragraph" w:customStyle="1" w:styleId="text">
    <w:name w:val="text"/>
    <w:basedOn w:val="Normal"/>
    <w:uiPriority w:val="99"/>
    <w:rsid w:val="004D04A4"/>
    <w:pPr>
      <w:spacing w:before="120"/>
      <w:ind w:firstLine="720"/>
    </w:pPr>
    <w:rPr>
      <w:rFonts w:ascii="Arial" w:eastAsia="Times New Roman" w:hAnsi="Arial"/>
      <w:szCs w:val="24"/>
    </w:rPr>
  </w:style>
  <w:style w:type="paragraph" w:customStyle="1" w:styleId="HeadingI">
    <w:name w:val="Heading I"/>
    <w:basedOn w:val="Normal"/>
    <w:uiPriority w:val="99"/>
    <w:rsid w:val="004D04A4"/>
    <w:pPr>
      <w:keepNext/>
      <w:keepLines/>
      <w:widowControl w:val="0"/>
      <w:tabs>
        <w:tab w:val="left" w:pos="450"/>
      </w:tabs>
      <w:spacing w:before="240"/>
      <w:ind w:left="450" w:hanging="450"/>
    </w:pPr>
    <w:rPr>
      <w:rFonts w:ascii="Arial" w:eastAsia="Times New Roman" w:hAnsi="Arial"/>
      <w:b/>
      <w:sz w:val="28"/>
      <w:szCs w:val="28"/>
    </w:rPr>
  </w:style>
  <w:style w:type="paragraph" w:styleId="Revision">
    <w:name w:val="Revision"/>
    <w:hidden/>
    <w:uiPriority w:val="99"/>
    <w:semiHidden/>
    <w:rsid w:val="004D04A4"/>
    <w:rPr>
      <w:rFonts w:ascii="Times" w:eastAsia="Times" w:hAnsi="Times"/>
      <w:sz w:val="24"/>
    </w:rPr>
  </w:style>
  <w:style w:type="paragraph" w:customStyle="1" w:styleId="StylePlainTextTimesNewRoman12pt">
    <w:name w:val="Style Plain Text + Times New Roman 12 pt"/>
    <w:basedOn w:val="PlainText"/>
    <w:link w:val="StylePlainTextTimesNewRoman12ptChar"/>
    <w:rsid w:val="004D04A4"/>
  </w:style>
  <w:style w:type="character" w:customStyle="1" w:styleId="StylePlainTextTimesNewRoman12ptChar">
    <w:name w:val="Style Plain Text + Times New Roman 12 pt Char"/>
    <w:basedOn w:val="DefaultParagraphFont"/>
    <w:link w:val="StylePlainTextTimesNewRoman12pt"/>
    <w:rsid w:val="004D04A4"/>
    <w:rPr>
      <w:rFonts w:ascii="Courier New" w:eastAsia="Times" w:hAnsi="Courier New" w:cs="Courier New"/>
    </w:rPr>
  </w:style>
  <w:style w:type="paragraph" w:customStyle="1" w:styleId="AHRQBODYTEXT">
    <w:name w:val="AHRQ BODY TEXT"/>
    <w:basedOn w:val="Normal"/>
    <w:link w:val="AHRQBODYTEXTChar"/>
    <w:rsid w:val="004D04A4"/>
    <w:pPr>
      <w:ind w:firstLine="360"/>
    </w:pPr>
    <w:rPr>
      <w:rFonts w:ascii="Times New Roman" w:hAnsi="Times New Roman"/>
    </w:rPr>
  </w:style>
  <w:style w:type="character" w:customStyle="1" w:styleId="AHRQBODYTEXTChar">
    <w:name w:val="AHRQ BODY TEXT Char"/>
    <w:basedOn w:val="DefaultParagraphFont"/>
    <w:link w:val="AHRQBODYTEXT"/>
    <w:rsid w:val="004D04A4"/>
    <w:rPr>
      <w:rFonts w:ascii="Times New Roman" w:eastAsia="Times" w:hAnsi="Times New Roman"/>
      <w:sz w:val="24"/>
    </w:rPr>
  </w:style>
  <w:style w:type="paragraph" w:styleId="PlainText">
    <w:name w:val="Plain Text"/>
    <w:basedOn w:val="Normal"/>
    <w:link w:val="PlainTextChar"/>
    <w:uiPriority w:val="99"/>
    <w:semiHidden/>
    <w:unhideWhenUsed/>
    <w:rsid w:val="004D04A4"/>
    <w:rPr>
      <w:rFonts w:ascii="Courier New" w:hAnsi="Courier New" w:cs="Courier New"/>
      <w:sz w:val="20"/>
    </w:rPr>
  </w:style>
  <w:style w:type="character" w:customStyle="1" w:styleId="PlainTextChar">
    <w:name w:val="Plain Text Char"/>
    <w:basedOn w:val="DefaultParagraphFont"/>
    <w:link w:val="PlainText"/>
    <w:uiPriority w:val="99"/>
    <w:semiHidden/>
    <w:rsid w:val="004D04A4"/>
    <w:rPr>
      <w:rFonts w:ascii="Courier New" w:eastAsia="Times" w:hAnsi="Courier New" w:cs="Courier New"/>
    </w:rPr>
  </w:style>
  <w:style w:type="paragraph" w:styleId="ListParagraph">
    <w:name w:val="List Paragraph"/>
    <w:basedOn w:val="Normal"/>
    <w:uiPriority w:val="34"/>
    <w:qFormat/>
    <w:rsid w:val="004D04A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4D04A4"/>
  </w:style>
  <w:style w:type="paragraph" w:styleId="Caption">
    <w:name w:val="caption"/>
    <w:basedOn w:val="Normal"/>
    <w:next w:val="Normal"/>
    <w:uiPriority w:val="35"/>
    <w:unhideWhenUsed/>
    <w:qFormat/>
    <w:rsid w:val="002A2F09"/>
    <w:pPr>
      <w:spacing w:after="60"/>
    </w:pPr>
    <w:rPr>
      <w:rFonts w:ascii="Arial" w:hAnsi="Arial"/>
      <w:b/>
      <w:bCs/>
      <w:sz w:val="20"/>
      <w:szCs w:val="18"/>
    </w:rPr>
  </w:style>
  <w:style w:type="paragraph" w:styleId="TOC3">
    <w:name w:val="toc 3"/>
    <w:basedOn w:val="Normal"/>
    <w:next w:val="Normal"/>
    <w:autoRedefine/>
    <w:uiPriority w:val="39"/>
    <w:unhideWhenUsed/>
    <w:rsid w:val="00232BB2"/>
    <w:pPr>
      <w:tabs>
        <w:tab w:val="right" w:leader="dot" w:pos="9350"/>
      </w:tabs>
      <w:ind w:left="475"/>
    </w:pPr>
  </w:style>
  <w:style w:type="paragraph" w:styleId="TableofFigures">
    <w:name w:val="table of figures"/>
    <w:basedOn w:val="Normal"/>
    <w:next w:val="Normal"/>
    <w:uiPriority w:val="99"/>
    <w:unhideWhenUsed/>
    <w:rsid w:val="00232BB2"/>
  </w:style>
  <w:style w:type="paragraph" w:styleId="DocumentMap">
    <w:name w:val="Document Map"/>
    <w:basedOn w:val="Normal"/>
    <w:link w:val="DocumentMapChar"/>
    <w:uiPriority w:val="99"/>
    <w:semiHidden/>
    <w:unhideWhenUsed/>
    <w:rsid w:val="00CC4507"/>
    <w:rPr>
      <w:rFonts w:ascii="Tahoma" w:hAnsi="Tahoma" w:cs="Tahoma"/>
      <w:sz w:val="16"/>
      <w:szCs w:val="16"/>
    </w:rPr>
  </w:style>
  <w:style w:type="character" w:customStyle="1" w:styleId="DocumentMapChar">
    <w:name w:val="Document Map Char"/>
    <w:basedOn w:val="DefaultParagraphFont"/>
    <w:link w:val="DocumentMap"/>
    <w:uiPriority w:val="99"/>
    <w:semiHidden/>
    <w:rsid w:val="00CC4507"/>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020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20Williams\EPC\Template_for_Reports_by_EPCs_for_posting_8-25-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Template_for_Reports_by_EPCs_for_posting_8-25-2011</Template>
  <TotalTime>3</TotalTime>
  <Pages>14</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OHSU</Company>
  <LinksUpToDate>false</LinksUpToDate>
  <CharactersWithSpaces>31905</CharactersWithSpaces>
  <SharedDoc>false</SharedDoc>
  <HLinks>
    <vt:vector size="288" baseType="variant">
      <vt:variant>
        <vt:i4>5767195</vt:i4>
      </vt:variant>
      <vt:variant>
        <vt:i4>449</vt:i4>
      </vt:variant>
      <vt:variant>
        <vt:i4>0</vt:i4>
      </vt:variant>
      <vt:variant>
        <vt:i4>5</vt:i4>
      </vt:variant>
      <vt:variant>
        <vt:lpwstr>http://www.novartis.com/downloads/newsroom/corporate-fact-sheet/2a_Pharmaceuticals_EN.pdf</vt:lpwstr>
      </vt:variant>
      <vt:variant>
        <vt:lpwstr/>
      </vt:variant>
      <vt:variant>
        <vt:i4>5111839</vt:i4>
      </vt:variant>
      <vt:variant>
        <vt:i4>446</vt:i4>
      </vt:variant>
      <vt:variant>
        <vt:i4>0</vt:i4>
      </vt:variant>
      <vt:variant>
        <vt:i4>5</vt:i4>
      </vt:variant>
      <vt:variant>
        <vt:lpwstr>http://www.effectivehealthcare.ahrq.gov/reports/final.cfm</vt:lpwstr>
      </vt:variant>
      <vt:variant>
        <vt:lpwstr/>
      </vt:variant>
      <vt:variant>
        <vt:i4>4784192</vt:i4>
      </vt:variant>
      <vt:variant>
        <vt:i4>443</vt:i4>
      </vt:variant>
      <vt:variant>
        <vt:i4>0</vt:i4>
      </vt:variant>
      <vt:variant>
        <vt:i4>5</vt:i4>
      </vt:variant>
      <vt:variant>
        <vt:lpwstr>http://www.fda.gov/ForConsumers/ByAudience/ForPatientAdvocates/ucm256328.htm</vt:lpwstr>
      </vt:variant>
      <vt:variant>
        <vt:lpwstr/>
      </vt:variant>
      <vt:variant>
        <vt:i4>4522048</vt:i4>
      </vt:variant>
      <vt:variant>
        <vt:i4>440</vt:i4>
      </vt:variant>
      <vt:variant>
        <vt:i4>0</vt:i4>
      </vt:variant>
      <vt:variant>
        <vt:i4>5</vt:i4>
      </vt:variant>
      <vt:variant>
        <vt:lpwstr>http://www.fda.gov/ForConsumers/ByAudience/ForPatientAdvocates/ucm255413.htm</vt:lpwstr>
      </vt:variant>
      <vt:variant>
        <vt:lpwstr/>
      </vt:variant>
      <vt:variant>
        <vt:i4>3670125</vt:i4>
      </vt:variant>
      <vt:variant>
        <vt:i4>434</vt:i4>
      </vt:variant>
      <vt:variant>
        <vt:i4>0</vt:i4>
      </vt:variant>
      <vt:variant>
        <vt:i4>5</vt:i4>
      </vt:variant>
      <vt:variant>
        <vt:lpwstr>http://www.cdc.gov/hepatitis/hcv/StatisticsHCV.htm</vt:lpwstr>
      </vt:variant>
      <vt:variant>
        <vt:lpwstr/>
      </vt:variant>
      <vt:variant>
        <vt:i4>5767195</vt:i4>
      </vt:variant>
      <vt:variant>
        <vt:i4>284</vt:i4>
      </vt:variant>
      <vt:variant>
        <vt:i4>0</vt:i4>
      </vt:variant>
      <vt:variant>
        <vt:i4>5</vt:i4>
      </vt:variant>
      <vt:variant>
        <vt:lpwstr>http://www.novartis.com/downloads/newsroom/corporate-fact-sheet/2a_Pharmaceuticals_EN.pdf</vt:lpwstr>
      </vt:variant>
      <vt:variant>
        <vt:lpwstr/>
      </vt:variant>
      <vt:variant>
        <vt:i4>1245232</vt:i4>
      </vt:variant>
      <vt:variant>
        <vt:i4>257</vt:i4>
      </vt:variant>
      <vt:variant>
        <vt:i4>0</vt:i4>
      </vt:variant>
      <vt:variant>
        <vt:i4>5</vt:i4>
      </vt:variant>
      <vt:variant>
        <vt:lpwstr/>
      </vt:variant>
      <vt:variant>
        <vt:lpwstr>_Toc337654153</vt:lpwstr>
      </vt:variant>
      <vt:variant>
        <vt:i4>1245232</vt:i4>
      </vt:variant>
      <vt:variant>
        <vt:i4>251</vt:i4>
      </vt:variant>
      <vt:variant>
        <vt:i4>0</vt:i4>
      </vt:variant>
      <vt:variant>
        <vt:i4>5</vt:i4>
      </vt:variant>
      <vt:variant>
        <vt:lpwstr/>
      </vt:variant>
      <vt:variant>
        <vt:lpwstr>_Toc337654152</vt:lpwstr>
      </vt:variant>
      <vt:variant>
        <vt:i4>1245232</vt:i4>
      </vt:variant>
      <vt:variant>
        <vt:i4>245</vt:i4>
      </vt:variant>
      <vt:variant>
        <vt:i4>0</vt:i4>
      </vt:variant>
      <vt:variant>
        <vt:i4>5</vt:i4>
      </vt:variant>
      <vt:variant>
        <vt:lpwstr/>
      </vt:variant>
      <vt:variant>
        <vt:lpwstr>_Toc337654151</vt:lpwstr>
      </vt:variant>
      <vt:variant>
        <vt:i4>1245232</vt:i4>
      </vt:variant>
      <vt:variant>
        <vt:i4>239</vt:i4>
      </vt:variant>
      <vt:variant>
        <vt:i4>0</vt:i4>
      </vt:variant>
      <vt:variant>
        <vt:i4>5</vt:i4>
      </vt:variant>
      <vt:variant>
        <vt:lpwstr/>
      </vt:variant>
      <vt:variant>
        <vt:lpwstr>_Toc337654150</vt:lpwstr>
      </vt:variant>
      <vt:variant>
        <vt:i4>1179696</vt:i4>
      </vt:variant>
      <vt:variant>
        <vt:i4>233</vt:i4>
      </vt:variant>
      <vt:variant>
        <vt:i4>0</vt:i4>
      </vt:variant>
      <vt:variant>
        <vt:i4>5</vt:i4>
      </vt:variant>
      <vt:variant>
        <vt:lpwstr/>
      </vt:variant>
      <vt:variant>
        <vt:lpwstr>_Toc337654149</vt:lpwstr>
      </vt:variant>
      <vt:variant>
        <vt:i4>1179696</vt:i4>
      </vt:variant>
      <vt:variant>
        <vt:i4>227</vt:i4>
      </vt:variant>
      <vt:variant>
        <vt:i4>0</vt:i4>
      </vt:variant>
      <vt:variant>
        <vt:i4>5</vt:i4>
      </vt:variant>
      <vt:variant>
        <vt:lpwstr/>
      </vt:variant>
      <vt:variant>
        <vt:lpwstr>_Toc337654148</vt:lpwstr>
      </vt:variant>
      <vt:variant>
        <vt:i4>1179696</vt:i4>
      </vt:variant>
      <vt:variant>
        <vt:i4>221</vt:i4>
      </vt:variant>
      <vt:variant>
        <vt:i4>0</vt:i4>
      </vt:variant>
      <vt:variant>
        <vt:i4>5</vt:i4>
      </vt:variant>
      <vt:variant>
        <vt:lpwstr/>
      </vt:variant>
      <vt:variant>
        <vt:lpwstr>_Toc337654147</vt:lpwstr>
      </vt:variant>
      <vt:variant>
        <vt:i4>1179696</vt:i4>
      </vt:variant>
      <vt:variant>
        <vt:i4>215</vt:i4>
      </vt:variant>
      <vt:variant>
        <vt:i4>0</vt:i4>
      </vt:variant>
      <vt:variant>
        <vt:i4>5</vt:i4>
      </vt:variant>
      <vt:variant>
        <vt:lpwstr/>
      </vt:variant>
      <vt:variant>
        <vt:lpwstr>_Toc337654146</vt:lpwstr>
      </vt:variant>
      <vt:variant>
        <vt:i4>1179696</vt:i4>
      </vt:variant>
      <vt:variant>
        <vt:i4>209</vt:i4>
      </vt:variant>
      <vt:variant>
        <vt:i4>0</vt:i4>
      </vt:variant>
      <vt:variant>
        <vt:i4>5</vt:i4>
      </vt:variant>
      <vt:variant>
        <vt:lpwstr/>
      </vt:variant>
      <vt:variant>
        <vt:lpwstr>_Toc337654145</vt:lpwstr>
      </vt:variant>
      <vt:variant>
        <vt:i4>1179696</vt:i4>
      </vt:variant>
      <vt:variant>
        <vt:i4>203</vt:i4>
      </vt:variant>
      <vt:variant>
        <vt:i4>0</vt:i4>
      </vt:variant>
      <vt:variant>
        <vt:i4>5</vt:i4>
      </vt:variant>
      <vt:variant>
        <vt:lpwstr/>
      </vt:variant>
      <vt:variant>
        <vt:lpwstr>_Toc337654144</vt:lpwstr>
      </vt:variant>
      <vt:variant>
        <vt:i4>1179696</vt:i4>
      </vt:variant>
      <vt:variant>
        <vt:i4>197</vt:i4>
      </vt:variant>
      <vt:variant>
        <vt:i4>0</vt:i4>
      </vt:variant>
      <vt:variant>
        <vt:i4>5</vt:i4>
      </vt:variant>
      <vt:variant>
        <vt:lpwstr/>
      </vt:variant>
      <vt:variant>
        <vt:lpwstr>_Toc337654143</vt:lpwstr>
      </vt:variant>
      <vt:variant>
        <vt:i4>1310769</vt:i4>
      </vt:variant>
      <vt:variant>
        <vt:i4>188</vt:i4>
      </vt:variant>
      <vt:variant>
        <vt:i4>0</vt:i4>
      </vt:variant>
      <vt:variant>
        <vt:i4>5</vt:i4>
      </vt:variant>
      <vt:variant>
        <vt:lpwstr/>
      </vt:variant>
      <vt:variant>
        <vt:lpwstr>_Toc336516537</vt:lpwstr>
      </vt:variant>
      <vt:variant>
        <vt:i4>1310769</vt:i4>
      </vt:variant>
      <vt:variant>
        <vt:i4>182</vt:i4>
      </vt:variant>
      <vt:variant>
        <vt:i4>0</vt:i4>
      </vt:variant>
      <vt:variant>
        <vt:i4>5</vt:i4>
      </vt:variant>
      <vt:variant>
        <vt:lpwstr/>
      </vt:variant>
      <vt:variant>
        <vt:lpwstr>_Toc336516536</vt:lpwstr>
      </vt:variant>
      <vt:variant>
        <vt:i4>1310769</vt:i4>
      </vt:variant>
      <vt:variant>
        <vt:i4>176</vt:i4>
      </vt:variant>
      <vt:variant>
        <vt:i4>0</vt:i4>
      </vt:variant>
      <vt:variant>
        <vt:i4>5</vt:i4>
      </vt:variant>
      <vt:variant>
        <vt:lpwstr/>
      </vt:variant>
      <vt:variant>
        <vt:lpwstr>_Toc336516535</vt:lpwstr>
      </vt:variant>
      <vt:variant>
        <vt:i4>1441847</vt:i4>
      </vt:variant>
      <vt:variant>
        <vt:i4>167</vt:i4>
      </vt:variant>
      <vt:variant>
        <vt:i4>0</vt:i4>
      </vt:variant>
      <vt:variant>
        <vt:i4>5</vt:i4>
      </vt:variant>
      <vt:variant>
        <vt:lpwstr/>
      </vt:variant>
      <vt:variant>
        <vt:lpwstr>_Toc336516313</vt:lpwstr>
      </vt:variant>
      <vt:variant>
        <vt:i4>1441847</vt:i4>
      </vt:variant>
      <vt:variant>
        <vt:i4>161</vt:i4>
      </vt:variant>
      <vt:variant>
        <vt:i4>0</vt:i4>
      </vt:variant>
      <vt:variant>
        <vt:i4>5</vt:i4>
      </vt:variant>
      <vt:variant>
        <vt:lpwstr/>
      </vt:variant>
      <vt:variant>
        <vt:lpwstr>_Toc336516312</vt:lpwstr>
      </vt:variant>
      <vt:variant>
        <vt:i4>1441847</vt:i4>
      </vt:variant>
      <vt:variant>
        <vt:i4>155</vt:i4>
      </vt:variant>
      <vt:variant>
        <vt:i4>0</vt:i4>
      </vt:variant>
      <vt:variant>
        <vt:i4>5</vt:i4>
      </vt:variant>
      <vt:variant>
        <vt:lpwstr/>
      </vt:variant>
      <vt:variant>
        <vt:lpwstr>_Toc336516311</vt:lpwstr>
      </vt:variant>
      <vt:variant>
        <vt:i4>1441847</vt:i4>
      </vt:variant>
      <vt:variant>
        <vt:i4>149</vt:i4>
      </vt:variant>
      <vt:variant>
        <vt:i4>0</vt:i4>
      </vt:variant>
      <vt:variant>
        <vt:i4>5</vt:i4>
      </vt:variant>
      <vt:variant>
        <vt:lpwstr/>
      </vt:variant>
      <vt:variant>
        <vt:lpwstr>_Toc336516311</vt:lpwstr>
      </vt:variant>
      <vt:variant>
        <vt:i4>1441847</vt:i4>
      </vt:variant>
      <vt:variant>
        <vt:i4>143</vt:i4>
      </vt:variant>
      <vt:variant>
        <vt:i4>0</vt:i4>
      </vt:variant>
      <vt:variant>
        <vt:i4>5</vt:i4>
      </vt:variant>
      <vt:variant>
        <vt:lpwstr/>
      </vt:variant>
      <vt:variant>
        <vt:lpwstr>_Toc336516310</vt:lpwstr>
      </vt:variant>
      <vt:variant>
        <vt:i4>1507383</vt:i4>
      </vt:variant>
      <vt:variant>
        <vt:i4>137</vt:i4>
      </vt:variant>
      <vt:variant>
        <vt:i4>0</vt:i4>
      </vt:variant>
      <vt:variant>
        <vt:i4>5</vt:i4>
      </vt:variant>
      <vt:variant>
        <vt:lpwstr/>
      </vt:variant>
      <vt:variant>
        <vt:lpwstr>_Toc336516309</vt:lpwstr>
      </vt:variant>
      <vt:variant>
        <vt:i4>1507383</vt:i4>
      </vt:variant>
      <vt:variant>
        <vt:i4>131</vt:i4>
      </vt:variant>
      <vt:variant>
        <vt:i4>0</vt:i4>
      </vt:variant>
      <vt:variant>
        <vt:i4>5</vt:i4>
      </vt:variant>
      <vt:variant>
        <vt:lpwstr/>
      </vt:variant>
      <vt:variant>
        <vt:lpwstr>_Toc336516308</vt:lpwstr>
      </vt:variant>
      <vt:variant>
        <vt:i4>1507383</vt:i4>
      </vt:variant>
      <vt:variant>
        <vt:i4>125</vt:i4>
      </vt:variant>
      <vt:variant>
        <vt:i4>0</vt:i4>
      </vt:variant>
      <vt:variant>
        <vt:i4>5</vt:i4>
      </vt:variant>
      <vt:variant>
        <vt:lpwstr/>
      </vt:variant>
      <vt:variant>
        <vt:lpwstr>_Toc336516307</vt:lpwstr>
      </vt:variant>
      <vt:variant>
        <vt:i4>1507383</vt:i4>
      </vt:variant>
      <vt:variant>
        <vt:i4>119</vt:i4>
      </vt:variant>
      <vt:variant>
        <vt:i4>0</vt:i4>
      </vt:variant>
      <vt:variant>
        <vt:i4>5</vt:i4>
      </vt:variant>
      <vt:variant>
        <vt:lpwstr/>
      </vt:variant>
      <vt:variant>
        <vt:lpwstr>_Toc336516306</vt:lpwstr>
      </vt:variant>
      <vt:variant>
        <vt:i4>1507383</vt:i4>
      </vt:variant>
      <vt:variant>
        <vt:i4>113</vt:i4>
      </vt:variant>
      <vt:variant>
        <vt:i4>0</vt:i4>
      </vt:variant>
      <vt:variant>
        <vt:i4>5</vt:i4>
      </vt:variant>
      <vt:variant>
        <vt:lpwstr/>
      </vt:variant>
      <vt:variant>
        <vt:lpwstr>_Toc336516305</vt:lpwstr>
      </vt:variant>
      <vt:variant>
        <vt:i4>1507383</vt:i4>
      </vt:variant>
      <vt:variant>
        <vt:i4>107</vt:i4>
      </vt:variant>
      <vt:variant>
        <vt:i4>0</vt:i4>
      </vt:variant>
      <vt:variant>
        <vt:i4>5</vt:i4>
      </vt:variant>
      <vt:variant>
        <vt:lpwstr/>
      </vt:variant>
      <vt:variant>
        <vt:lpwstr>_Toc336516304</vt:lpwstr>
      </vt:variant>
      <vt:variant>
        <vt:i4>1507383</vt:i4>
      </vt:variant>
      <vt:variant>
        <vt:i4>101</vt:i4>
      </vt:variant>
      <vt:variant>
        <vt:i4>0</vt:i4>
      </vt:variant>
      <vt:variant>
        <vt:i4>5</vt:i4>
      </vt:variant>
      <vt:variant>
        <vt:lpwstr/>
      </vt:variant>
      <vt:variant>
        <vt:lpwstr>_Toc336516303</vt:lpwstr>
      </vt:variant>
      <vt:variant>
        <vt:i4>1507383</vt:i4>
      </vt:variant>
      <vt:variant>
        <vt:i4>95</vt:i4>
      </vt:variant>
      <vt:variant>
        <vt:i4>0</vt:i4>
      </vt:variant>
      <vt:variant>
        <vt:i4>5</vt:i4>
      </vt:variant>
      <vt:variant>
        <vt:lpwstr/>
      </vt:variant>
      <vt:variant>
        <vt:lpwstr>_Toc336516302</vt:lpwstr>
      </vt:variant>
      <vt:variant>
        <vt:i4>1507383</vt:i4>
      </vt:variant>
      <vt:variant>
        <vt:i4>89</vt:i4>
      </vt:variant>
      <vt:variant>
        <vt:i4>0</vt:i4>
      </vt:variant>
      <vt:variant>
        <vt:i4>5</vt:i4>
      </vt:variant>
      <vt:variant>
        <vt:lpwstr/>
      </vt:variant>
      <vt:variant>
        <vt:lpwstr>_Toc336516301</vt:lpwstr>
      </vt:variant>
      <vt:variant>
        <vt:i4>1507383</vt:i4>
      </vt:variant>
      <vt:variant>
        <vt:i4>83</vt:i4>
      </vt:variant>
      <vt:variant>
        <vt:i4>0</vt:i4>
      </vt:variant>
      <vt:variant>
        <vt:i4>5</vt:i4>
      </vt:variant>
      <vt:variant>
        <vt:lpwstr/>
      </vt:variant>
      <vt:variant>
        <vt:lpwstr>_Toc336516300</vt:lpwstr>
      </vt:variant>
      <vt:variant>
        <vt:i4>1966134</vt:i4>
      </vt:variant>
      <vt:variant>
        <vt:i4>77</vt:i4>
      </vt:variant>
      <vt:variant>
        <vt:i4>0</vt:i4>
      </vt:variant>
      <vt:variant>
        <vt:i4>5</vt:i4>
      </vt:variant>
      <vt:variant>
        <vt:lpwstr/>
      </vt:variant>
      <vt:variant>
        <vt:lpwstr>_Toc336516299</vt:lpwstr>
      </vt:variant>
      <vt:variant>
        <vt:i4>1966134</vt:i4>
      </vt:variant>
      <vt:variant>
        <vt:i4>71</vt:i4>
      </vt:variant>
      <vt:variant>
        <vt:i4>0</vt:i4>
      </vt:variant>
      <vt:variant>
        <vt:i4>5</vt:i4>
      </vt:variant>
      <vt:variant>
        <vt:lpwstr/>
      </vt:variant>
      <vt:variant>
        <vt:lpwstr>_Toc336516298</vt:lpwstr>
      </vt:variant>
      <vt:variant>
        <vt:i4>1966134</vt:i4>
      </vt:variant>
      <vt:variant>
        <vt:i4>65</vt:i4>
      </vt:variant>
      <vt:variant>
        <vt:i4>0</vt:i4>
      </vt:variant>
      <vt:variant>
        <vt:i4>5</vt:i4>
      </vt:variant>
      <vt:variant>
        <vt:lpwstr/>
      </vt:variant>
      <vt:variant>
        <vt:lpwstr>_Toc336516297</vt:lpwstr>
      </vt:variant>
      <vt:variant>
        <vt:i4>1966134</vt:i4>
      </vt:variant>
      <vt:variant>
        <vt:i4>59</vt:i4>
      </vt:variant>
      <vt:variant>
        <vt:i4>0</vt:i4>
      </vt:variant>
      <vt:variant>
        <vt:i4>5</vt:i4>
      </vt:variant>
      <vt:variant>
        <vt:lpwstr/>
      </vt:variant>
      <vt:variant>
        <vt:lpwstr>_Toc336516296</vt:lpwstr>
      </vt:variant>
      <vt:variant>
        <vt:i4>1966134</vt:i4>
      </vt:variant>
      <vt:variant>
        <vt:i4>53</vt:i4>
      </vt:variant>
      <vt:variant>
        <vt:i4>0</vt:i4>
      </vt:variant>
      <vt:variant>
        <vt:i4>5</vt:i4>
      </vt:variant>
      <vt:variant>
        <vt:lpwstr/>
      </vt:variant>
      <vt:variant>
        <vt:lpwstr>_Toc336516295</vt:lpwstr>
      </vt:variant>
      <vt:variant>
        <vt:i4>1966134</vt:i4>
      </vt:variant>
      <vt:variant>
        <vt:i4>47</vt:i4>
      </vt:variant>
      <vt:variant>
        <vt:i4>0</vt:i4>
      </vt:variant>
      <vt:variant>
        <vt:i4>5</vt:i4>
      </vt:variant>
      <vt:variant>
        <vt:lpwstr/>
      </vt:variant>
      <vt:variant>
        <vt:lpwstr>_Toc336516294</vt:lpwstr>
      </vt:variant>
      <vt:variant>
        <vt:i4>1966134</vt:i4>
      </vt:variant>
      <vt:variant>
        <vt:i4>41</vt:i4>
      </vt:variant>
      <vt:variant>
        <vt:i4>0</vt:i4>
      </vt:variant>
      <vt:variant>
        <vt:i4>5</vt:i4>
      </vt:variant>
      <vt:variant>
        <vt:lpwstr/>
      </vt:variant>
      <vt:variant>
        <vt:lpwstr>_Toc336516293</vt:lpwstr>
      </vt:variant>
      <vt:variant>
        <vt:i4>1966134</vt:i4>
      </vt:variant>
      <vt:variant>
        <vt:i4>35</vt:i4>
      </vt:variant>
      <vt:variant>
        <vt:i4>0</vt:i4>
      </vt:variant>
      <vt:variant>
        <vt:i4>5</vt:i4>
      </vt:variant>
      <vt:variant>
        <vt:lpwstr/>
      </vt:variant>
      <vt:variant>
        <vt:lpwstr>_Toc336516292</vt:lpwstr>
      </vt:variant>
      <vt:variant>
        <vt:i4>1966134</vt:i4>
      </vt:variant>
      <vt:variant>
        <vt:i4>29</vt:i4>
      </vt:variant>
      <vt:variant>
        <vt:i4>0</vt:i4>
      </vt:variant>
      <vt:variant>
        <vt:i4>5</vt:i4>
      </vt:variant>
      <vt:variant>
        <vt:lpwstr/>
      </vt:variant>
      <vt:variant>
        <vt:lpwstr>_Toc336516291</vt:lpwstr>
      </vt:variant>
      <vt:variant>
        <vt:i4>1966134</vt:i4>
      </vt:variant>
      <vt:variant>
        <vt:i4>23</vt:i4>
      </vt:variant>
      <vt:variant>
        <vt:i4>0</vt:i4>
      </vt:variant>
      <vt:variant>
        <vt:i4>5</vt:i4>
      </vt:variant>
      <vt:variant>
        <vt:lpwstr/>
      </vt:variant>
      <vt:variant>
        <vt:lpwstr>_Toc336516290</vt:lpwstr>
      </vt:variant>
      <vt:variant>
        <vt:i4>7340063</vt:i4>
      </vt:variant>
      <vt:variant>
        <vt:i4>12</vt:i4>
      </vt:variant>
      <vt:variant>
        <vt:i4>0</vt:i4>
      </vt:variant>
      <vt:variant>
        <vt:i4>5</vt:i4>
      </vt:variant>
      <vt:variant>
        <vt:lpwstr>mailto:epc@ahrq.hhs.gov</vt:lpwstr>
      </vt:variant>
      <vt:variant>
        <vt:lpwstr/>
      </vt:variant>
      <vt:variant>
        <vt:i4>8323074</vt:i4>
      </vt:variant>
      <vt:variant>
        <vt:i4>9</vt:i4>
      </vt:variant>
      <vt:variant>
        <vt:i4>0</vt:i4>
      </vt:variant>
      <vt:variant>
        <vt:i4>5</vt:i4>
      </vt:variant>
      <vt:variant>
        <vt:lpwstr>mailto:EffectiveHealthCare@ahrq.hhs.gov</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Leah OHSU</dc:creator>
  <cp:lastModifiedBy>Venture</cp:lastModifiedBy>
  <cp:revision>2</cp:revision>
  <cp:lastPrinted>2013-04-12T14:32:00Z</cp:lastPrinted>
  <dcterms:created xsi:type="dcterms:W3CDTF">2013-04-30T11:48:00Z</dcterms:created>
  <dcterms:modified xsi:type="dcterms:W3CDTF">2013-04-30T11:48:00Z</dcterms:modified>
</cp:coreProperties>
</file>