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10"/>
        <w:gridCol w:w="1620"/>
        <w:gridCol w:w="1530"/>
        <w:gridCol w:w="1440"/>
        <w:gridCol w:w="1530"/>
        <w:gridCol w:w="990"/>
        <w:gridCol w:w="1440"/>
        <w:gridCol w:w="1620"/>
        <w:gridCol w:w="1530"/>
        <w:gridCol w:w="810"/>
      </w:tblGrid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11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Author, Year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attempt to enroll all (or a random sample of) patients meeting inclusion criteria, or a random sample (inception cohort)?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groups comparable at baseline on key prognostic factors (by restriction or matching)?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use accurate methods for ascertaining exposures and potential confounders?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 assessors and/or data analysts blinded to the exposure being studied?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article report attrition?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Did study perform appropriate statistical analyses on potential confounders?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Is there important differential loss to followup or overall high loss to followup?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Were outcomes prespecified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,</w:t>
            </w: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defined, and ascertained using accurate methods?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Quality rating</w:t>
            </w:r>
          </w:p>
        </w:tc>
      </w:tr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1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HIV-CAUSAL Collaboration, 2010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134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Other publication: HIV-CAUSAL Collaboration 2011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133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Differential: unclear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High overall: unclear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Kitahata et al, 2009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135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Differential: unclear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High overall: unclear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1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May et al, 2007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136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Other publications: Lanoy et al, 2009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139</w:t>
            </w: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; Moore et al, 2009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140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Differential: unclear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High overall: yes (19%)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When to Start Consortium, 2009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137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Differential: unclear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High overall: unclear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  <w:tr w:rsidR="00AC59A7" w:rsidRPr="00AC59A7" w:rsidTr="00AC59A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1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Writing Committee for the CASCADE Collaboration, 2011</w:t>
            </w:r>
            <w:r w:rsidRPr="00AC59A7">
              <w:rPr>
                <w:rFonts w:ascii="Arial" w:hAnsi="Arial"/>
                <w:color w:val="000000"/>
                <w:sz w:val="16"/>
                <w:szCs w:val="16"/>
                <w:vertAlign w:val="superscript"/>
              </w:rPr>
              <w:t>132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99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62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Differential: unclear</w:t>
            </w:r>
          </w:p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High overall: no</w:t>
            </w:r>
          </w:p>
        </w:tc>
        <w:tc>
          <w:tcPr>
            <w:tcW w:w="153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0" w:type="dxa"/>
          </w:tcPr>
          <w:p w:rsidR="00AC59A7" w:rsidRPr="00AC59A7" w:rsidRDefault="00AC59A7" w:rsidP="00AC59A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AC59A7">
              <w:rPr>
                <w:rFonts w:ascii="Arial" w:hAnsi="Arial"/>
                <w:color w:val="000000"/>
                <w:sz w:val="16"/>
                <w:szCs w:val="16"/>
              </w:rPr>
              <w:t>Fair</w:t>
            </w:r>
          </w:p>
        </w:tc>
      </w:tr>
    </w:tbl>
    <w:p w:rsidR="002B1C8A" w:rsidRDefault="002B1C8A"/>
    <w:sectPr w:rsidR="002B1C8A" w:rsidSect="00AC59A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A7" w:rsidRDefault="00AC59A7" w:rsidP="00AC59A7">
      <w:r>
        <w:separator/>
      </w:r>
    </w:p>
  </w:endnote>
  <w:endnote w:type="continuationSeparator" w:id="0">
    <w:p w:rsidR="00AC59A7" w:rsidRDefault="00AC59A7" w:rsidP="00AC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A7" w:rsidRDefault="00AC59A7" w:rsidP="00AC59A7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166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A7" w:rsidRDefault="00AC59A7" w:rsidP="00AC59A7">
      <w:r>
        <w:separator/>
      </w:r>
    </w:p>
  </w:footnote>
  <w:footnote w:type="continuationSeparator" w:id="0">
    <w:p w:rsidR="00AC59A7" w:rsidRDefault="00AC59A7" w:rsidP="00AC5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A7" w:rsidRPr="00AC59A7" w:rsidRDefault="00AC59A7">
    <w:pPr>
      <w:pStyle w:val="Header"/>
      <w:rPr>
        <w:rFonts w:ascii="Arial" w:hAnsi="Arial"/>
        <w:b/>
        <w:sz w:val="20"/>
        <w:szCs w:val="20"/>
      </w:rPr>
    </w:pPr>
    <w:r w:rsidRPr="00AC59A7">
      <w:rPr>
        <w:rFonts w:ascii="Arial" w:hAnsi="Arial"/>
        <w:b/>
        <w:sz w:val="20"/>
        <w:szCs w:val="20"/>
      </w:rPr>
      <w:t>Appendix B24. Key Question 4c</w:t>
    </w:r>
    <w:r>
      <w:rPr>
        <w:rFonts w:ascii="Arial" w:hAnsi="Arial"/>
        <w:b/>
        <w:sz w:val="20"/>
        <w:szCs w:val="20"/>
      </w:rPr>
      <w:t>:</w:t>
    </w:r>
    <w:r w:rsidRPr="00AC59A7">
      <w:rPr>
        <w:rFonts w:ascii="Arial" w:hAnsi="Arial"/>
        <w:b/>
        <w:sz w:val="20"/>
        <w:szCs w:val="20"/>
      </w:rPr>
      <w:t xml:space="preserve"> Quality </w:t>
    </w:r>
    <w:r>
      <w:rPr>
        <w:rFonts w:ascii="Arial" w:hAnsi="Arial"/>
        <w:b/>
        <w:sz w:val="20"/>
        <w:szCs w:val="20"/>
      </w:rPr>
      <w:t>A</w:t>
    </w:r>
    <w:r w:rsidRPr="00AC59A7">
      <w:rPr>
        <w:rFonts w:ascii="Arial" w:hAnsi="Arial"/>
        <w:b/>
        <w:sz w:val="20"/>
        <w:szCs w:val="20"/>
      </w:rPr>
      <w:t xml:space="preserve">ssessment of </w:t>
    </w:r>
    <w:r>
      <w:rPr>
        <w:rFonts w:ascii="Arial" w:hAnsi="Arial"/>
        <w:b/>
        <w:sz w:val="20"/>
        <w:szCs w:val="20"/>
      </w:rPr>
      <w:t>C</w:t>
    </w:r>
    <w:r w:rsidRPr="00AC59A7">
      <w:rPr>
        <w:rFonts w:ascii="Arial" w:hAnsi="Arial"/>
        <w:b/>
        <w:sz w:val="20"/>
        <w:szCs w:val="20"/>
      </w:rPr>
      <w:t xml:space="preserve">ohort </w:t>
    </w:r>
    <w:r>
      <w:rPr>
        <w:rFonts w:ascii="Arial" w:hAnsi="Arial"/>
        <w:b/>
        <w:sz w:val="20"/>
        <w:szCs w:val="20"/>
      </w:rPr>
      <w:t>S</w:t>
    </w:r>
    <w:r w:rsidRPr="00AC59A7">
      <w:rPr>
        <w:rFonts w:ascii="Arial" w:hAnsi="Arial"/>
        <w:b/>
        <w:sz w:val="20"/>
        <w:szCs w:val="20"/>
      </w:rPr>
      <w:t>tudies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9A7"/>
    <w:rsid w:val="002B1C8A"/>
    <w:rsid w:val="006B6342"/>
    <w:rsid w:val="009317A8"/>
    <w:rsid w:val="00953036"/>
    <w:rsid w:val="00AC59A7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C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9A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9A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>DHHS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2012-11-07T19:51:00Z</dcterms:created>
  <dcterms:modified xsi:type="dcterms:W3CDTF">2012-11-07T19:57:00Z</dcterms:modified>
</cp:coreProperties>
</file>