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999"/>
        <w:gridCol w:w="1620"/>
        <w:gridCol w:w="1260"/>
        <w:gridCol w:w="1440"/>
        <w:gridCol w:w="1800"/>
        <w:gridCol w:w="1980"/>
        <w:gridCol w:w="1800"/>
        <w:gridCol w:w="1800"/>
      </w:tblGrid>
      <w:tr w:rsidR="00A95EB6" w:rsidRPr="00A95EB6" w:rsidTr="00B632DA">
        <w:trPr>
          <w:trHeight w:val="800"/>
          <w:tblHeader/>
        </w:trPr>
        <w:tc>
          <w:tcPr>
            <w:tcW w:w="981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Type of study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B632DA" w:rsidRDefault="00A95EB6" w:rsidP="00A95EB6">
            <w:pPr>
              <w:ind w:left="-108" w:right="-9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Location/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etting/</w:t>
            </w:r>
          </w:p>
          <w:p w:rsidR="002A467E" w:rsidRDefault="00A95EB6" w:rsidP="00A95EB6">
            <w:pPr>
              <w:ind w:left="-108" w:right="-9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h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igh or low prevalence population (based on 0.1% </w:t>
            </w:r>
          </w:p>
          <w:p w:rsidR="00A95EB6" w:rsidRPr="00A95EB6" w:rsidRDefault="00A95EB6" w:rsidP="00A95EB6">
            <w:pPr>
              <w:ind w:left="-108" w:right="-9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prevalence rate)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A95EB6" w:rsidRDefault="00A95EB6" w:rsidP="00A95EB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duration/</w:t>
            </w:r>
          </w:p>
          <w:p w:rsidR="00A95EB6" w:rsidRPr="00A95EB6" w:rsidRDefault="00A95EB6" w:rsidP="00A95EB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f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ollowup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Treatment groups 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o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r comparision groups if observational study)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Demographics/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b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aseline disease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A95EB6" w:rsidRDefault="00A95EB6" w:rsidP="00A95EB6">
            <w:pPr>
              <w:tabs>
                <w:tab w:val="left" w:pos="1692"/>
              </w:tabs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Number screened/eligible/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enrolled/withdrawals/</w:t>
            </w:r>
          </w:p>
          <w:p w:rsidR="00A95EB6" w:rsidRPr="00A95EB6" w:rsidRDefault="00A95EB6" w:rsidP="00A95EB6">
            <w:pPr>
              <w:tabs>
                <w:tab w:val="left" w:pos="1692"/>
              </w:tabs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% analyzed</w:t>
            </w:r>
          </w:p>
        </w:tc>
      </w:tr>
      <w:tr w:rsidR="00A95EB6" w:rsidRPr="00A95EB6" w:rsidTr="00B632DA">
        <w:trPr>
          <w:trHeight w:val="1583"/>
        </w:trPr>
        <w:tc>
          <w:tcPr>
            <w:tcW w:w="981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Cohen et al, 2011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109</w:t>
            </w:r>
          </w:p>
        </w:tc>
        <w:tc>
          <w:tcPr>
            <w:tcW w:w="999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RCT</w:t>
            </w:r>
          </w:p>
        </w:tc>
        <w:tc>
          <w:tcPr>
            <w:tcW w:w="162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Botswana, Kenya, Malawi, South Africa, Zimbabwe, India, Brazil, Thailand, and United States</w:t>
            </w:r>
          </w:p>
        </w:tc>
        <w:tc>
          <w:tcPr>
            <w:tcW w:w="126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Median followup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42 months</w:t>
            </w:r>
          </w:p>
        </w:tc>
        <w:tc>
          <w:tcPr>
            <w:tcW w:w="1440" w:type="dxa"/>
            <w:shd w:val="clear" w:color="auto" w:fill="auto"/>
            <w:hideMark/>
          </w:tcPr>
          <w:p w:rsidR="00B632DA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Treatment: immediate ART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 xml:space="preserve">Comparison: delayed ART initiated after decline in CD4 count to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≤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250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 x 10</w:t>
            </w:r>
            <w:r w:rsidR="00B632DA" w:rsidRPr="00B632D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cells/mL or onset </w:t>
            </w:r>
          </w:p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of AIDS-related illness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61% of participants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ages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26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to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40 years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Median CD4 count: 0.442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 for early-therapy group, 0.428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 for delayed therapy group</w:t>
            </w:r>
          </w:p>
        </w:tc>
        <w:tc>
          <w:tcPr>
            <w:tcW w:w="1980" w:type="dxa"/>
            <w:shd w:val="clear" w:color="auto" w:fill="auto"/>
            <w:hideMark/>
          </w:tcPr>
          <w:p w:rsidR="00B632DA" w:rsidRDefault="00A95EB6" w:rsidP="00B632DA">
            <w:pPr>
              <w:ind w:right="-8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Couples in which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partner was HIV-1 positive and the other negative; CD4 counts 0.350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0.550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cells/L; in a stable relationship for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≥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3 months; reported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≥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3 instances of vaginal or </w:t>
            </w:r>
          </w:p>
          <w:p w:rsidR="00A95EB6" w:rsidRPr="00A95EB6" w:rsidRDefault="00A95EB6" w:rsidP="00B632DA">
            <w:pPr>
              <w:ind w:right="-8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anal intercourse; willing to disclose serostatus to partner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HIV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-positive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participants who had previously received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ART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(with exception of short-term prevention of mother-to-child transmission)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10,838 screened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1763 couples enrolled</w:t>
            </w:r>
          </w:p>
        </w:tc>
      </w:tr>
      <w:tr w:rsidR="00A95EB6" w:rsidRPr="00A95EB6" w:rsidTr="00B632DA">
        <w:trPr>
          <w:trHeight w:val="1754"/>
        </w:trPr>
        <w:tc>
          <w:tcPr>
            <w:tcW w:w="981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Del Romero et al, 2010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999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Prospective cohort</w:t>
            </w:r>
          </w:p>
        </w:tc>
        <w:tc>
          <w:tcPr>
            <w:tcW w:w="162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Madrid, Spain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HIV clinic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high prevalence (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o ART: 9.2%, ART: 8.7%)</w:t>
            </w:r>
          </w:p>
        </w:tc>
        <w:tc>
          <w:tcPr>
            <w:tcW w:w="126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1355 couple-years</w:t>
            </w:r>
          </w:p>
        </w:tc>
        <w:tc>
          <w:tcPr>
            <w:tcW w:w="144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ART vs.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o ART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Index cases 83% male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women median age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29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 years;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men median age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32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 years;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, median CD4 count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0.500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 (IQR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0.295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0.700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)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median pasma HIV RNA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 200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copies/m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L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(IQR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ND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8876)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54% detectable viral load</w:t>
            </w:r>
          </w:p>
        </w:tc>
        <w:tc>
          <w:tcPr>
            <w:tcW w:w="198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8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All heterosexual couples who had an ongoing sexual relationship over preceding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6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months, were serodiscordant for HIV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and returned for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≥1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followup visit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Nonindex partner with previous HIV diagnosis or known risk exposures other than relationship with index partner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648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e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ligible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602 serodiscordant at first visit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424 with followup</w:t>
            </w:r>
          </w:p>
        </w:tc>
      </w:tr>
      <w:tr w:rsidR="00A95EB6" w:rsidRPr="00A95EB6" w:rsidTr="00B632DA">
        <w:trPr>
          <w:trHeight w:val="1205"/>
        </w:trPr>
        <w:tc>
          <w:tcPr>
            <w:tcW w:w="981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Donnell et al, 2010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110</w:t>
            </w:r>
          </w:p>
        </w:tc>
        <w:tc>
          <w:tcPr>
            <w:tcW w:w="999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Pre-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ost analysis of prospective cohort data</w:t>
            </w:r>
          </w:p>
        </w:tc>
        <w:tc>
          <w:tcPr>
            <w:tcW w:w="162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14 sites in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7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African countries (Botswana, Kenya, Rwanda, South Africa, Tanzania, Uganda, and Zambia)</w:t>
            </w:r>
          </w:p>
        </w:tc>
        <w:tc>
          <w:tcPr>
            <w:tcW w:w="1260" w:type="dxa"/>
            <w:shd w:val="clear" w:color="auto" w:fill="auto"/>
            <w:hideMark/>
          </w:tcPr>
          <w:p w:rsidR="00B632DA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Median study duration </w:t>
            </w:r>
          </w:p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at ART initiation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13 months</w:t>
            </w:r>
          </w:p>
        </w:tc>
        <w:tc>
          <w:tcPr>
            <w:tcW w:w="144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PreART transmission vs. postART transmission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HIV-infected partner vs</w:t>
            </w:r>
            <w:r w:rsidR="00B632DA">
              <w:rPr>
                <w:rFonts w:ascii="Arial" w:eastAsia="Times New Roman" w:hAnsi="Arial"/>
                <w:sz w:val="16"/>
                <w:szCs w:val="16"/>
                <w:u w:val="single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 HIV-susceptible partner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Mean age: 32 vs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33 years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Female sex: 68% vs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32%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H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V-2 positive: 100% vs. 68%</w:t>
            </w:r>
          </w:p>
        </w:tc>
        <w:tc>
          <w:tcPr>
            <w:tcW w:w="198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8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HIV-1 and HSV-2 serodiscordant couples reporting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≥3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episodes of vaginal intercourse during previous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3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months, with seropositive partner age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≥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18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years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, CD4 count 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≥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0.250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 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History of AIDS-defining condition, receiving ART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3408 enrolled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3381 analyzed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>Note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: 27 couples' baseline serology did not confirm HIV-1 and HSV-2</w:t>
            </w:r>
          </w:p>
        </w:tc>
      </w:tr>
      <w:tr w:rsidR="00A95EB6" w:rsidRPr="00A95EB6" w:rsidTr="00B632DA">
        <w:trPr>
          <w:trHeight w:val="1007"/>
        </w:trPr>
        <w:tc>
          <w:tcPr>
            <w:tcW w:w="981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Goncalves Melo et al, 2008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111</w:t>
            </w:r>
          </w:p>
        </w:tc>
        <w:tc>
          <w:tcPr>
            <w:tcW w:w="999" w:type="dxa"/>
            <w:shd w:val="clear" w:color="auto" w:fill="auto"/>
            <w:hideMark/>
          </w:tcPr>
          <w:p w:rsidR="00A95EB6" w:rsidRPr="00A95EB6" w:rsidRDefault="00A95EB6" w:rsidP="00B632DA">
            <w:pPr>
              <w:ind w:left="-99"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Retrospective cohort</w:t>
            </w:r>
          </w:p>
        </w:tc>
        <w:tc>
          <w:tcPr>
            <w:tcW w:w="1620" w:type="dxa"/>
            <w:shd w:val="clear" w:color="auto" w:fill="auto"/>
            <w:hideMark/>
          </w:tcPr>
          <w:p w:rsidR="00B632DA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Urban HIV/AIDS referral center in </w:t>
            </w:r>
          </w:p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Porto Alegre, Brazil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assumed high prevalence</w:t>
            </w:r>
          </w:p>
        </w:tc>
        <w:tc>
          <w:tcPr>
            <w:tcW w:w="1260" w:type="dxa"/>
            <w:shd w:val="clear" w:color="auto" w:fill="auto"/>
            <w:hideMark/>
          </w:tcPr>
          <w:p w:rsidR="00B632DA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Median followup</w:t>
            </w:r>
          </w:p>
          <w:p w:rsidR="00B632DA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  <w:t>transmitters: 25.5 months</w:t>
            </w:r>
          </w:p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  <w:t>nontransmitters: 22.3 months</w:t>
            </w:r>
          </w:p>
        </w:tc>
        <w:tc>
          <w:tcPr>
            <w:tcW w:w="144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lastRenderedPageBreak/>
              <w:t>Transmitters vs. nontransmitters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72% women (index cases)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57.7% IDU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s;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91% unprotected sex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23.6% STD diagnosis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1980" w:type="dxa"/>
            <w:shd w:val="clear" w:color="auto" w:fill="auto"/>
            <w:hideMark/>
          </w:tcPr>
          <w:p w:rsidR="00A95EB6" w:rsidRPr="00A95EB6" w:rsidRDefault="00B632DA" w:rsidP="00B632DA">
            <w:pPr>
              <w:ind w:right="-88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ART</w:t>
            </w:r>
            <w:r w:rsidR="00A95EB6" w:rsidRPr="00A95EB6">
              <w:rPr>
                <w:rFonts w:ascii="Arial" w:eastAsia="Times New Roman" w:hAnsi="Arial"/>
                <w:sz w:val="16"/>
                <w:szCs w:val="16"/>
              </w:rPr>
              <w:t>-na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="00A95EB6" w:rsidRPr="00A95EB6">
              <w:rPr>
                <w:rFonts w:ascii="Arial" w:eastAsia="Times New Roman" w:hAnsi="Arial"/>
                <w:sz w:val="16"/>
                <w:szCs w:val="16"/>
              </w:rPr>
              <w:t>ve HIV-1 infected people with uninfected, steady, opposite-sex partners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B632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None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2A467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4500 screened retrospectively</w:t>
            </w:r>
            <w:r w:rsidR="00B632D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56 enrolled retrospectively 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and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37 enrolled prospectively 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93 total enrolled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</w:tr>
      <w:tr w:rsidR="00A95EB6" w:rsidRPr="00A95EB6" w:rsidTr="002A467E">
        <w:trPr>
          <w:trHeight w:val="1394"/>
        </w:trPr>
        <w:tc>
          <w:tcPr>
            <w:tcW w:w="981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lastRenderedPageBreak/>
              <w:t>Musicco et al, 1994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107</w:t>
            </w:r>
          </w:p>
        </w:tc>
        <w:tc>
          <w:tcPr>
            <w:tcW w:w="999" w:type="dxa"/>
            <w:shd w:val="clear" w:color="auto" w:fill="auto"/>
            <w:hideMark/>
          </w:tcPr>
          <w:p w:rsidR="00A95EB6" w:rsidRPr="00A95EB6" w:rsidRDefault="00A95EB6" w:rsidP="002A467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Prospective cohort</w:t>
            </w:r>
          </w:p>
        </w:tc>
        <w:tc>
          <w:tcPr>
            <w:tcW w:w="1620" w:type="dxa"/>
            <w:shd w:val="clear" w:color="auto" w:fill="auto"/>
            <w:hideMark/>
          </w:tcPr>
          <w:p w:rsidR="00A95EB6" w:rsidRPr="00A95EB6" w:rsidRDefault="00A95EB6" w:rsidP="002A467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Multicenter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Italy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assumed high prevalence (high risk)</w:t>
            </w:r>
          </w:p>
        </w:tc>
        <w:tc>
          <w:tcPr>
            <w:tcW w:w="1260" w:type="dxa"/>
            <w:shd w:val="clear" w:color="auto" w:fill="auto"/>
            <w:hideMark/>
          </w:tcPr>
          <w:p w:rsidR="00A95EB6" w:rsidRPr="00A95EB6" w:rsidRDefault="00A95EB6" w:rsidP="002A467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Mean followup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2 years (740 person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years)</w:t>
            </w:r>
          </w:p>
        </w:tc>
        <w:tc>
          <w:tcPr>
            <w:tcW w:w="1440" w:type="dxa"/>
            <w:shd w:val="clear" w:color="auto" w:fill="auto"/>
            <w:hideMark/>
          </w:tcPr>
          <w:p w:rsidR="00A95EB6" w:rsidRPr="00A95EB6" w:rsidRDefault="00A95EB6" w:rsidP="00A95EB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Zidovudine vs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no zidovudine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2A467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Mean age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26 years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100% female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; m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edian duration of relationship with HIV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positive partner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3 years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56% consistent condom use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53% regular sexual intercourse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15% anal sex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48% oral sex</w:t>
            </w:r>
          </w:p>
        </w:tc>
        <w:tc>
          <w:tcPr>
            <w:tcW w:w="1980" w:type="dxa"/>
            <w:shd w:val="clear" w:color="auto" w:fill="auto"/>
            <w:hideMark/>
          </w:tcPr>
          <w:p w:rsidR="00A95EB6" w:rsidRPr="00A95EB6" w:rsidRDefault="00A95EB6" w:rsidP="002A467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Serodiscordant women identifyed through partner's attendance at specialty clinic with 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≥1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followup visit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2A467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None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2A467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525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 eligible;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436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 enrolled;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unclear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unclear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Data from 103 person</w:t>
            </w:r>
            <w:r w:rsidR="002A467E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years excluded</w:t>
            </w:r>
          </w:p>
        </w:tc>
      </w:tr>
      <w:tr w:rsidR="00A95EB6" w:rsidRPr="00A95EB6" w:rsidTr="00B632DA">
        <w:trPr>
          <w:trHeight w:val="1079"/>
        </w:trPr>
        <w:tc>
          <w:tcPr>
            <w:tcW w:w="981" w:type="dxa"/>
            <w:shd w:val="clear" w:color="auto" w:fill="auto"/>
            <w:hideMark/>
          </w:tcPr>
          <w:p w:rsidR="000770CC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Reynolds </w:t>
            </w:r>
          </w:p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et al, 2011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112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999" w:type="dxa"/>
            <w:shd w:val="clear" w:color="auto" w:fill="auto"/>
            <w:hideMark/>
          </w:tcPr>
          <w:p w:rsidR="00A95EB6" w:rsidRPr="00A95EB6" w:rsidRDefault="00A95EB6" w:rsidP="000770CC">
            <w:pPr>
              <w:ind w:left="-99"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Retrospective cohort</w:t>
            </w:r>
          </w:p>
        </w:tc>
        <w:tc>
          <w:tcPr>
            <w:tcW w:w="162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Multicenter; Rakai, Uganda; 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h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igh prevalence</w:t>
            </w:r>
          </w:p>
        </w:tc>
        <w:tc>
          <w:tcPr>
            <w:tcW w:w="1260" w:type="dxa"/>
            <w:shd w:val="clear" w:color="auto" w:fill="auto"/>
            <w:hideMark/>
          </w:tcPr>
          <w:p w:rsidR="000770CC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Median followup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770CC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Before ART initiation: 1.57 years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After ART initiation: 1.54 years</w:t>
            </w:r>
          </w:p>
        </w:tc>
        <w:tc>
          <w:tcPr>
            <w:tcW w:w="144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PreART transmission vs. postART transmission</w:t>
            </w:r>
          </w:p>
        </w:tc>
        <w:tc>
          <w:tcPr>
            <w:tcW w:w="1800" w:type="dxa"/>
            <w:shd w:val="clear" w:color="auto" w:fill="auto"/>
            <w:hideMark/>
          </w:tcPr>
          <w:p w:rsidR="000770CC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Male index partner: 58% (142/250)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Consistent condom use: 4%</w:t>
            </w:r>
          </w:p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  <w:t>Polygamous husbands: 20%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198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HIV-1 discordant married couples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None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15,000 screened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250 eligible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250 enrolled</w:t>
            </w:r>
          </w:p>
        </w:tc>
      </w:tr>
      <w:tr w:rsidR="00A95EB6" w:rsidRPr="00A95EB6" w:rsidTr="00B632DA">
        <w:trPr>
          <w:trHeight w:val="503"/>
        </w:trPr>
        <w:tc>
          <w:tcPr>
            <w:tcW w:w="981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Sullivan et al, 2009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113</w:t>
            </w:r>
          </w:p>
        </w:tc>
        <w:tc>
          <w:tcPr>
            <w:tcW w:w="999" w:type="dxa"/>
            <w:shd w:val="clear" w:color="auto" w:fill="auto"/>
            <w:hideMark/>
          </w:tcPr>
          <w:p w:rsidR="00A95EB6" w:rsidRPr="00A95EB6" w:rsidRDefault="00A95EB6" w:rsidP="000770CC">
            <w:pPr>
              <w:ind w:left="-99"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Retrospective cohort</w:t>
            </w:r>
          </w:p>
        </w:tc>
        <w:tc>
          <w:tcPr>
            <w:tcW w:w="162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Rwanda and Zambia</w:t>
            </w:r>
          </w:p>
        </w:tc>
        <w:tc>
          <w:tcPr>
            <w:tcW w:w="126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Median followup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512 days (1.4 years)</w:t>
            </w:r>
          </w:p>
        </w:tc>
        <w:tc>
          <w:tcPr>
            <w:tcW w:w="144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ART vs. 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o ART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980" w:type="dxa"/>
            <w:shd w:val="clear" w:color="auto" w:fill="auto"/>
            <w:hideMark/>
          </w:tcPr>
          <w:p w:rsidR="00A95EB6" w:rsidRPr="00A95EB6" w:rsidRDefault="00A95EB6" w:rsidP="00A95EB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HIV-serodiscordant couples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2993 enrolled</w:t>
            </w:r>
          </w:p>
        </w:tc>
      </w:tr>
      <w:tr w:rsidR="00A95EB6" w:rsidRPr="00A95EB6" w:rsidTr="000770CC">
        <w:trPr>
          <w:trHeight w:val="1061"/>
        </w:trPr>
        <w:tc>
          <w:tcPr>
            <w:tcW w:w="981" w:type="dxa"/>
            <w:shd w:val="clear" w:color="auto" w:fill="auto"/>
            <w:hideMark/>
          </w:tcPr>
          <w:p w:rsidR="00A95EB6" w:rsidRPr="00A95EB6" w:rsidRDefault="00A95EB6" w:rsidP="00A95EB6">
            <w:pPr>
              <w:ind w:right="-122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Wang et al, 2010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114</w:t>
            </w:r>
          </w:p>
        </w:tc>
        <w:tc>
          <w:tcPr>
            <w:tcW w:w="999" w:type="dxa"/>
            <w:shd w:val="clear" w:color="auto" w:fill="auto"/>
            <w:hideMark/>
          </w:tcPr>
          <w:p w:rsidR="00A95EB6" w:rsidRPr="00A95EB6" w:rsidRDefault="00A95EB6" w:rsidP="000770CC">
            <w:pPr>
              <w:ind w:left="-99"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Retrospective cohort</w:t>
            </w:r>
          </w:p>
        </w:tc>
        <w:tc>
          <w:tcPr>
            <w:tcW w:w="1620" w:type="dxa"/>
            <w:shd w:val="clear" w:color="auto" w:fill="auto"/>
            <w:hideMark/>
          </w:tcPr>
          <w:p w:rsidR="000770CC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Multicenter, community-based in Henan 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rovince, China; assumed </w:t>
            </w:r>
          </w:p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high prevalence (high risk)</w:t>
            </w:r>
          </w:p>
        </w:tc>
        <w:tc>
          <w:tcPr>
            <w:tcW w:w="126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Median followup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2.8 years</w:t>
            </w:r>
          </w:p>
        </w:tc>
        <w:tc>
          <w:tcPr>
            <w:tcW w:w="144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ART vs. 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o ART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2A467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Mean age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44 years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43% female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  <w:t>84% regular sexual intercourse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  <w:t>78% condom use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  <w:t>99% monogamous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1980" w:type="dxa"/>
            <w:shd w:val="clear" w:color="auto" w:fill="auto"/>
            <w:hideMark/>
          </w:tcPr>
          <w:p w:rsidR="00A95EB6" w:rsidRPr="00A95EB6" w:rsidRDefault="00A95EB6" w:rsidP="00A95EB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Serodiscordant couples; stable marriage with no separation or divorce; voluntary participation and provided informed consent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None</w:t>
            </w:r>
          </w:p>
        </w:tc>
        <w:tc>
          <w:tcPr>
            <w:tcW w:w="180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4348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screened;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4301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eligible;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1927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enrolled; 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o withdrawals; 100% analyzed</w:t>
            </w:r>
          </w:p>
        </w:tc>
      </w:tr>
    </w:tbl>
    <w:p w:rsidR="002B1C8A" w:rsidRDefault="002B1C8A"/>
    <w:tbl>
      <w:tblPr>
        <w:tblW w:w="136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10"/>
        <w:gridCol w:w="1530"/>
        <w:gridCol w:w="3330"/>
        <w:gridCol w:w="3240"/>
        <w:gridCol w:w="1350"/>
        <w:gridCol w:w="630"/>
      </w:tblGrid>
      <w:tr w:rsidR="00494A5C" w:rsidRPr="00A95EB6" w:rsidTr="00494A5C">
        <w:trPr>
          <w:trHeight w:val="60"/>
          <w:tblHeader/>
        </w:trPr>
        <w:tc>
          <w:tcPr>
            <w:tcW w:w="990" w:type="dxa"/>
            <w:shd w:val="clear" w:color="auto" w:fill="D9D9D9" w:themeFill="background1" w:themeFillShade="D9"/>
            <w:vAlign w:val="bottom"/>
          </w:tcPr>
          <w:p w:rsidR="00A95EB6" w:rsidRPr="00A95EB6" w:rsidRDefault="00A95EB6" w:rsidP="00A95EB6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Virologic response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CD4 count response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0770CC">
            <w:pPr>
              <w:ind w:left="-108" w:right="-9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and role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="00A95EB6" w:rsidRPr="00A95EB6" w:rsidRDefault="00A95EB6" w:rsidP="000770CC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</w:tr>
      <w:tr w:rsidR="00A95EB6" w:rsidRPr="00A95EB6" w:rsidTr="00494A5C">
        <w:trPr>
          <w:trHeight w:val="2168"/>
        </w:trPr>
        <w:tc>
          <w:tcPr>
            <w:tcW w:w="990" w:type="dxa"/>
          </w:tcPr>
          <w:p w:rsidR="00A95EB6" w:rsidRPr="00A95EB6" w:rsidRDefault="00A95EB6" w:rsidP="00AF253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Cohen et al, 2011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109</w:t>
            </w:r>
          </w:p>
        </w:tc>
        <w:tc>
          <w:tcPr>
            <w:tcW w:w="261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Virologic failure, treatment vs</w:t>
            </w:r>
            <w:r w:rsidR="000770CC">
              <w:rPr>
                <w:rFonts w:ascii="Arial" w:eastAsia="Times New Roman" w:hAnsi="Arial"/>
                <w:sz w:val="16"/>
                <w:szCs w:val="16"/>
                <w:u w:val="single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 comparison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45/886 (5%) vs. 5/184 (3%)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p=0.23</w:t>
            </w:r>
          </w:p>
        </w:tc>
        <w:tc>
          <w:tcPr>
            <w:tcW w:w="153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Treatment: 0.442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 at enrollment to 0.603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 at 12 months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Comparison: 0.428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 at enrollment to 0.399 x 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cells/L at 12 months</w:t>
            </w:r>
          </w:p>
        </w:tc>
        <w:tc>
          <w:tcPr>
            <w:tcW w:w="333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Transmission events, treatment vs</w:t>
            </w:r>
            <w:r w:rsidR="000770CC">
              <w:rPr>
                <w:rFonts w:ascii="Arial" w:eastAsia="Times New Roman" w:hAnsi="Arial"/>
                <w:sz w:val="16"/>
                <w:szCs w:val="16"/>
                <w:u w:val="single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 comparison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4 events (IR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0.3 per 100 person-years 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95% CI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0.1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0.6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) vs. 35 events (IR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2.2 per 100 person-years 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95% CI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1.6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3.1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)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HR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0.11 (95% CI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0.04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0.32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; p&lt;0.001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Total clinical events, treatment vs. comparison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HR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0.59 (95% CI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0.40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0.88)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Linked transmission, treatment vs</w:t>
            </w:r>
            <w:r w:rsidR="000770CC">
              <w:rPr>
                <w:rFonts w:ascii="Arial" w:eastAsia="Times New Roman" w:hAnsi="Arial"/>
                <w:sz w:val="16"/>
                <w:szCs w:val="16"/>
                <w:u w:val="single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 comparison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HR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0.04 (95% CI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0.01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0.28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; p&lt;0.001</w:t>
            </w:r>
          </w:p>
        </w:tc>
        <w:tc>
          <w:tcPr>
            <w:tcW w:w="3240" w:type="dxa"/>
            <w:shd w:val="clear" w:color="auto" w:fill="auto"/>
            <w:hideMark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Severe or life-threatening adverse events, treatment vs</w:t>
            </w:r>
            <w:r w:rsidR="000770CC">
              <w:rPr>
                <w:rFonts w:ascii="Arial" w:eastAsia="Times New Roman" w:hAnsi="Arial"/>
                <w:sz w:val="16"/>
                <w:szCs w:val="16"/>
                <w:u w:val="single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 comparison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127/886 (14%) vs. 119/877 (14%)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NS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Most frequent adverse events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: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infections, psychiatric and nervous system disorders, and gastrointestinal disorders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Grade 3 or 4 laboratory abnormalities, treatment vs. comparison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242/886 (27%) vs. 161/877 (18%)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p&lt;0.001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Most frequent laboratory abnormalities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: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neutropenia, abnormal phosphate level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, bilirubin elevations</w:t>
            </w:r>
          </w:p>
        </w:tc>
        <w:tc>
          <w:tcPr>
            <w:tcW w:w="1350" w:type="dxa"/>
            <w:shd w:val="clear" w:color="auto" w:fill="auto"/>
            <w:hideMark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Diseases</w:t>
            </w:r>
          </w:p>
        </w:tc>
        <w:tc>
          <w:tcPr>
            <w:tcW w:w="630" w:type="dxa"/>
            <w:shd w:val="clear" w:color="000000" w:fill="FFFFFF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A95EB6" w:rsidRPr="00A95EB6" w:rsidTr="00494A5C">
        <w:trPr>
          <w:trHeight w:val="332"/>
        </w:trPr>
        <w:tc>
          <w:tcPr>
            <w:tcW w:w="990" w:type="dxa"/>
          </w:tcPr>
          <w:p w:rsidR="00A95EB6" w:rsidRPr="00A95EB6" w:rsidRDefault="00A95EB6" w:rsidP="000770C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Del Romero et al, 2010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61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Detectable viral load in 111/120 (93%) not taking 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ART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vs. 30/145 (21%) on ART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p&lt;0.001</w:t>
            </w:r>
          </w:p>
        </w:tc>
        <w:tc>
          <w:tcPr>
            <w:tcW w:w="153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330" w:type="dxa"/>
            <w:shd w:val="clear" w:color="auto" w:fill="auto"/>
            <w:hideMark/>
          </w:tcPr>
          <w:p w:rsidR="000770CC" w:rsidRDefault="00A95EB6" w:rsidP="000770CC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Proportion engaging in unprotected sexual intercourse, no ART vs. ART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0770CC" w:rsidRDefault="00A95EB6" w:rsidP="000770CC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273/476 (57%) vs. 69/149 (46%)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; p=0.019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Proportion of couples with previous pregnancies, no ART vs. ART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770CC" w:rsidRDefault="00A95EB6" w:rsidP="000770CC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226/476 (47%) vs. 53/149 (36%)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p=0.011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Transmission, no ART vs. ART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br w:type="page"/>
            </w:r>
          </w:p>
          <w:p w:rsidR="000770CC" w:rsidRDefault="00A95EB6" w:rsidP="000770CC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5 instances vs. 0 instances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770CC" w:rsidRPr="000770CC" w:rsidRDefault="00A95EB6" w:rsidP="000770CC">
            <w:pPr>
              <w:ind w:right="-111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Rate per 100 couple</w:t>
            </w:r>
            <w:r w:rsidR="000770CC" w:rsidRPr="000770CC">
              <w:rPr>
                <w:rFonts w:ascii="Arial" w:eastAsia="Times New Roman" w:hAnsi="Arial"/>
                <w:sz w:val="16"/>
                <w:szCs w:val="16"/>
                <w:u w:val="single"/>
              </w:rPr>
              <w:t>-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years, no ART vs. ART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br w:type="page"/>
            </w:r>
          </w:p>
          <w:p w:rsidR="00A95EB6" w:rsidRPr="00A95EB6" w:rsidRDefault="00A95EB6" w:rsidP="000770CC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0.4 (95% CI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0.2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1.4) vs. 0 (95% CI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0770C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1.1)</w:t>
            </w:r>
          </w:p>
        </w:tc>
        <w:tc>
          <w:tcPr>
            <w:tcW w:w="3240" w:type="dxa"/>
            <w:shd w:val="clear" w:color="auto" w:fill="auto"/>
            <w:hideMark/>
          </w:tcPr>
          <w:p w:rsidR="00A95EB6" w:rsidRPr="00A95EB6" w:rsidRDefault="00A95EB6" w:rsidP="000770C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Grant from FIPSE (foundation formed by Spanish Ministry of Health and Consumer Affairs and multiple pharmaceutical companies) and Spanish Network for Research on AIDS</w:t>
            </w:r>
          </w:p>
        </w:tc>
        <w:tc>
          <w:tcPr>
            <w:tcW w:w="630" w:type="dxa"/>
            <w:shd w:val="clear" w:color="000000" w:fill="FFFFFF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A95EB6" w:rsidRPr="00A95EB6" w:rsidTr="00494A5C">
        <w:trPr>
          <w:trHeight w:val="1565"/>
        </w:trPr>
        <w:tc>
          <w:tcPr>
            <w:tcW w:w="990" w:type="dxa"/>
          </w:tcPr>
          <w:p w:rsidR="00A95EB6" w:rsidRPr="00A95EB6" w:rsidRDefault="00A95EB6" w:rsidP="00AF253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Donnell et al, 2010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110</w:t>
            </w:r>
          </w:p>
        </w:tc>
        <w:tc>
          <w:tcPr>
            <w:tcW w:w="261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53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330" w:type="dxa"/>
            <w:shd w:val="clear" w:color="auto" w:fill="auto"/>
            <w:hideMark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PreART vs. </w:t>
            </w:r>
            <w:r w:rsidR="00494A5C">
              <w:rPr>
                <w:rFonts w:ascii="Arial" w:eastAsia="Times New Roman" w:hAnsi="Arial"/>
                <w:sz w:val="16"/>
                <w:szCs w:val="16"/>
                <w:u w:val="single"/>
              </w:rPr>
              <w:t>p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ostART transmission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Overall: 102/4558 person-years (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 xml:space="preserve">IR,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2.24 [95% 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1.84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2.72]) vs. 1/273 person-years (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 xml:space="preserve">IR,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0.37 [95% 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0.09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2.04])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 xml:space="preserve">Overall adjusted 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incidence RR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: 0.08 (95% 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0.00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0.57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);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p=0.004</w:t>
            </w:r>
          </w:p>
        </w:tc>
        <w:tc>
          <w:tcPr>
            <w:tcW w:w="324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Bill &amp; Melinda Gates Foundation; University of Washington Center for AIDS Research; University of Washington AIDS Clinical Trials Group Virology Support Laboratory; US National Institutes of Health</w:t>
            </w:r>
          </w:p>
        </w:tc>
        <w:tc>
          <w:tcPr>
            <w:tcW w:w="630" w:type="dxa"/>
            <w:shd w:val="clear" w:color="auto" w:fill="auto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A95EB6" w:rsidRPr="00A95EB6" w:rsidTr="00494A5C">
        <w:trPr>
          <w:trHeight w:val="791"/>
        </w:trPr>
        <w:tc>
          <w:tcPr>
            <w:tcW w:w="990" w:type="dxa"/>
          </w:tcPr>
          <w:p w:rsidR="00A95EB6" w:rsidRPr="00A95EB6" w:rsidRDefault="00A95EB6" w:rsidP="00AF253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Goncalves Melo et al, 2008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111</w:t>
            </w:r>
          </w:p>
        </w:tc>
        <w:tc>
          <w:tcPr>
            <w:tcW w:w="261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53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330" w:type="dxa"/>
            <w:shd w:val="clear" w:color="auto" w:fill="auto"/>
            <w:hideMark/>
          </w:tcPr>
          <w:p w:rsidR="00494A5C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Transmissions, ART vs. no ART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494A5C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0/41 vs. 6/52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494A5C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Median viral load, transmitters vs. nontransmitters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24,082 (range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1479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100,539) vs. 4583 (range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78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47,974); p=0.042</w:t>
            </w:r>
          </w:p>
        </w:tc>
        <w:tc>
          <w:tcPr>
            <w:tcW w:w="324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630" w:type="dxa"/>
            <w:shd w:val="clear" w:color="auto" w:fill="auto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A95EB6" w:rsidRPr="00A95EB6" w:rsidTr="00494A5C">
        <w:trPr>
          <w:trHeight w:val="800"/>
        </w:trPr>
        <w:tc>
          <w:tcPr>
            <w:tcW w:w="990" w:type="dxa"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Musicco et al, 1994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107</w:t>
            </w:r>
          </w:p>
        </w:tc>
        <w:tc>
          <w:tcPr>
            <w:tcW w:w="261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53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33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Seroconversions, zidovudine vs</w:t>
            </w:r>
            <w:r w:rsidR="00494A5C">
              <w:rPr>
                <w:rFonts w:ascii="Arial" w:eastAsia="Times New Roman" w:hAnsi="Arial"/>
                <w:sz w:val="16"/>
                <w:szCs w:val="16"/>
                <w:u w:val="single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 no zidovudine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6/64 (3.8/100 person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years) vs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21/? (4.4/100 person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years); adjusted RR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0.5 (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 xml:space="preserve">95%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0.1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0.9)</w:t>
            </w:r>
          </w:p>
        </w:tc>
        <w:tc>
          <w:tcPr>
            <w:tcW w:w="324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Ministry of Health, Italy; National Research Council of Italy</w:t>
            </w:r>
          </w:p>
        </w:tc>
        <w:tc>
          <w:tcPr>
            <w:tcW w:w="630" w:type="dxa"/>
            <w:shd w:val="clear" w:color="auto" w:fill="auto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A95EB6" w:rsidRPr="00A95EB6" w:rsidTr="00494A5C">
        <w:trPr>
          <w:trHeight w:val="2330"/>
        </w:trPr>
        <w:tc>
          <w:tcPr>
            <w:tcW w:w="990" w:type="dxa"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lastRenderedPageBreak/>
              <w:t>Reynolds et al, 2011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112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610" w:type="dxa"/>
            <w:shd w:val="clear" w:color="auto" w:fill="auto"/>
            <w:hideMark/>
          </w:tcPr>
          <w:p w:rsidR="00494A5C" w:rsidRDefault="00A95EB6" w:rsidP="00A95EB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6 months: 71.4% (20/28) below detectable limit and remaining 28.6% (8/28) below 2000 copies/m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L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494A5C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12 months: 85.2% (23/27) below 400 copies/m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L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, 14.8% (4/27) ranging from 2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293 to 672,513 copies/mlL</w:t>
            </w:r>
          </w:p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24 months: 100% (28/28) below 400 copies/m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L</w:t>
            </w:r>
          </w:p>
        </w:tc>
        <w:tc>
          <w:tcPr>
            <w:tcW w:w="153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330" w:type="dxa"/>
            <w:shd w:val="clear" w:color="auto" w:fill="auto"/>
            <w:hideMark/>
          </w:tcPr>
          <w:p w:rsidR="00494A5C" w:rsidRDefault="00A95EB6" w:rsidP="00A95EB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Transmission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494A5C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PreART: 9.2/100 person-years (95% 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6.59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12.36)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494A5C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PostART: 0/53.6 person-years (95% 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-1.91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16.38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; p=0.0097</w:t>
            </w:r>
          </w:p>
        </w:tc>
        <w:tc>
          <w:tcPr>
            <w:tcW w:w="324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Division of Intramural Research, National Instutute of Allergy and Infectious Diseases; Eunice Kennedy Shriver National Instutute of Child Health and Human Development</w:t>
            </w:r>
          </w:p>
        </w:tc>
        <w:tc>
          <w:tcPr>
            <w:tcW w:w="630" w:type="dxa"/>
            <w:shd w:val="clear" w:color="auto" w:fill="auto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A95EB6" w:rsidRPr="00A95EB6" w:rsidTr="00494A5C">
        <w:trPr>
          <w:trHeight w:val="1115"/>
        </w:trPr>
        <w:tc>
          <w:tcPr>
            <w:tcW w:w="990" w:type="dxa"/>
          </w:tcPr>
          <w:p w:rsidR="00A95EB6" w:rsidRPr="00A95EB6" w:rsidRDefault="00A95EB6" w:rsidP="00AF253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Sullivan et al, 2009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113</w:t>
            </w:r>
          </w:p>
        </w:tc>
        <w:tc>
          <w:tcPr>
            <w:tcW w:w="261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53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330" w:type="dxa"/>
            <w:shd w:val="clear" w:color="auto" w:fill="auto"/>
            <w:hideMark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Transmissions, ART vs. no ART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4/175 vs. 171/175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Incidence density, ART vs. no ART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0.7%/100 person-years vs. 3.4%/100 person-years (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 xml:space="preserve">RR,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0.21 [95% 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0.08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0.59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Hazard of infection, ART vs. no ART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/>
              <w:t>HR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 xml:space="preserve">,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0.21 (95% 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0.09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0.52)</w:t>
            </w:r>
          </w:p>
        </w:tc>
        <w:tc>
          <w:tcPr>
            <w:tcW w:w="324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630" w:type="dxa"/>
            <w:shd w:val="clear" w:color="auto" w:fill="auto"/>
            <w:hideMark/>
          </w:tcPr>
          <w:p w:rsidR="00A95EB6" w:rsidRPr="00A95EB6" w:rsidRDefault="00494A5C" w:rsidP="00494A5C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NA</w:t>
            </w:r>
          </w:p>
        </w:tc>
      </w:tr>
      <w:tr w:rsidR="00494A5C" w:rsidRPr="00A95EB6" w:rsidTr="00494A5C">
        <w:trPr>
          <w:trHeight w:val="3860"/>
        </w:trPr>
        <w:tc>
          <w:tcPr>
            <w:tcW w:w="990" w:type="dxa"/>
          </w:tcPr>
          <w:p w:rsidR="00A95EB6" w:rsidRPr="00A95EB6" w:rsidRDefault="00A95EB6" w:rsidP="00494A5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Wang et al, 2010</w:t>
            </w:r>
            <w:r w:rsidRPr="00A95EB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114</w:t>
            </w:r>
          </w:p>
        </w:tc>
        <w:tc>
          <w:tcPr>
            <w:tcW w:w="261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53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330" w:type="dxa"/>
            <w:shd w:val="clear" w:color="auto" w:fill="auto"/>
            <w:hideMark/>
          </w:tcPr>
          <w:p w:rsidR="00494A5C" w:rsidRDefault="00A95EB6" w:rsidP="00A95EB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>Seroconversions, ART vs</w:t>
            </w:r>
            <w:r w:rsidR="00494A5C">
              <w:rPr>
                <w:rFonts w:ascii="Arial" w:eastAsia="Times New Roman" w:hAnsi="Arial"/>
                <w:sz w:val="16"/>
                <w:szCs w:val="16"/>
                <w:u w:val="single"/>
              </w:rPr>
              <w:t>.</w:t>
            </w:r>
            <w:r w:rsidRPr="00A95EB6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 no ART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66/1369 (4.8%) vs 18/558 (3.2%); univariate RR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0.76 (95% CI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0.45</w:t>
            </w:r>
            <w:r w:rsidR="00494A5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1.28)</w:t>
            </w:r>
          </w:p>
        </w:tc>
        <w:tc>
          <w:tcPr>
            <w:tcW w:w="3240" w:type="dxa"/>
            <w:shd w:val="clear" w:color="auto" w:fill="auto"/>
            <w:hideMark/>
          </w:tcPr>
          <w:p w:rsidR="00A95EB6" w:rsidRPr="00A95EB6" w:rsidRDefault="00A95EB6" w:rsidP="00494A5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A95EB6" w:rsidRPr="00A95EB6" w:rsidRDefault="00A95EB6" w:rsidP="0003458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China and Fogarty International Center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National Institutes of Health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Office of the Director, Office of AIDS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  <w:t>Research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National Cancer Center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National Eye Institute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National Heart, Blood, and Lung Institute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National Institute of Dental and Craniofacial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Research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National Institute 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o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>n Drug Abuse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National Institute of Mental Health</w:t>
            </w:r>
            <w:r w:rsidR="0003458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t xml:space="preserve"> National Institute of Allergy and Infectious Diseases Health</w:t>
            </w:r>
            <w:r w:rsidRPr="00A95EB6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630" w:type="dxa"/>
            <w:shd w:val="clear" w:color="auto" w:fill="auto"/>
            <w:hideMark/>
          </w:tcPr>
          <w:p w:rsidR="00A95EB6" w:rsidRPr="00A95EB6" w:rsidRDefault="00A95EB6" w:rsidP="00A95EB6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95EB6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</w:tbl>
    <w:p w:rsidR="00A95EB6" w:rsidRPr="00494A5C" w:rsidRDefault="00A95EB6">
      <w:pPr>
        <w:rPr>
          <w:rFonts w:ascii="Arial" w:hAnsi="Arial"/>
          <w:sz w:val="16"/>
          <w:szCs w:val="16"/>
        </w:rPr>
      </w:pPr>
      <w:r w:rsidRPr="00494A5C">
        <w:rPr>
          <w:rFonts w:ascii="Arial" w:hAnsi="Arial"/>
          <w:sz w:val="16"/>
          <w:szCs w:val="16"/>
        </w:rPr>
        <w:t>ART = antiretroviral therapy; CI = confidence interval; HR = hazard rate; HSV-2 = herpes simplex virus 2; IDU = injection drug user; IR = incidence rate; IQR = interquartile range; N</w:t>
      </w:r>
      <w:r w:rsidR="00034582">
        <w:rPr>
          <w:rFonts w:ascii="Arial" w:hAnsi="Arial"/>
          <w:sz w:val="16"/>
          <w:szCs w:val="16"/>
        </w:rPr>
        <w:t>A</w:t>
      </w:r>
      <w:r w:rsidRPr="00494A5C">
        <w:rPr>
          <w:rFonts w:ascii="Arial" w:hAnsi="Arial"/>
          <w:sz w:val="16"/>
          <w:szCs w:val="16"/>
        </w:rPr>
        <w:t xml:space="preserve"> = not </w:t>
      </w:r>
      <w:r w:rsidR="00034582">
        <w:rPr>
          <w:rFonts w:ascii="Arial" w:hAnsi="Arial"/>
          <w:sz w:val="16"/>
          <w:szCs w:val="16"/>
        </w:rPr>
        <w:t>applicable</w:t>
      </w:r>
      <w:r w:rsidRPr="00494A5C">
        <w:rPr>
          <w:rFonts w:ascii="Arial" w:hAnsi="Arial"/>
          <w:sz w:val="16"/>
          <w:szCs w:val="16"/>
        </w:rPr>
        <w:t>; RCT = randomized</w:t>
      </w:r>
      <w:r w:rsidR="00034582">
        <w:rPr>
          <w:rFonts w:ascii="Arial" w:hAnsi="Arial"/>
          <w:sz w:val="16"/>
          <w:szCs w:val="16"/>
        </w:rPr>
        <w:t>,</w:t>
      </w:r>
      <w:r w:rsidRPr="00494A5C">
        <w:rPr>
          <w:rFonts w:ascii="Arial" w:hAnsi="Arial"/>
          <w:sz w:val="16"/>
          <w:szCs w:val="16"/>
        </w:rPr>
        <w:t xml:space="preserve"> controlled trial; RR = relative risk; STD = sexually transmitted disease.</w:t>
      </w:r>
    </w:p>
    <w:p w:rsidR="00A95EB6" w:rsidRDefault="00A95EB6"/>
    <w:sectPr w:rsidR="00A95EB6" w:rsidSect="00494A5C">
      <w:headerReference w:type="default" r:id="rId6"/>
      <w:footerReference w:type="default" r:id="rId7"/>
      <w:pgSz w:w="15840" w:h="12240" w:orient="landscape"/>
      <w:pgMar w:top="1440" w:right="1440" w:bottom="1170" w:left="1440" w:header="720" w:footer="720" w:gutter="0"/>
      <w:pgNumType w:start="1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B6" w:rsidRDefault="00A95EB6" w:rsidP="00A95EB6">
      <w:r>
        <w:separator/>
      </w:r>
    </w:p>
  </w:endnote>
  <w:endnote w:type="continuationSeparator" w:id="0">
    <w:p w:rsidR="00A95EB6" w:rsidRDefault="00A95EB6" w:rsidP="00A9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6" w:rsidRDefault="00A95EB6" w:rsidP="00A95EB6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 w:rsidR="00034582">
      <w:rPr>
        <w:rFonts w:ascii="Arial" w:hAnsi="Arial"/>
        <w:noProof/>
        <w:sz w:val="18"/>
        <w:szCs w:val="18"/>
      </w:rPr>
      <w:t>152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B6" w:rsidRDefault="00A95EB6" w:rsidP="00A95EB6">
      <w:r>
        <w:separator/>
      </w:r>
    </w:p>
  </w:footnote>
  <w:footnote w:type="continuationSeparator" w:id="0">
    <w:p w:rsidR="00A95EB6" w:rsidRDefault="00A95EB6" w:rsidP="00A95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6" w:rsidRPr="00A95EB6" w:rsidRDefault="00A95EB6">
    <w:pPr>
      <w:pStyle w:val="Header"/>
      <w:rPr>
        <w:rFonts w:ascii="Arial" w:hAnsi="Arial"/>
        <w:b/>
        <w:sz w:val="20"/>
        <w:szCs w:val="20"/>
      </w:rPr>
    </w:pPr>
    <w:r w:rsidRPr="00A95EB6">
      <w:rPr>
        <w:rFonts w:ascii="Arial" w:hAnsi="Arial"/>
        <w:b/>
        <w:sz w:val="20"/>
        <w:szCs w:val="20"/>
      </w:rPr>
      <w:t>Appendix B15. Key Question 4a</w:t>
    </w:r>
    <w:r>
      <w:rPr>
        <w:rFonts w:ascii="Arial" w:hAnsi="Arial"/>
        <w:b/>
        <w:sz w:val="20"/>
        <w:szCs w:val="20"/>
      </w:rPr>
      <w:t>:</w:t>
    </w:r>
    <w:r w:rsidRPr="00A95EB6">
      <w:rPr>
        <w:rFonts w:ascii="Arial" w:hAnsi="Arial"/>
        <w:b/>
        <w:sz w:val="20"/>
        <w:szCs w:val="20"/>
      </w:rPr>
      <w:t xml:space="preserve"> Evidence Table </w:t>
    </w:r>
    <w:r>
      <w:rPr>
        <w:rFonts w:ascii="Arial" w:hAnsi="Arial"/>
        <w:b/>
        <w:sz w:val="20"/>
        <w:szCs w:val="20"/>
      </w:rPr>
      <w:t>o</w:t>
    </w:r>
    <w:r w:rsidRPr="00A95EB6">
      <w:rPr>
        <w:rFonts w:ascii="Arial" w:hAnsi="Arial"/>
        <w:b/>
        <w:sz w:val="20"/>
        <w:szCs w:val="20"/>
      </w:rPr>
      <w:t xml:space="preserve">f Studies </w:t>
    </w:r>
    <w:r>
      <w:rPr>
        <w:rFonts w:ascii="Arial" w:hAnsi="Arial"/>
        <w:b/>
        <w:sz w:val="20"/>
        <w:szCs w:val="20"/>
      </w:rPr>
      <w:t>o</w:t>
    </w:r>
    <w:r w:rsidRPr="00A95EB6">
      <w:rPr>
        <w:rFonts w:ascii="Arial" w:hAnsi="Arial"/>
        <w:b/>
        <w:sz w:val="20"/>
        <w:szCs w:val="20"/>
      </w:rPr>
      <w:t xml:space="preserve">f </w:t>
    </w:r>
    <w:r>
      <w:rPr>
        <w:rFonts w:ascii="Arial" w:hAnsi="Arial"/>
        <w:b/>
        <w:sz w:val="20"/>
        <w:szCs w:val="20"/>
      </w:rPr>
      <w:t xml:space="preserve">Effects of </w:t>
    </w:r>
    <w:r w:rsidRPr="00A95EB6">
      <w:rPr>
        <w:rFonts w:ascii="Arial" w:hAnsi="Arial"/>
        <w:b/>
        <w:sz w:val="20"/>
        <w:szCs w:val="20"/>
      </w:rPr>
      <w:t xml:space="preserve">Counseling </w:t>
    </w:r>
    <w:r>
      <w:rPr>
        <w:rFonts w:ascii="Arial" w:hAnsi="Arial"/>
        <w:b/>
        <w:sz w:val="20"/>
        <w:szCs w:val="20"/>
      </w:rPr>
      <w:t>o</w:t>
    </w:r>
    <w:r w:rsidRPr="00A95EB6">
      <w:rPr>
        <w:rFonts w:ascii="Arial" w:hAnsi="Arial"/>
        <w:b/>
        <w:sz w:val="20"/>
        <w:szCs w:val="20"/>
      </w:rPr>
      <w:t xml:space="preserve">r Antiretroviral Therapy Use </w:t>
    </w:r>
    <w:r>
      <w:rPr>
        <w:rFonts w:ascii="Arial" w:hAnsi="Arial"/>
        <w:b/>
        <w:sz w:val="20"/>
        <w:szCs w:val="20"/>
      </w:rPr>
      <w:t>o</w:t>
    </w:r>
    <w:r w:rsidRPr="00A95EB6">
      <w:rPr>
        <w:rFonts w:ascii="Arial" w:hAnsi="Arial"/>
        <w:b/>
        <w:sz w:val="20"/>
        <w:szCs w:val="20"/>
      </w:rPr>
      <w:t>n HIV Transmission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B6"/>
    <w:rsid w:val="00034582"/>
    <w:rsid w:val="000770CC"/>
    <w:rsid w:val="002A467E"/>
    <w:rsid w:val="002B1C8A"/>
    <w:rsid w:val="00391C6E"/>
    <w:rsid w:val="00494A5C"/>
    <w:rsid w:val="006B6342"/>
    <w:rsid w:val="009317A8"/>
    <w:rsid w:val="00A95EB6"/>
    <w:rsid w:val="00B632DA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95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EB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95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EB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2012-11-02T18:18:00Z</dcterms:created>
  <dcterms:modified xsi:type="dcterms:W3CDTF">2012-11-02T19:14:00Z</dcterms:modified>
</cp:coreProperties>
</file>