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429"/>
        <w:gridCol w:w="2839"/>
        <w:gridCol w:w="3454"/>
        <w:gridCol w:w="4212"/>
      </w:tblGrid>
      <w:tr w:rsidR="001A2373" w:rsidRPr="001A2373" w:rsidTr="001A2373">
        <w:trPr>
          <w:trHeight w:val="300"/>
          <w:tblHeader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Reference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 Dose/Duration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Components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Intermediate Outcomes</w:t>
            </w:r>
          </w:p>
          <w:p w:rsidR="001A2373" w:rsidRPr="001A2373" w:rsidRDefault="001A2373" w:rsidP="001A23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(B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lood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ressure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and 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eart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ange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hanges)</w:t>
            </w:r>
          </w:p>
        </w:tc>
      </w:tr>
      <w:tr w:rsidR="001A2373" w:rsidRPr="001A2373" w:rsidTr="007B00DD">
        <w:trPr>
          <w:trHeight w:val="93"/>
        </w:trPr>
        <w:tc>
          <w:tcPr>
            <w:tcW w:w="1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2373" w:rsidRPr="001A2373" w:rsidRDefault="001A2373" w:rsidP="001A2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Orlistat</w:t>
            </w:r>
            <w:proofErr w:type="spellEnd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Trials</w:t>
            </w:r>
          </w:p>
        </w:tc>
      </w:tr>
      <w:tr w:rsidR="001A2373" w:rsidRPr="001A2373" w:rsidTr="00CB5754">
        <w:trPr>
          <w:trHeight w:val="2325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Acharya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2006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133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Perrio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2007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134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Primary care</w:t>
            </w:r>
          </w:p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76.9% were started at 360 mg QD; 22.7% were started on a dose below 360 mg QD; 0.4% were started on a dose of more than 360 mg QD</w:t>
            </w:r>
          </w:p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Median duration of treatment was 150 days</w:t>
            </w:r>
          </w:p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Prescriber: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GP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Diet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</w:tr>
      <w:tr w:rsidR="001A2373" w:rsidRPr="001A2373" w:rsidTr="00CB5754">
        <w:trPr>
          <w:trHeight w:val="294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Bakris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2002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126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120 mg TID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52 weeks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Diet prescription: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Nutritionally balanced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hypocaloric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diet (estimated energy requirements minus 600 kcal/day) with no more than 30% calories from fat; met with a dietician periodically to review dietary instructions and food records</w:t>
            </w:r>
          </w:p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Encouraged to participate in moderate physical activity as deemed appropriate by their physician</w:t>
            </w:r>
          </w:p>
          <w:p w:rsidR="001A2373" w:rsidRPr="001A2373" w:rsidRDefault="001A2373" w:rsidP="00CB575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After screening visit, patients came for  BL visit and 11 follow up visits spread over the 52 week duration of the study (13 visits*)</w:t>
            </w:r>
          </w:p>
          <w:p w:rsidR="001A2373" w:rsidRPr="001A2373" w:rsidRDefault="001A2373" w:rsidP="001A2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(SD), Mean change from BL (SD) 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BL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52 </w:t>
            </w: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wks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Diastolic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98.4 (3.7)        -11.4 (8.3)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98.3 (3.5)        -9.2 (8.4)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p                              0.002  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154.2 (13.4)   -13.3 (15.2)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150.8 (12.7)   -11.0 (15.0)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p                               NS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1A2373" w:rsidRPr="001A2373" w:rsidTr="00CB5754">
        <w:trPr>
          <w:trHeight w:val="369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Broom, 2002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132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"the clinic" unclear if intervention in outpatient clinics or just recruited from there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120 mg TID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24 weeks double blind phase, 28 week open-label phase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Diet prescription: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Hypocaloric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diet containing 30% of calories as fat &amp; a max of 300 mg/day cholesterol. Total energy expenditure was calculated and 600 kcal/day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ws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subtracted. Achieved by a mild reduction in food intake from each of the 5 major food groups, with dietary advice provided by a dietician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Patients received advice on physical activity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Screening visit, followed by BL assessment, and every four weeks up to week 24. During open-label phase clinic visits were at weeks 30, 36, 44, and 52 (12 visits total*)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(SD)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BL               24 </w:t>
            </w: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wks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Diastolic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82.6* (8.3)         80.6 (NR)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84.0 (9.1)         83.2 (NR)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136.9 (14.8)    135.8 (NR)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140.0 (16.4)    138.3 (NR)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*Reported as 86.2 in text.  82.6 likely most accurate.</w:t>
            </w:r>
          </w:p>
        </w:tc>
      </w:tr>
      <w:tr w:rsidR="001A2373" w:rsidRPr="001A2373" w:rsidTr="00CB5754">
        <w:trPr>
          <w:trHeight w:val="531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Kelley, 2002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127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43 centers in US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120 mg TID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52 weeks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Diet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Nutritionally balanced, energy deficient diet designed to induce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loss of 0.25-0.5 kg per week. Contained ~30% of calories as fat, 50% as carbs, and 20% as protein, with a max of 300 mg/day of cholesterol. At BL patients received diet instructions from a registered dietician. Additional dietary instruction was provided at predetermined intervals during the study period. Dietary compliance monitored by use of dietary intake records. At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24 the prescribed dietary intake was further reduced </w:t>
            </w:r>
            <w:proofErr w:type="gram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by 200 kcal/day (min of 1200 kcal/day)</w:t>
            </w:r>
            <w:proofErr w:type="gram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. Patients were instructed to take a multivitamin at least 2 h before or after evening dose of study drug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Patients were encouraged to participate in moderate physical activity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Lifestyle and behavioral modification literature were available to all patients throughout the study; dietary intake records were used to evaluate compliance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Subjects were seen every 2-4 weeks for study assessment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(SE)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BL              52 </w:t>
            </w: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wks</w:t>
            </w:r>
            <w:proofErr w:type="spellEnd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           Change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Diastolic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79.5 (0.5)     77.2 (0.6)        -2.3 (0.7)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80.9 (0.6)     78.0 (0.5)       -1.0 (0.5)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0.075                                   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135.1 (0.9)    134.0 (1.0)      -1.2 (1.0)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134.9(0.9)     134.0 (1.0)     -0.9 (1.0)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0.948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color w:val="000000"/>
                <w:sz w:val="16"/>
                <w:szCs w:val="16"/>
              </w:rPr>
              <w:t>IG n analyzed: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266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color w:val="000000"/>
                <w:sz w:val="16"/>
                <w:szCs w:val="16"/>
              </w:rPr>
              <w:t>CG n analyzed: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276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2373" w:rsidRPr="001A2373" w:rsidTr="00CB5754">
        <w:trPr>
          <w:trHeight w:val="369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Muls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2001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130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19 centers in Belgium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120 mg TID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24 weeks double blind phase, 24 week open-label extension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Diet prescription: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Patients instructed on a nutritionally balanced low-energy diet containing 30% of energy as fat at start of run-in. Energy content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estimated total daily energy expenditure </w:t>
            </w:r>
            <w:proofErr w:type="gram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minus 600 kcal/day</w:t>
            </w:r>
            <w:proofErr w:type="gram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. Lowest energy intake allowed was 1200 kcal/day. Encouraged to take 3 main meals per day. Dietician assessed dietary compliance weeks 4, 12, and 24. Diet maintained through open-label extension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At the start and end of run-in phase, monthly during double blind phase (6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), and at weeks 28, 36, and 48 during open-label extension (11 visits*)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(SD) 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BL                  48 </w:t>
            </w: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wks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Diastolic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83.1 (7.4)         --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82.2 (8.3)         --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   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133.6 (13.3)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--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CG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130.6 (12.1)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--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1A2373" w:rsidRPr="001A2373" w:rsidTr="00CB5754">
        <w:trPr>
          <w:trHeight w:val="495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Van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Gaal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1998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129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14 European centers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30, 60, 120 or 240 mg TID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24 weeks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Diet prescription: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Nutritionally balanced, mildly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hypocaloric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diet designed to result in estimated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loss of 0.25-0.5 kg/week during run in period. Contained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approx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30% calories from fat, 50% as carbohydrates, 20% as protein, and max of 300 mg/day of cholesterol. Number of calories equaled the estimated daily energy expenditure minus 600 kcal per day, with a min of 1200 kcal per day. Diet was adjusted if patient experienced a fall of BMI to 22 kg/m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or below on 2 consecutive visits. Received dietary advice from a qualified dietician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to keep diet diary for 4 days during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wks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 &amp; 2 of lead in period, and during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wks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3,5,7,9,13,17, and 21 during treatment period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Measurements (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wt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, vital signs, AE's) assessed twice during screening, at day 14 of lead in, and at every clinic visit during treatment period (BL, day 15 &amp; 29, and then every 4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wks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) (10 visits*)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No clinically relevant abnormalities related to treatment were observed during treatment period in laboratory values; no changes in relation to hepatocellular damage, vital signs or ECGs; no evidence to support increased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cholelithiasis</w:t>
            </w:r>
            <w:proofErr w:type="spellEnd"/>
          </w:p>
        </w:tc>
      </w:tr>
      <w:tr w:rsidR="001A2373" w:rsidRPr="001A2373" w:rsidTr="00CB5754">
        <w:trPr>
          <w:trHeight w:val="15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Metformin Trials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A2373" w:rsidRPr="001A2373" w:rsidTr="00CB5754">
        <w:trPr>
          <w:trHeight w:val="2888"/>
        </w:trPr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Trolle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2007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131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Dept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Gynaecology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Obstetrics,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Hostebro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Hospital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metformin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850 mg BID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6 months (6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on med or placebo, followed by 3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washout before being switched to alternate treatment for another 6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Diet</w:t>
            </w:r>
            <w:proofErr w:type="spellEnd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prescription: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Exercise</w:t>
            </w:r>
            <w:proofErr w:type="spellEnd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visits: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Participants seen prior to inclusion and every 2nd month during treatment periods (6 visits during 12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Change from BL, median (5-95% percentile)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ITT Analysis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6 </w:t>
            </w: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p value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-5.4 (-10.8, -0.1)   0.047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CG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(-3, 5)                0.529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Mean differences between changes: -5.0(-11.2, 1.3), p=0.116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CB5754" w:rsidRPr="001A2373" w:rsidTr="00CB5754">
        <w:trPr>
          <w:trHeight w:val="156"/>
        </w:trPr>
        <w:tc>
          <w:tcPr>
            <w:tcW w:w="1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B5754" w:rsidRPr="001A2373" w:rsidRDefault="00CB5754" w:rsidP="00CB5754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Combination Trials</w:t>
            </w:r>
          </w:p>
        </w:tc>
      </w:tr>
      <w:tr w:rsidR="001A2373" w:rsidRPr="001A2373" w:rsidTr="00CB5754">
        <w:trPr>
          <w:trHeight w:val="396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Gokcel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, 2002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136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 setting: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Outpatient clinic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Metformin, 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Dose: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Orlistat</w:t>
            </w:r>
            <w:proofErr w:type="spellEnd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: 120 mg TID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Metformin: 850 mg BID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6 months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Prescriber: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Incentives: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Diet prescription: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Recommended to follow weight reducing daily diet of 25 kcal/kg of ideal body weight; 50% calories from carbs, 30% from lipids and 20% from proteins; given a list of foods that were permitted and not permitted, as well as guidelines on recommended portions and possible combinations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Exercise prescription: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Behavioral intervention description: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NR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visits: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Before the start of medication and then monthly up to 6 months of treatment (7 visits*)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proofErr w:type="spellStart"/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calc</w:t>
            </w:r>
            <w:proofErr w:type="spell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IG2: </w:t>
            </w:r>
            <w:proofErr w:type="spellStart"/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orlistat</w:t>
            </w:r>
            <w:proofErr w:type="spellEnd"/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IG3: metformin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Mean (SEM)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BL                       6 </w:t>
            </w:r>
            <w:proofErr w:type="spellStart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</w:t>
            </w:r>
            <w:proofErr w:type="spellEnd"/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            p value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Diastolic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IG2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79.77 (1.18)     75.98 (0.84)      p &lt; 0.008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IG3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83.41 (1.30)     77.61 (0.74)      p &lt; 0.0001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IG2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127.21 (1.80)     121.74(1.54)   p &lt; 0.0001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IG3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129.55 (1.98)     123.64 (1.45)  p &lt; 0.0001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Heart rate, beats/minute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IG2 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80.25 (1.25)     78.77 (0.93)     p &lt; 0.03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IG3 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81.63 (1.37)     79.95 (1.10)     p &lt; 0.006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% change from BL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Diastolic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IG2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4.75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IG3 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>6.95</w:t>
            </w: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Systolic Blood Pressure, mmHg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IG2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4.30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IG3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4.56  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Heart rate, beats/minute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IG2 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2.12 </w:t>
            </w:r>
          </w:p>
          <w:p w:rsidR="001A2373" w:rsidRPr="001A2373" w:rsidRDefault="001A2373" w:rsidP="00617C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3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IG3</w:t>
            </w:r>
            <w:r w:rsidRPr="001A2373">
              <w:rPr>
                <w:rFonts w:ascii="Arial" w:hAnsi="Arial" w:cs="Arial"/>
                <w:color w:val="000000"/>
                <w:sz w:val="16"/>
                <w:szCs w:val="16"/>
              </w:rPr>
              <w:t xml:space="preserve">  1.84</w:t>
            </w:r>
          </w:p>
        </w:tc>
      </w:tr>
    </w:tbl>
    <w:p w:rsidR="00CB5754" w:rsidRDefault="00CB5754"/>
    <w:sectPr w:rsidR="00CB5754" w:rsidSect="001A2373">
      <w:pgSz w:w="15840" w:h="12240" w:orient="landscape"/>
      <w:pgMar w:top="1170" w:right="1440" w:bottom="90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B0" w:rsidRDefault="00E039B0" w:rsidP="0018673F">
      <w:r>
        <w:separator/>
      </w:r>
    </w:p>
  </w:endnote>
  <w:endnote w:type="continuationSeparator" w:id="0">
    <w:p w:rsidR="00E039B0" w:rsidRDefault="00E039B0" w:rsidP="0018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B0" w:rsidRDefault="00E039B0" w:rsidP="0018673F">
      <w:r>
        <w:separator/>
      </w:r>
    </w:p>
  </w:footnote>
  <w:footnote w:type="continuationSeparator" w:id="0">
    <w:p w:rsidR="00E039B0" w:rsidRDefault="00E039B0" w:rsidP="0018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3F"/>
    <w:rsid w:val="0018673F"/>
    <w:rsid w:val="001A2373"/>
    <w:rsid w:val="002B1C8A"/>
    <w:rsid w:val="003641FD"/>
    <w:rsid w:val="00770462"/>
    <w:rsid w:val="008E33DC"/>
    <w:rsid w:val="008F1446"/>
    <w:rsid w:val="00971936"/>
    <w:rsid w:val="00AE021E"/>
    <w:rsid w:val="00B913AC"/>
    <w:rsid w:val="00BA7B86"/>
    <w:rsid w:val="00BB0F78"/>
    <w:rsid w:val="00CB5754"/>
    <w:rsid w:val="00D45784"/>
    <w:rsid w:val="00E039B0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67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18673F"/>
  </w:style>
  <w:style w:type="paragraph" w:styleId="Footer">
    <w:name w:val="footer"/>
    <w:basedOn w:val="Normal"/>
    <w:link w:val="FooterChar"/>
    <w:uiPriority w:val="99"/>
    <w:unhideWhenUsed/>
    <w:rsid w:val="001867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67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18673F"/>
  </w:style>
  <w:style w:type="paragraph" w:styleId="Footer">
    <w:name w:val="footer"/>
    <w:basedOn w:val="Normal"/>
    <w:link w:val="FooterChar"/>
    <w:uiPriority w:val="99"/>
    <w:unhideWhenUsed/>
    <w:rsid w:val="001867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Ratnamala</cp:lastModifiedBy>
  <cp:revision>2</cp:revision>
  <dcterms:created xsi:type="dcterms:W3CDTF">2011-10-24T10:54:00Z</dcterms:created>
  <dcterms:modified xsi:type="dcterms:W3CDTF">2011-10-24T10:54:00Z</dcterms:modified>
</cp:coreProperties>
</file>