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HRQ1"/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5"/>
        <w:gridCol w:w="1800"/>
        <w:gridCol w:w="1620"/>
        <w:gridCol w:w="1980"/>
        <w:gridCol w:w="1800"/>
        <w:gridCol w:w="2070"/>
        <w:gridCol w:w="2075"/>
        <w:gridCol w:w="828"/>
      </w:tblGrid>
      <w:tr w:rsidR="004E3750" w:rsidRPr="006C48E7" w:rsidTr="00D11E10">
        <w:trPr>
          <w:tblHeader/>
        </w:trPr>
        <w:tc>
          <w:tcPr>
            <w:tcW w:w="1255" w:type="dxa"/>
            <w:shd w:val="clear" w:color="auto" w:fill="D9D9D9" w:themeFill="background1" w:themeFillShade="D9"/>
            <w:vAlign w:val="bottom"/>
          </w:tcPr>
          <w:p w:rsidR="004E3750" w:rsidRPr="006C48E7" w:rsidRDefault="004E3750" w:rsidP="00D11E10">
            <w:pPr>
              <w:pStyle w:val="AppTableText"/>
              <w:rPr>
                <w:b/>
                <w:sz w:val="20"/>
                <w:szCs w:val="20"/>
              </w:rPr>
            </w:pPr>
            <w:r w:rsidRPr="006C48E7">
              <w:rPr>
                <w:b/>
                <w:sz w:val="20"/>
                <w:szCs w:val="20"/>
              </w:rPr>
              <w:t>Study Reference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bottom"/>
          </w:tcPr>
          <w:p w:rsidR="004E3750" w:rsidRPr="006C48E7" w:rsidRDefault="004E3750" w:rsidP="00D11E10">
            <w:pPr>
              <w:pStyle w:val="AppTableText"/>
              <w:jc w:val="center"/>
              <w:rPr>
                <w:b/>
                <w:sz w:val="20"/>
                <w:szCs w:val="20"/>
              </w:rPr>
            </w:pPr>
            <w:r w:rsidRPr="006C48E7">
              <w:rPr>
                <w:b/>
                <w:sz w:val="20"/>
                <w:szCs w:val="20"/>
              </w:rPr>
              <w:t>Participant Characteristics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:rsidR="004E3750" w:rsidRPr="006C48E7" w:rsidRDefault="004E3750" w:rsidP="00D11E10">
            <w:pPr>
              <w:pStyle w:val="AppTableText"/>
              <w:jc w:val="center"/>
              <w:rPr>
                <w:b/>
                <w:sz w:val="20"/>
                <w:szCs w:val="20"/>
              </w:rPr>
            </w:pPr>
            <w:r w:rsidRPr="006C48E7">
              <w:rPr>
                <w:b/>
                <w:sz w:val="20"/>
                <w:szCs w:val="20"/>
              </w:rPr>
              <w:t>Intervention; Duration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bottom"/>
          </w:tcPr>
          <w:p w:rsidR="004E3750" w:rsidRPr="006C48E7" w:rsidRDefault="004E3750" w:rsidP="00D11E10">
            <w:pPr>
              <w:pStyle w:val="AppTableText"/>
              <w:jc w:val="center"/>
              <w:rPr>
                <w:b/>
                <w:sz w:val="20"/>
                <w:szCs w:val="20"/>
              </w:rPr>
            </w:pPr>
            <w:r w:rsidRPr="006C48E7">
              <w:rPr>
                <w:b/>
                <w:sz w:val="20"/>
                <w:szCs w:val="20"/>
              </w:rPr>
              <w:t>Discontinuations due to AE</w:t>
            </w:r>
          </w:p>
          <w:p w:rsidR="004E3750" w:rsidRPr="006C48E7" w:rsidRDefault="004E3750" w:rsidP="00D11E10">
            <w:pPr>
              <w:pStyle w:val="AppTableText"/>
              <w:jc w:val="center"/>
              <w:rPr>
                <w:b/>
                <w:sz w:val="20"/>
                <w:szCs w:val="20"/>
              </w:rPr>
            </w:pPr>
            <w:r w:rsidRPr="006C48E7">
              <w:rPr>
                <w:b/>
                <w:sz w:val="20"/>
                <w:szCs w:val="20"/>
              </w:rPr>
              <w:t>Risk in Treatment Group; Risk in Control Group</w:t>
            </w:r>
          </w:p>
          <w:p w:rsidR="004E3750" w:rsidRPr="006C48E7" w:rsidRDefault="004E3750" w:rsidP="00D11E10">
            <w:pPr>
              <w:pStyle w:val="AppTableText"/>
              <w:jc w:val="center"/>
              <w:rPr>
                <w:b/>
                <w:sz w:val="20"/>
                <w:szCs w:val="20"/>
              </w:rPr>
            </w:pPr>
            <w:r w:rsidRPr="006C48E7">
              <w:rPr>
                <w:b/>
                <w:sz w:val="20"/>
                <w:szCs w:val="20"/>
              </w:rPr>
              <w:t>(RR [95% CI])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bottom"/>
          </w:tcPr>
          <w:p w:rsidR="004E3750" w:rsidRPr="006C48E7" w:rsidRDefault="004E3750" w:rsidP="00D11E10">
            <w:pPr>
              <w:pStyle w:val="AppTableText"/>
              <w:jc w:val="center"/>
              <w:rPr>
                <w:b/>
                <w:sz w:val="20"/>
                <w:szCs w:val="20"/>
              </w:rPr>
            </w:pPr>
            <w:r w:rsidRPr="006C48E7">
              <w:rPr>
                <w:b/>
                <w:sz w:val="20"/>
                <w:szCs w:val="20"/>
              </w:rPr>
              <w:t>Serious AEs</w:t>
            </w:r>
          </w:p>
          <w:p w:rsidR="004E3750" w:rsidRPr="006C48E7" w:rsidRDefault="004E3750" w:rsidP="00D11E10">
            <w:pPr>
              <w:pStyle w:val="AppTableText"/>
              <w:jc w:val="center"/>
              <w:rPr>
                <w:b/>
                <w:sz w:val="20"/>
                <w:szCs w:val="20"/>
              </w:rPr>
            </w:pPr>
            <w:r w:rsidRPr="006C48E7">
              <w:rPr>
                <w:b/>
                <w:sz w:val="20"/>
                <w:szCs w:val="20"/>
              </w:rPr>
              <w:t>Risk in Treatment Group; Risk in Control Group</w:t>
            </w:r>
          </w:p>
          <w:p w:rsidR="004E3750" w:rsidRPr="006C48E7" w:rsidRDefault="004E3750" w:rsidP="00D11E10">
            <w:pPr>
              <w:pStyle w:val="AppTableText"/>
              <w:jc w:val="center"/>
              <w:rPr>
                <w:b/>
                <w:sz w:val="20"/>
                <w:szCs w:val="20"/>
              </w:rPr>
            </w:pPr>
            <w:r w:rsidRPr="006C48E7">
              <w:rPr>
                <w:b/>
                <w:sz w:val="20"/>
                <w:szCs w:val="20"/>
              </w:rPr>
              <w:t>(RR [95% CI])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bottom"/>
          </w:tcPr>
          <w:p w:rsidR="004E3750" w:rsidRPr="006C48E7" w:rsidRDefault="004E3750" w:rsidP="00D11E10">
            <w:pPr>
              <w:pStyle w:val="AppTableText"/>
              <w:jc w:val="center"/>
              <w:rPr>
                <w:b/>
                <w:sz w:val="20"/>
                <w:szCs w:val="20"/>
              </w:rPr>
            </w:pPr>
            <w:r w:rsidRPr="006C48E7">
              <w:rPr>
                <w:b/>
                <w:sz w:val="20"/>
                <w:szCs w:val="20"/>
              </w:rPr>
              <w:t>Gastrointestinal Adverse Events</w:t>
            </w:r>
            <w:r w:rsidRPr="006C48E7">
              <w:rPr>
                <w:b/>
                <w:sz w:val="20"/>
                <w:szCs w:val="20"/>
                <w:vertAlign w:val="superscript"/>
              </w:rPr>
              <w:t>a</w:t>
            </w:r>
          </w:p>
          <w:p w:rsidR="004E3750" w:rsidRPr="006C48E7" w:rsidRDefault="004E3750" w:rsidP="00D11E10">
            <w:pPr>
              <w:pStyle w:val="AppTableText"/>
              <w:jc w:val="center"/>
              <w:rPr>
                <w:b/>
                <w:sz w:val="20"/>
                <w:szCs w:val="20"/>
              </w:rPr>
            </w:pPr>
            <w:r w:rsidRPr="006C48E7">
              <w:rPr>
                <w:b/>
                <w:sz w:val="20"/>
                <w:szCs w:val="20"/>
              </w:rPr>
              <w:t>Risk in Treatment Group; Risk in Control Group</w:t>
            </w:r>
          </w:p>
          <w:p w:rsidR="004E3750" w:rsidRPr="006C48E7" w:rsidRDefault="004E3750" w:rsidP="00D11E10">
            <w:pPr>
              <w:pStyle w:val="AppTableText"/>
              <w:jc w:val="center"/>
              <w:rPr>
                <w:b/>
                <w:sz w:val="20"/>
                <w:szCs w:val="20"/>
              </w:rPr>
            </w:pPr>
            <w:r w:rsidRPr="006C48E7">
              <w:rPr>
                <w:b/>
                <w:sz w:val="20"/>
                <w:szCs w:val="20"/>
              </w:rPr>
              <w:t>(RR [95% CI])</w:t>
            </w:r>
          </w:p>
        </w:tc>
        <w:tc>
          <w:tcPr>
            <w:tcW w:w="2075" w:type="dxa"/>
            <w:shd w:val="clear" w:color="auto" w:fill="D9D9D9" w:themeFill="background1" w:themeFillShade="D9"/>
            <w:vAlign w:val="bottom"/>
          </w:tcPr>
          <w:p w:rsidR="004E3750" w:rsidRPr="006C48E7" w:rsidRDefault="004E3750" w:rsidP="00D11E10">
            <w:pPr>
              <w:pStyle w:val="AppTableText"/>
              <w:jc w:val="center"/>
              <w:rPr>
                <w:b/>
                <w:sz w:val="20"/>
                <w:szCs w:val="20"/>
              </w:rPr>
            </w:pPr>
            <w:r w:rsidRPr="006C48E7">
              <w:rPr>
                <w:b/>
                <w:sz w:val="20"/>
                <w:szCs w:val="20"/>
              </w:rPr>
              <w:t>Other Adverse Events</w:t>
            </w:r>
          </w:p>
        </w:tc>
        <w:tc>
          <w:tcPr>
            <w:tcW w:w="828" w:type="dxa"/>
            <w:shd w:val="clear" w:color="auto" w:fill="D9D9D9" w:themeFill="background1" w:themeFillShade="D9"/>
            <w:vAlign w:val="bottom"/>
          </w:tcPr>
          <w:p w:rsidR="004E3750" w:rsidRPr="006C48E7" w:rsidRDefault="004E3750" w:rsidP="00D11E10">
            <w:pPr>
              <w:pStyle w:val="AppTableText"/>
              <w:jc w:val="center"/>
              <w:rPr>
                <w:b/>
                <w:sz w:val="20"/>
                <w:szCs w:val="20"/>
              </w:rPr>
            </w:pPr>
            <w:r w:rsidRPr="006C48E7">
              <w:rPr>
                <w:b/>
                <w:sz w:val="20"/>
                <w:szCs w:val="20"/>
              </w:rPr>
              <w:t>Quality Rating</w:t>
            </w:r>
          </w:p>
        </w:tc>
      </w:tr>
      <w:tr w:rsidR="004E3750" w:rsidRPr="006C48E7" w:rsidTr="00D11E10">
        <w:tc>
          <w:tcPr>
            <w:tcW w:w="1255" w:type="dxa"/>
          </w:tcPr>
          <w:p w:rsidR="004E3750" w:rsidRPr="006C48E7" w:rsidRDefault="004E3750" w:rsidP="00D11E10">
            <w:pPr>
              <w:pStyle w:val="AppTableText"/>
            </w:pPr>
            <w:r w:rsidRPr="006C48E7">
              <w:t>Lewiecki et al, 2007</w:t>
            </w:r>
            <w:r w:rsidRPr="006C48E7">
              <w:rPr>
                <w:noProof/>
                <w:vertAlign w:val="superscript"/>
              </w:rPr>
              <w:t>236</w:t>
            </w:r>
            <w:r w:rsidRPr="006C48E7">
              <w:rPr>
                <w:vertAlign w:val="superscript"/>
              </w:rPr>
              <w:t>a</w:t>
            </w:r>
          </w:p>
        </w:tc>
        <w:tc>
          <w:tcPr>
            <w:tcW w:w="1800" w:type="dxa"/>
          </w:tcPr>
          <w:p w:rsidR="004E3750" w:rsidRPr="006C48E7" w:rsidRDefault="004E3750" w:rsidP="00D11E10">
            <w:pPr>
              <w:pStyle w:val="AppTableText"/>
            </w:pPr>
            <w:r w:rsidRPr="006C48E7">
              <w:t>Postmenopausal women with lumbar spine BMD T-scores of</w:t>
            </w:r>
          </w:p>
          <w:p w:rsidR="004E3750" w:rsidRPr="006C48E7" w:rsidRDefault="004E3750" w:rsidP="00D11E10">
            <w:pPr>
              <w:pStyle w:val="AppTableText"/>
            </w:pPr>
            <w:r w:rsidRPr="006C48E7">
              <w:t>-1.8 to -4.0 or femoral neck/total hip T-scores of -1.8 to -3.5</w:t>
            </w:r>
          </w:p>
        </w:tc>
        <w:tc>
          <w:tcPr>
            <w:tcW w:w="1620" w:type="dxa"/>
          </w:tcPr>
          <w:p w:rsidR="004E3750" w:rsidRPr="006C48E7" w:rsidRDefault="004E3750" w:rsidP="00D11E10">
            <w:pPr>
              <w:pStyle w:val="AppTableText"/>
            </w:pPr>
            <w:r w:rsidRPr="006C48E7">
              <w:t>Denosumab for 24 months; dosed at 6, 14, or 30 mg</w:t>
            </w:r>
          </w:p>
          <w:p w:rsidR="004E3750" w:rsidRPr="006C48E7" w:rsidRDefault="004E3750" w:rsidP="00D11E10">
            <w:pPr>
              <w:pStyle w:val="AppTableText"/>
            </w:pPr>
            <w:r w:rsidRPr="006C48E7">
              <w:t>subcutaneously every 3 months, or 14, 60, 100, or 210 mg subcutaneously every 6 months, alternating with placebo</w:t>
            </w:r>
          </w:p>
        </w:tc>
        <w:tc>
          <w:tcPr>
            <w:tcW w:w="1980" w:type="dxa"/>
          </w:tcPr>
          <w:p w:rsidR="004E3750" w:rsidRPr="006C48E7" w:rsidRDefault="004E3750" w:rsidP="00D11E10">
            <w:pPr>
              <w:pStyle w:val="AppTableText"/>
            </w:pPr>
            <w:r w:rsidRPr="006C48E7">
              <w:t xml:space="preserve"> 11/314; 1/46 (1.61 [0.21 to 12.19])</w:t>
            </w:r>
          </w:p>
        </w:tc>
        <w:tc>
          <w:tcPr>
            <w:tcW w:w="1800" w:type="dxa"/>
          </w:tcPr>
          <w:p w:rsidR="004E3750" w:rsidRPr="006C48E7" w:rsidRDefault="004E3750" w:rsidP="00D11E10">
            <w:pPr>
              <w:pStyle w:val="AppTableText"/>
            </w:pPr>
            <w:r w:rsidRPr="006C48E7">
              <w:t>42/314; 4/46 (1.54 [0.58 to 4.09])</w:t>
            </w:r>
          </w:p>
          <w:p w:rsidR="004E3750" w:rsidRPr="006C48E7" w:rsidRDefault="004E3750" w:rsidP="00D11E10">
            <w:pPr>
              <w:pStyle w:val="AppTableText"/>
            </w:pPr>
          </w:p>
        </w:tc>
        <w:tc>
          <w:tcPr>
            <w:tcW w:w="2070" w:type="dxa"/>
          </w:tcPr>
          <w:p w:rsidR="004E3750" w:rsidRPr="006C48E7" w:rsidRDefault="004E3750" w:rsidP="00D11E10">
            <w:pPr>
              <w:pStyle w:val="AppTableText"/>
            </w:pPr>
            <w:r w:rsidRPr="006C48E7">
              <w:t>1/314; 0/46</w:t>
            </w:r>
          </w:p>
        </w:tc>
        <w:tc>
          <w:tcPr>
            <w:tcW w:w="2075" w:type="dxa"/>
          </w:tcPr>
          <w:p w:rsidR="004E3750" w:rsidRPr="006C48E7" w:rsidRDefault="004E3750" w:rsidP="00D11E10">
            <w:pPr>
              <w:pStyle w:val="AppTableText"/>
            </w:pPr>
            <w:r w:rsidRPr="006C48E7">
              <w:t>Death</w:t>
            </w:r>
          </w:p>
          <w:p w:rsidR="004E3750" w:rsidRPr="006C48E7" w:rsidRDefault="004E3750" w:rsidP="00D11E10">
            <w:pPr>
              <w:pStyle w:val="AppTableText"/>
            </w:pPr>
            <w:r w:rsidRPr="006C48E7">
              <w:t xml:space="preserve">1/314; 0/46, </w:t>
            </w:r>
          </w:p>
          <w:p w:rsidR="004E3750" w:rsidRPr="006C48E7" w:rsidRDefault="004E3750" w:rsidP="00D11E10">
            <w:pPr>
              <w:pStyle w:val="AppTableText"/>
            </w:pPr>
          </w:p>
          <w:p w:rsidR="004E3750" w:rsidRPr="006C48E7" w:rsidRDefault="004E3750" w:rsidP="00D11E10">
            <w:pPr>
              <w:pStyle w:val="AppTableText"/>
            </w:pPr>
            <w:r w:rsidRPr="006C48E7">
              <w:t>Cardiac disorder</w:t>
            </w:r>
          </w:p>
          <w:p w:rsidR="004E3750" w:rsidRPr="006C48E7" w:rsidRDefault="004E3750" w:rsidP="00D11E10">
            <w:pPr>
              <w:pStyle w:val="AppTableText"/>
            </w:pPr>
            <w:r w:rsidRPr="006C48E7">
              <w:t>6/314; 2/46</w:t>
            </w:r>
          </w:p>
          <w:p w:rsidR="004E3750" w:rsidRPr="006C48E7" w:rsidRDefault="004E3750" w:rsidP="00D11E10">
            <w:pPr>
              <w:pStyle w:val="AppTableText"/>
            </w:pPr>
            <w:r w:rsidRPr="006C48E7">
              <w:t>(0.45 [0.02 to 10.83])</w:t>
            </w:r>
          </w:p>
          <w:p w:rsidR="004E3750" w:rsidRPr="006C48E7" w:rsidRDefault="004E3750" w:rsidP="00D11E10">
            <w:pPr>
              <w:pStyle w:val="AppTableText"/>
            </w:pPr>
          </w:p>
          <w:p w:rsidR="004E3750" w:rsidRPr="006C48E7" w:rsidRDefault="004E3750" w:rsidP="00D11E10">
            <w:pPr>
              <w:pStyle w:val="AppTableText"/>
            </w:pPr>
            <w:r w:rsidRPr="006C48E7">
              <w:t>Serious infections</w:t>
            </w:r>
          </w:p>
          <w:p w:rsidR="004E3750" w:rsidRPr="006C48E7" w:rsidRDefault="004E3750" w:rsidP="00D11E10">
            <w:pPr>
              <w:pStyle w:val="AppTableText"/>
            </w:pPr>
            <w:r w:rsidRPr="006C48E7">
              <w:t>6/314; 0/46</w:t>
            </w:r>
          </w:p>
        </w:tc>
        <w:tc>
          <w:tcPr>
            <w:tcW w:w="828" w:type="dxa"/>
          </w:tcPr>
          <w:p w:rsidR="004E3750" w:rsidRPr="006C48E7" w:rsidRDefault="004E3750" w:rsidP="00D11E10">
            <w:pPr>
              <w:pStyle w:val="AppTableText"/>
              <w:jc w:val="center"/>
            </w:pPr>
            <w:r w:rsidRPr="006C48E7">
              <w:t>Fair</w:t>
            </w:r>
          </w:p>
        </w:tc>
      </w:tr>
      <w:tr w:rsidR="004E3750" w:rsidRPr="006C48E7" w:rsidTr="00D11E10">
        <w:tc>
          <w:tcPr>
            <w:tcW w:w="1255" w:type="dxa"/>
          </w:tcPr>
          <w:p w:rsidR="004E3750" w:rsidRPr="006C48E7" w:rsidRDefault="004E3750" w:rsidP="00D11E10">
            <w:pPr>
              <w:pStyle w:val="AppTableText"/>
            </w:pPr>
            <w:bookmarkStart w:id="0" w:name="_Hlk511646300"/>
            <w:r w:rsidRPr="006C48E7">
              <w:t>Bone et al, 2008</w:t>
            </w:r>
            <w:r w:rsidRPr="006C48E7">
              <w:rPr>
                <w:noProof/>
                <w:vertAlign w:val="superscript"/>
              </w:rPr>
              <w:t>237</w:t>
            </w:r>
            <w:r w:rsidRPr="006C48E7">
              <w:rPr>
                <w:vertAlign w:val="superscript"/>
              </w:rPr>
              <w:t>a</w:t>
            </w:r>
            <w:bookmarkEnd w:id="0"/>
          </w:p>
        </w:tc>
        <w:tc>
          <w:tcPr>
            <w:tcW w:w="1800" w:type="dxa"/>
          </w:tcPr>
          <w:p w:rsidR="004E3750" w:rsidRPr="006C48E7" w:rsidRDefault="004E3750" w:rsidP="00D11E10">
            <w:pPr>
              <w:pStyle w:val="AppTableText"/>
            </w:pPr>
            <w:r w:rsidRPr="006C48E7">
              <w:t>Postmenopausal women with a lumbar spine BMD T score</w:t>
            </w:r>
          </w:p>
          <w:p w:rsidR="004E3750" w:rsidRPr="006C48E7" w:rsidRDefault="004E3750" w:rsidP="00D11E10">
            <w:pPr>
              <w:pStyle w:val="AppTableText"/>
            </w:pPr>
            <w:r w:rsidRPr="006C48E7">
              <w:t>between -1.0 and -2.5</w:t>
            </w:r>
          </w:p>
        </w:tc>
        <w:tc>
          <w:tcPr>
            <w:tcW w:w="1620" w:type="dxa"/>
          </w:tcPr>
          <w:p w:rsidR="004E3750" w:rsidRPr="006C48E7" w:rsidRDefault="004E3750" w:rsidP="00D11E10">
            <w:pPr>
              <w:pStyle w:val="AppTableText"/>
            </w:pPr>
            <w:r w:rsidRPr="006C48E7">
              <w:t>Denosumab 60 mg every 6 months</w:t>
            </w:r>
          </w:p>
          <w:p w:rsidR="004E3750" w:rsidRPr="006C48E7" w:rsidRDefault="004E3750" w:rsidP="00D11E10">
            <w:pPr>
              <w:pStyle w:val="AppTableText"/>
            </w:pPr>
            <w:r w:rsidRPr="006C48E7">
              <w:t>for 24 months subcutaneously (last dose at 18 months)</w:t>
            </w:r>
          </w:p>
        </w:tc>
        <w:tc>
          <w:tcPr>
            <w:tcW w:w="1980" w:type="dxa"/>
          </w:tcPr>
          <w:p w:rsidR="004E3750" w:rsidRPr="006C48E7" w:rsidRDefault="004E3750" w:rsidP="00D11E10">
            <w:pPr>
              <w:pStyle w:val="AppTableText"/>
            </w:pPr>
            <w:r w:rsidRPr="006C48E7">
              <w:t>1/164; 2/165 (0.50 [0.05 to 5.49])</w:t>
            </w:r>
          </w:p>
        </w:tc>
        <w:tc>
          <w:tcPr>
            <w:tcW w:w="1800" w:type="dxa"/>
          </w:tcPr>
          <w:p w:rsidR="004E3750" w:rsidRPr="006C48E7" w:rsidRDefault="004E3750" w:rsidP="00D11E10">
            <w:pPr>
              <w:pStyle w:val="AppTableText"/>
            </w:pPr>
            <w:r w:rsidRPr="006C48E7">
              <w:t>18/164; 9/165 (2.01 [0.93 to 4.35])</w:t>
            </w:r>
          </w:p>
        </w:tc>
        <w:tc>
          <w:tcPr>
            <w:tcW w:w="2070" w:type="dxa"/>
          </w:tcPr>
          <w:p w:rsidR="004E3750" w:rsidRPr="006C48E7" w:rsidRDefault="004E3750" w:rsidP="00D11E10">
            <w:pPr>
              <w:pStyle w:val="AppTableText"/>
            </w:pPr>
            <w:r w:rsidRPr="006C48E7">
              <w:t>2/164; 0/165</w:t>
            </w:r>
          </w:p>
        </w:tc>
        <w:tc>
          <w:tcPr>
            <w:tcW w:w="2075" w:type="dxa"/>
          </w:tcPr>
          <w:p w:rsidR="004E3750" w:rsidRPr="006C48E7" w:rsidRDefault="004E3750" w:rsidP="00D11E10">
            <w:pPr>
              <w:pStyle w:val="AppTableText"/>
            </w:pPr>
            <w:r w:rsidRPr="006C48E7">
              <w:t>Deaths</w:t>
            </w:r>
          </w:p>
          <w:p w:rsidR="004E3750" w:rsidRPr="006C48E7" w:rsidRDefault="004E3750" w:rsidP="00D11E10">
            <w:pPr>
              <w:pStyle w:val="AppTableText"/>
            </w:pPr>
            <w:r w:rsidRPr="006C48E7">
              <w:t>0/164; 0/165</w:t>
            </w:r>
          </w:p>
          <w:p w:rsidR="004E3750" w:rsidRPr="006C48E7" w:rsidRDefault="004E3750" w:rsidP="00D11E10">
            <w:pPr>
              <w:pStyle w:val="AppTableText"/>
            </w:pPr>
            <w:r w:rsidRPr="006C48E7">
              <w:t>RR not calculable</w:t>
            </w:r>
          </w:p>
          <w:p w:rsidR="004E3750" w:rsidRPr="006C48E7" w:rsidRDefault="004E3750" w:rsidP="00D11E10">
            <w:pPr>
              <w:pStyle w:val="AppTableText"/>
            </w:pPr>
            <w:r w:rsidRPr="006C48E7">
              <w:t>Rash</w:t>
            </w:r>
          </w:p>
          <w:p w:rsidR="004E3750" w:rsidRPr="006C48E7" w:rsidRDefault="004E3750" w:rsidP="00D11E10">
            <w:pPr>
              <w:pStyle w:val="AppTableText"/>
            </w:pPr>
            <w:r w:rsidRPr="006C48E7">
              <w:t>14/164; 5/165 (2.82 [1.04 to 7.64])</w:t>
            </w:r>
          </w:p>
          <w:p w:rsidR="004E3750" w:rsidRPr="006C48E7" w:rsidRDefault="004E3750" w:rsidP="00D11E10">
            <w:pPr>
              <w:pStyle w:val="AppTableText"/>
            </w:pPr>
            <w:r w:rsidRPr="006C48E7">
              <w:t>Serious infections</w:t>
            </w:r>
          </w:p>
          <w:p w:rsidR="004E3750" w:rsidRPr="006C48E7" w:rsidRDefault="004E3750" w:rsidP="00D11E10">
            <w:pPr>
              <w:pStyle w:val="AppTableText"/>
            </w:pPr>
            <w:r w:rsidRPr="006C48E7">
              <w:t>8/164; 1/165</w:t>
            </w:r>
          </w:p>
        </w:tc>
        <w:tc>
          <w:tcPr>
            <w:tcW w:w="828" w:type="dxa"/>
          </w:tcPr>
          <w:p w:rsidR="004E3750" w:rsidRPr="006C48E7" w:rsidRDefault="004E3750" w:rsidP="00D11E10">
            <w:pPr>
              <w:pStyle w:val="AppTableText"/>
              <w:jc w:val="center"/>
            </w:pPr>
            <w:r w:rsidRPr="006C48E7">
              <w:t>Fair</w:t>
            </w:r>
          </w:p>
        </w:tc>
      </w:tr>
      <w:tr w:rsidR="004E3750" w:rsidRPr="006C48E7" w:rsidTr="00D11E10">
        <w:tc>
          <w:tcPr>
            <w:tcW w:w="1255" w:type="dxa"/>
          </w:tcPr>
          <w:p w:rsidR="004E3750" w:rsidRPr="006C48E7" w:rsidRDefault="004E3750" w:rsidP="00D11E10">
            <w:pPr>
              <w:pStyle w:val="AppTableText"/>
            </w:pPr>
            <w:bookmarkStart w:id="1" w:name="_Hlk511646220"/>
            <w:r w:rsidRPr="006C48E7">
              <w:t>Cummings et al, 2009</w:t>
            </w:r>
            <w:r w:rsidRPr="006C48E7">
              <w:rPr>
                <w:noProof/>
                <w:vertAlign w:val="superscript"/>
              </w:rPr>
              <w:t>238</w:t>
            </w:r>
            <w:r w:rsidRPr="006C48E7">
              <w:t>; Watts et al, 2012</w:t>
            </w:r>
            <w:r w:rsidRPr="006C48E7">
              <w:rPr>
                <w:noProof/>
                <w:vertAlign w:val="superscript"/>
              </w:rPr>
              <w:t>314</w:t>
            </w:r>
            <w:bookmarkEnd w:id="1"/>
          </w:p>
        </w:tc>
        <w:tc>
          <w:tcPr>
            <w:tcW w:w="1800" w:type="dxa"/>
          </w:tcPr>
          <w:p w:rsidR="004E3750" w:rsidRPr="006C48E7" w:rsidRDefault="004E3750" w:rsidP="00D11E10">
            <w:pPr>
              <w:pStyle w:val="AppTableText"/>
            </w:pPr>
            <w:r w:rsidRPr="006C48E7">
              <w:t>Women between the ages of 60 and 90 years with</w:t>
            </w:r>
          </w:p>
          <w:p w:rsidR="004E3750" w:rsidRPr="006C48E7" w:rsidRDefault="004E3750" w:rsidP="00D11E10">
            <w:pPr>
              <w:pStyle w:val="AppTableText"/>
            </w:pPr>
            <w:r w:rsidRPr="006C48E7">
              <w:t>a bone mineral density T score of less than −2.5</w:t>
            </w:r>
          </w:p>
          <w:p w:rsidR="004E3750" w:rsidRPr="006C48E7" w:rsidRDefault="004E3750" w:rsidP="00D11E10">
            <w:pPr>
              <w:pStyle w:val="AppTableText"/>
            </w:pPr>
            <w:r w:rsidRPr="006C48E7">
              <w:t>at the lumbar spine or total hip</w:t>
            </w:r>
          </w:p>
        </w:tc>
        <w:tc>
          <w:tcPr>
            <w:tcW w:w="1620" w:type="dxa"/>
          </w:tcPr>
          <w:p w:rsidR="004E3750" w:rsidRPr="006C48E7" w:rsidRDefault="004E3750" w:rsidP="00D11E10">
            <w:pPr>
              <w:pStyle w:val="AppTableText"/>
            </w:pPr>
            <w:r w:rsidRPr="006C48E7">
              <w:t>Denosumab 60 mg every 6 months for 36 months subcutaneously</w:t>
            </w:r>
          </w:p>
        </w:tc>
        <w:tc>
          <w:tcPr>
            <w:tcW w:w="1980" w:type="dxa"/>
          </w:tcPr>
          <w:p w:rsidR="004E3750" w:rsidRPr="006C48E7" w:rsidRDefault="004E3750" w:rsidP="00D11E10">
            <w:pPr>
              <w:pStyle w:val="AppTableText"/>
            </w:pPr>
            <w:r w:rsidRPr="006C48E7">
              <w:t>93/3886; 81/3876 (1.15 [0.85 to 1.54])</w:t>
            </w:r>
          </w:p>
        </w:tc>
        <w:tc>
          <w:tcPr>
            <w:tcW w:w="1800" w:type="dxa"/>
          </w:tcPr>
          <w:p w:rsidR="004E3750" w:rsidRPr="006C48E7" w:rsidRDefault="004E3750" w:rsidP="00D11E10">
            <w:pPr>
              <w:pStyle w:val="AppTableText"/>
            </w:pPr>
            <w:r w:rsidRPr="006C48E7">
              <w:t>1004/3886; 972/3876 (1.03 [0.95 to 1.11])</w:t>
            </w:r>
          </w:p>
        </w:tc>
        <w:tc>
          <w:tcPr>
            <w:tcW w:w="2070" w:type="dxa"/>
          </w:tcPr>
          <w:p w:rsidR="004E3750" w:rsidRPr="006C48E7" w:rsidRDefault="004E3750" w:rsidP="00D11E10">
            <w:pPr>
              <w:pStyle w:val="AppTableText"/>
            </w:pPr>
            <w:r w:rsidRPr="006C48E7">
              <w:t>NR</w:t>
            </w:r>
          </w:p>
        </w:tc>
        <w:tc>
          <w:tcPr>
            <w:tcW w:w="2075" w:type="dxa"/>
          </w:tcPr>
          <w:p w:rsidR="004E3750" w:rsidRPr="006C48E7" w:rsidRDefault="004E3750" w:rsidP="00D11E10">
            <w:pPr>
              <w:pStyle w:val="AppTableText"/>
            </w:pPr>
            <w:r w:rsidRPr="006C48E7">
              <w:t>Deaths</w:t>
            </w:r>
          </w:p>
          <w:p w:rsidR="004E3750" w:rsidRPr="006C48E7" w:rsidRDefault="004E3750" w:rsidP="00D11E10">
            <w:pPr>
              <w:pStyle w:val="AppTableText"/>
            </w:pPr>
            <w:r w:rsidRPr="006C48E7">
              <w:t>70/3886; 90/3876 (0.78 [0.57 to 1.06])</w:t>
            </w:r>
          </w:p>
          <w:p w:rsidR="004E3750" w:rsidRPr="006C48E7" w:rsidRDefault="004E3750" w:rsidP="00D11E10">
            <w:pPr>
              <w:pStyle w:val="AppTableText"/>
            </w:pPr>
            <w:r w:rsidRPr="006C48E7">
              <w:t>Osteonecrosis of the jaw</w:t>
            </w:r>
          </w:p>
          <w:p w:rsidR="004E3750" w:rsidRPr="006C48E7" w:rsidRDefault="004E3750" w:rsidP="00D11E10">
            <w:pPr>
              <w:pStyle w:val="AppTableText"/>
            </w:pPr>
            <w:r w:rsidRPr="006C48E7">
              <w:t>0/3886; 0/3876</w:t>
            </w:r>
          </w:p>
          <w:p w:rsidR="004E3750" w:rsidRPr="006C48E7" w:rsidRDefault="004E3750" w:rsidP="00D11E10">
            <w:pPr>
              <w:pStyle w:val="AppTableText"/>
            </w:pPr>
            <w:r w:rsidRPr="006C48E7">
              <w:t>RR not calculable</w:t>
            </w:r>
          </w:p>
          <w:p w:rsidR="004E3750" w:rsidRPr="006C48E7" w:rsidRDefault="004E3750" w:rsidP="00D11E10">
            <w:pPr>
              <w:pStyle w:val="AppTableText"/>
            </w:pPr>
            <w:r w:rsidRPr="006C48E7">
              <w:t>Cardiovascular events</w:t>
            </w:r>
          </w:p>
          <w:p w:rsidR="004E3750" w:rsidRPr="006C48E7" w:rsidRDefault="004E3750" w:rsidP="00D11E10">
            <w:pPr>
              <w:pStyle w:val="AppTableText"/>
            </w:pPr>
            <w:r w:rsidRPr="006C48E7">
              <w:t>186/3886; 178/3876 (1.04 [0.85 to 1.27])</w:t>
            </w:r>
          </w:p>
          <w:p w:rsidR="004E3750" w:rsidRPr="006C48E7" w:rsidRDefault="004E3750" w:rsidP="00D11E10">
            <w:pPr>
              <w:pStyle w:val="AppTableText"/>
            </w:pPr>
            <w:r w:rsidRPr="006C48E7">
              <w:t>Eczema</w:t>
            </w:r>
          </w:p>
          <w:p w:rsidR="004E3750" w:rsidRPr="006C48E7" w:rsidRDefault="004E3750" w:rsidP="00D11E10">
            <w:pPr>
              <w:pStyle w:val="AppTableText"/>
            </w:pPr>
            <w:r w:rsidRPr="006C48E7">
              <w:t>118/3886; 65/3876 (1.81 [1.34 to 2.44])</w:t>
            </w:r>
          </w:p>
          <w:p w:rsidR="004E3750" w:rsidRPr="006C48E7" w:rsidRDefault="004E3750" w:rsidP="00D11E10">
            <w:pPr>
              <w:pStyle w:val="AppTableText"/>
            </w:pPr>
            <w:r w:rsidRPr="006C48E7">
              <w:t>Serious infections</w:t>
            </w:r>
          </w:p>
          <w:p w:rsidR="004E3750" w:rsidRPr="006C48E7" w:rsidRDefault="004E3750" w:rsidP="00D11E10">
            <w:pPr>
              <w:pStyle w:val="AppTableText"/>
            </w:pPr>
            <w:r w:rsidRPr="006C48E7">
              <w:t>159/3886;133/3876 (1.19 [0.95 to 1.49])</w:t>
            </w:r>
          </w:p>
          <w:p w:rsidR="004E3750" w:rsidRPr="006C48E7" w:rsidRDefault="004E3750" w:rsidP="00D11E10">
            <w:pPr>
              <w:pStyle w:val="AppTableText"/>
            </w:pPr>
            <w:r w:rsidRPr="006C48E7">
              <w:t>Serious skin infections (cellulitis and erysipelas)</w:t>
            </w:r>
          </w:p>
          <w:p w:rsidR="004E3750" w:rsidRPr="006C48E7" w:rsidRDefault="004E3750" w:rsidP="00D11E10">
            <w:pPr>
              <w:pStyle w:val="AppTableText"/>
            </w:pPr>
            <w:r w:rsidRPr="006C48E7">
              <w:t>15/3886; 1/3876 (14.96 [1.98 to 113.21])</w:t>
            </w:r>
          </w:p>
        </w:tc>
        <w:tc>
          <w:tcPr>
            <w:tcW w:w="828" w:type="dxa"/>
          </w:tcPr>
          <w:p w:rsidR="004E3750" w:rsidRPr="006C48E7" w:rsidRDefault="004E3750" w:rsidP="00D11E10">
            <w:pPr>
              <w:pStyle w:val="AppTableText"/>
              <w:jc w:val="center"/>
            </w:pPr>
            <w:r w:rsidRPr="006C48E7">
              <w:t>Fair</w:t>
            </w:r>
          </w:p>
        </w:tc>
      </w:tr>
      <w:tr w:rsidR="004E3750" w:rsidRPr="006C48E7" w:rsidTr="00D11E10">
        <w:tc>
          <w:tcPr>
            <w:tcW w:w="1255" w:type="dxa"/>
          </w:tcPr>
          <w:p w:rsidR="004E3750" w:rsidRPr="006C48E7" w:rsidRDefault="004E3750" w:rsidP="00D11E10">
            <w:pPr>
              <w:pStyle w:val="AppTableText"/>
            </w:pPr>
            <w:r w:rsidRPr="006C48E7">
              <w:lastRenderedPageBreak/>
              <w:t>Nakamura et al., 2012</w:t>
            </w:r>
            <w:r w:rsidRPr="006C48E7">
              <w:rPr>
                <w:noProof/>
                <w:vertAlign w:val="superscript"/>
              </w:rPr>
              <w:t>239</w:t>
            </w:r>
          </w:p>
        </w:tc>
        <w:tc>
          <w:tcPr>
            <w:tcW w:w="1800" w:type="dxa"/>
          </w:tcPr>
          <w:p w:rsidR="004E3750" w:rsidRPr="006C48E7" w:rsidRDefault="004E3750" w:rsidP="00D11E10">
            <w:pPr>
              <w:pStyle w:val="AppTableText"/>
            </w:pPr>
            <w:r w:rsidRPr="006C48E7">
              <w:t>Ambulatory Japenese postmenopausal women 80 years or younger, who had osteoporosis, and a BMD T-score of -2.5 to -4.0 at the lumbar 1 to lumbar 4 spine or -2.5 to -3.5 at either the femoral neck or total hip</w:t>
            </w:r>
          </w:p>
        </w:tc>
        <w:tc>
          <w:tcPr>
            <w:tcW w:w="1620" w:type="dxa"/>
          </w:tcPr>
          <w:p w:rsidR="004E3750" w:rsidRPr="006C48E7" w:rsidRDefault="004E3750" w:rsidP="00D11E10">
            <w:pPr>
              <w:pStyle w:val="AppTableText"/>
            </w:pPr>
            <w:r w:rsidRPr="006C48E7">
              <w:t>Denosumab 14 mg subcutaneously every 6 months for 12 months; or denosumab 60 mg subcutaneously every 6 months for 12 months; or denosumab 100 mg subcutaneously every 6 months for 12 months; or placebo every 6 months for 12 months</w:t>
            </w:r>
          </w:p>
        </w:tc>
        <w:tc>
          <w:tcPr>
            <w:tcW w:w="1980" w:type="dxa"/>
          </w:tcPr>
          <w:p w:rsidR="004E3750" w:rsidRPr="006C48E7" w:rsidRDefault="004E3750" w:rsidP="00D11E10">
            <w:pPr>
              <w:pStyle w:val="AppTableText"/>
            </w:pPr>
            <w:r w:rsidRPr="006C48E7">
              <w:t>NR</w:t>
            </w:r>
          </w:p>
        </w:tc>
        <w:tc>
          <w:tcPr>
            <w:tcW w:w="1800" w:type="dxa"/>
          </w:tcPr>
          <w:p w:rsidR="004E3750" w:rsidRPr="006C48E7" w:rsidRDefault="004E3750" w:rsidP="00D11E10">
            <w:pPr>
              <w:pStyle w:val="AppTableText"/>
            </w:pPr>
            <w:r w:rsidRPr="006C48E7">
              <w:t>Denosumab 14 mg subcutaneously every 6 months for 12 months: 6/53</w:t>
            </w:r>
          </w:p>
          <w:p w:rsidR="004E3750" w:rsidRPr="006C48E7" w:rsidRDefault="004E3750" w:rsidP="00D11E10">
            <w:pPr>
              <w:pStyle w:val="AppTableText"/>
            </w:pPr>
            <w:r w:rsidRPr="006C48E7">
              <w:t>denosumab 60 mg subcutaneously every 6 months for 12 months: 4/54</w:t>
            </w:r>
          </w:p>
          <w:p w:rsidR="004E3750" w:rsidRPr="006C48E7" w:rsidRDefault="004E3750" w:rsidP="00D11E10">
            <w:pPr>
              <w:pStyle w:val="AppTableText"/>
            </w:pPr>
            <w:r w:rsidRPr="006C48E7">
              <w:t>denosumab 100 mg subcutaneously every 6 months for 12 months: 2/50</w:t>
            </w:r>
          </w:p>
          <w:p w:rsidR="004E3750" w:rsidRPr="006C48E7" w:rsidRDefault="004E3750" w:rsidP="00D11E10">
            <w:pPr>
              <w:pStyle w:val="AppTableText"/>
            </w:pPr>
            <w:r w:rsidRPr="006C48E7">
              <w:t>placebo every 6 months for 12 months: 4/55</w:t>
            </w:r>
          </w:p>
        </w:tc>
        <w:tc>
          <w:tcPr>
            <w:tcW w:w="2070" w:type="dxa"/>
          </w:tcPr>
          <w:p w:rsidR="004E3750" w:rsidRPr="006C48E7" w:rsidRDefault="004E3750" w:rsidP="00D11E10">
            <w:pPr>
              <w:pStyle w:val="AppTableText"/>
            </w:pPr>
            <w:r w:rsidRPr="006C48E7">
              <w:t>NR</w:t>
            </w:r>
          </w:p>
        </w:tc>
        <w:tc>
          <w:tcPr>
            <w:tcW w:w="2075" w:type="dxa"/>
          </w:tcPr>
          <w:p w:rsidR="004E3750" w:rsidRPr="006C48E7" w:rsidRDefault="004E3750" w:rsidP="00D11E10">
            <w:pPr>
              <w:pStyle w:val="AppTableText"/>
            </w:pPr>
            <w:r w:rsidRPr="006C48E7">
              <w:t>NR</w:t>
            </w:r>
          </w:p>
        </w:tc>
        <w:tc>
          <w:tcPr>
            <w:tcW w:w="828" w:type="dxa"/>
          </w:tcPr>
          <w:p w:rsidR="004E3750" w:rsidRPr="006C48E7" w:rsidRDefault="004E3750" w:rsidP="00D11E10">
            <w:pPr>
              <w:pStyle w:val="AppTableText"/>
              <w:jc w:val="center"/>
            </w:pPr>
            <w:r w:rsidRPr="006C48E7">
              <w:t>Fair</w:t>
            </w:r>
          </w:p>
        </w:tc>
      </w:tr>
    </w:tbl>
    <w:p w:rsidR="004E3750" w:rsidRPr="00334A31" w:rsidRDefault="004E3750" w:rsidP="004E3750">
      <w:pPr>
        <w:pStyle w:val="AppTableNote"/>
      </w:pPr>
      <w:r w:rsidRPr="00334A31">
        <w:rPr>
          <w:b/>
        </w:rPr>
        <w:t>Abbreviations:</w:t>
      </w:r>
      <w:r w:rsidRPr="00334A31">
        <w:t xml:space="preserve"> CI</w:t>
      </w:r>
      <w:r>
        <w:t>=</w:t>
      </w:r>
      <w:r w:rsidRPr="00334A31">
        <w:t>confidence interval; mg</w:t>
      </w:r>
      <w:r>
        <w:t>=</w:t>
      </w:r>
      <w:r w:rsidRPr="00334A31">
        <w:t>milligram; NR</w:t>
      </w:r>
      <w:r>
        <w:t>=</w:t>
      </w:r>
      <w:r w:rsidRPr="00334A31">
        <w:t>not reported; RR</w:t>
      </w:r>
      <w:r>
        <w:t>=</w:t>
      </w:r>
      <w:r w:rsidRPr="00334A31">
        <w:t>risk ratio</w:t>
      </w:r>
      <w:r>
        <w:t>.</w:t>
      </w:r>
    </w:p>
    <w:p w:rsidR="00D16F27" w:rsidRDefault="00BD2BB6">
      <w:bookmarkStart w:id="2" w:name="_GoBack"/>
      <w:bookmarkEnd w:id="2"/>
    </w:p>
    <w:sectPr w:rsidR="00D16F27" w:rsidSect="00BD2BB6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pgNumType w:start="11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750" w:rsidRDefault="004E3750" w:rsidP="004E3750">
      <w:r>
        <w:separator/>
      </w:r>
    </w:p>
  </w:endnote>
  <w:endnote w:type="continuationSeparator" w:id="1">
    <w:p w:rsidR="004E3750" w:rsidRDefault="004E3750" w:rsidP="004E3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BB6" w:rsidRDefault="00BD2BB6" w:rsidP="00BD2BB6">
    <w:pPr>
      <w:pStyle w:val="Footer"/>
      <w:jc w:val="center"/>
    </w:pPr>
    <w:r>
      <w:t>F-</w:t>
    </w:r>
    <w:sdt>
      <w:sdtPr>
        <w:id w:val="174006378"/>
        <w:docPartObj>
          <w:docPartGallery w:val="Page Numbers (Bottom of Page)"/>
          <w:docPartUnique/>
        </w:docPartObj>
      </w:sdtPr>
      <w:sdtContent>
        <w:fldSimple w:instr=" PAGE   \* MERGEFORMAT ">
          <w:r>
            <w:rPr>
              <w:noProof/>
            </w:rPr>
            <w:t>111</w:t>
          </w:r>
        </w:fldSimple>
      </w:sdtContent>
    </w:sdt>
  </w:p>
  <w:p w:rsidR="00BD2BB6" w:rsidRDefault="00BD2B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750" w:rsidRDefault="004E3750" w:rsidP="004E3750">
      <w:r>
        <w:separator/>
      </w:r>
    </w:p>
  </w:footnote>
  <w:footnote w:type="continuationSeparator" w:id="1">
    <w:p w:rsidR="004E3750" w:rsidRDefault="004E3750" w:rsidP="004E37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750" w:rsidRPr="002F6874" w:rsidRDefault="004E3750" w:rsidP="004E3750">
    <w:pPr>
      <w:pStyle w:val="AppTableTitle"/>
      <w:spacing w:before="0"/>
    </w:pPr>
    <w:r>
      <w:t>Appendix F Table 22. Harm Outcomes of Placebo-Controlled Primary Prevention Trials of Denosumab</w:t>
    </w:r>
  </w:p>
  <w:p w:rsidR="004E3750" w:rsidRDefault="004E375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3750"/>
    <w:rsid w:val="000F494B"/>
    <w:rsid w:val="004E3750"/>
    <w:rsid w:val="00B779E6"/>
    <w:rsid w:val="00BD2BB6"/>
    <w:rsid w:val="00ED0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750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HRQ1">
    <w:name w:val="AHRQ1"/>
    <w:basedOn w:val="TableGrid"/>
    <w:rsid w:val="004E3750"/>
    <w:rPr>
      <w:rFonts w:ascii="Arial" w:eastAsia="Times New Roman" w:hAnsi="Arial" w:cs="Times New Roman"/>
      <w:sz w:val="18"/>
      <w:szCs w:val="20"/>
      <w:lang w:val="de-AT" w:eastAsia="de-AT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rPr>
      <w:cantSplit/>
    </w:trPr>
    <w:tblStylePr w:type="firstRow">
      <w:pPr>
        <w:wordWrap/>
        <w:ind w:leftChars="0" w:left="0" w:firstLineChars="0" w:firstLine="0"/>
        <w:jc w:val="center"/>
      </w:pPr>
      <w:rPr>
        <w:b/>
      </w:rPr>
      <w:tblPr/>
      <w:trPr>
        <w:tblHeader/>
      </w:trPr>
      <w:tcPr>
        <w:shd w:val="clear" w:color="auto" w:fill="BFBFBF" w:themeFill="background1" w:themeFillShade="BF"/>
        <w:vAlign w:val="bottom"/>
      </w:tcPr>
    </w:tblStylePr>
  </w:style>
  <w:style w:type="paragraph" w:customStyle="1" w:styleId="AppTableText">
    <w:name w:val="AppTableText"/>
    <w:basedOn w:val="Normal"/>
    <w:qFormat/>
    <w:rsid w:val="004E3750"/>
    <w:rPr>
      <w:rFonts w:ascii="Arial" w:eastAsia="Calibri" w:hAnsi="Arial" w:cs="Arial"/>
      <w:sz w:val="18"/>
      <w:szCs w:val="18"/>
    </w:rPr>
  </w:style>
  <w:style w:type="paragraph" w:customStyle="1" w:styleId="AppTableNote">
    <w:name w:val="AppTableNote"/>
    <w:basedOn w:val="Normal"/>
    <w:qFormat/>
    <w:rsid w:val="004E3750"/>
    <w:pPr>
      <w:spacing w:after="120"/>
      <w:contextualSpacing/>
    </w:pPr>
    <w:rPr>
      <w:rFonts w:ascii="Arial" w:hAnsi="Arial"/>
      <w:bCs/>
      <w:sz w:val="18"/>
      <w:szCs w:val="24"/>
    </w:rPr>
  </w:style>
  <w:style w:type="table" w:styleId="TableGrid">
    <w:name w:val="Table Grid"/>
    <w:basedOn w:val="TableNormal"/>
    <w:uiPriority w:val="59"/>
    <w:rsid w:val="004E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37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750"/>
    <w:rPr>
      <w:rFonts w:ascii="Times" w:eastAsia="Times New Roman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E37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750"/>
    <w:rPr>
      <w:rFonts w:ascii="Times" w:eastAsia="Times New Roman" w:hAnsi="Times" w:cs="Times New Roman"/>
      <w:sz w:val="24"/>
      <w:szCs w:val="20"/>
    </w:rPr>
  </w:style>
  <w:style w:type="paragraph" w:customStyle="1" w:styleId="AppTableTitle">
    <w:name w:val="AppTableTitle"/>
    <w:basedOn w:val="Normal"/>
    <w:link w:val="AppTableTitleChar"/>
    <w:qFormat/>
    <w:rsid w:val="004E3750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AppTableTitleChar">
    <w:name w:val="AppTableTitle Char"/>
    <w:link w:val="AppTableTitle"/>
    <w:rsid w:val="004E3750"/>
    <w:rPr>
      <w:rFonts w:ascii="Arial" w:eastAsia="Calibri" w:hAnsi="Arial" w:cs="Times New Roman"/>
      <w:b/>
      <w:color w:val="000000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750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HRQ1">
    <w:name w:val="AHRQ1"/>
    <w:basedOn w:val="TableGrid"/>
    <w:rsid w:val="004E3750"/>
    <w:rPr>
      <w:rFonts w:ascii="Arial" w:eastAsia="Times New Roman" w:hAnsi="Arial" w:cs="Times New Roman"/>
      <w:sz w:val="18"/>
      <w:szCs w:val="20"/>
      <w:lang w:val="de-AT" w:eastAsia="de-AT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rPr>
      <w:cantSplit/>
    </w:trPr>
    <w:tblStylePr w:type="firstRow">
      <w:pPr>
        <w:wordWrap/>
        <w:ind w:leftChars="0" w:left="0" w:firstLineChars="0" w:firstLine="0"/>
        <w:jc w:val="center"/>
      </w:pPr>
      <w:rPr>
        <w:b/>
      </w:rPr>
      <w:tblPr/>
      <w:trPr>
        <w:tblHeader/>
      </w:trPr>
      <w:tcPr>
        <w:shd w:val="clear" w:color="auto" w:fill="BFBFBF" w:themeFill="background1" w:themeFillShade="BF"/>
        <w:vAlign w:val="bottom"/>
      </w:tcPr>
    </w:tblStylePr>
  </w:style>
  <w:style w:type="paragraph" w:customStyle="1" w:styleId="AppTableText">
    <w:name w:val="AppTableText"/>
    <w:basedOn w:val="Normal"/>
    <w:qFormat/>
    <w:rsid w:val="004E3750"/>
    <w:rPr>
      <w:rFonts w:ascii="Arial" w:eastAsia="Calibri" w:hAnsi="Arial" w:cs="Arial"/>
      <w:sz w:val="18"/>
      <w:szCs w:val="18"/>
    </w:rPr>
  </w:style>
  <w:style w:type="paragraph" w:customStyle="1" w:styleId="AppTableNote">
    <w:name w:val="AppTableNote"/>
    <w:basedOn w:val="Normal"/>
    <w:qFormat/>
    <w:rsid w:val="004E3750"/>
    <w:pPr>
      <w:spacing w:after="120"/>
      <w:contextualSpacing/>
    </w:pPr>
    <w:rPr>
      <w:rFonts w:ascii="Arial" w:hAnsi="Arial"/>
      <w:bCs/>
      <w:sz w:val="18"/>
      <w:szCs w:val="24"/>
    </w:rPr>
  </w:style>
  <w:style w:type="table" w:styleId="TableGrid">
    <w:name w:val="Table Grid"/>
    <w:basedOn w:val="TableNormal"/>
    <w:uiPriority w:val="59"/>
    <w:rsid w:val="004E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37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750"/>
    <w:rPr>
      <w:rFonts w:ascii="Times" w:eastAsia="Times New Roman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E37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750"/>
    <w:rPr>
      <w:rFonts w:ascii="Times" w:eastAsia="Times New Roman" w:hAnsi="Times" w:cs="Times New Roman"/>
      <w:sz w:val="24"/>
      <w:szCs w:val="20"/>
    </w:rPr>
  </w:style>
  <w:style w:type="paragraph" w:customStyle="1" w:styleId="AppTableTitle">
    <w:name w:val="AppTableTitle"/>
    <w:basedOn w:val="Normal"/>
    <w:link w:val="AppTableTitleChar"/>
    <w:qFormat/>
    <w:rsid w:val="004E3750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AppTableTitleChar">
    <w:name w:val="AppTableTitle Char"/>
    <w:link w:val="AppTableTitle"/>
    <w:rsid w:val="004E3750"/>
    <w:rPr>
      <w:rFonts w:ascii="Arial" w:eastAsia="Calibri" w:hAnsi="Arial" w:cs="Times New Roman"/>
      <w:b/>
      <w:color w:val="000000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Srinivas</dc:creator>
  <cp:lastModifiedBy>Siva</cp:lastModifiedBy>
  <cp:revision>2</cp:revision>
  <dcterms:created xsi:type="dcterms:W3CDTF">2018-09-08T08:40:00Z</dcterms:created>
  <dcterms:modified xsi:type="dcterms:W3CDTF">2018-09-08T10:17:00Z</dcterms:modified>
</cp:coreProperties>
</file>