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6" w:rsidRPr="00707316" w:rsidRDefault="00443D86" w:rsidP="00443D86">
      <w:pPr>
        <w:pStyle w:val="TableTitle"/>
        <w:spacing w:before="0"/>
      </w:pPr>
      <w:bookmarkStart w:id="0" w:name="_Toc378932109"/>
      <w:bookmarkStart w:id="1" w:name="_Toc384280907"/>
      <w:bookmarkStart w:id="2" w:name="_Toc387130606"/>
      <w:proofErr w:type="gramStart"/>
      <w:r w:rsidRPr="00707316">
        <w:t>Table 10.</w:t>
      </w:r>
      <w:proofErr w:type="gramEnd"/>
      <w:r w:rsidRPr="00707316">
        <w:t xml:space="preserve"> Study design characteristics of included studies for Key Question 3a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1171"/>
        <w:gridCol w:w="719"/>
        <w:gridCol w:w="3241"/>
        <w:gridCol w:w="3420"/>
        <w:gridCol w:w="1573"/>
        <w:gridCol w:w="1594"/>
      </w:tblGrid>
      <w:tr w:rsidR="00D657A7" w:rsidRPr="00707316" w:rsidTr="00D657A7">
        <w:trPr>
          <w:cantSplit/>
          <w:trHeight w:val="288"/>
          <w:tblHeader/>
        </w:trPr>
        <w:tc>
          <w:tcPr>
            <w:tcW w:w="553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 xml:space="preserve">Author, Year </w:t>
            </w:r>
          </w:p>
          <w:p w:rsidR="00443D86" w:rsidRPr="00707316" w:rsidRDefault="00443D86" w:rsidP="00D657A7">
            <w:pPr>
              <w:pStyle w:val="TableColumnHead"/>
            </w:pPr>
            <w:r w:rsidRPr="00707316">
              <w:t>Quality</w:t>
            </w:r>
          </w:p>
        </w:tc>
        <w:tc>
          <w:tcPr>
            <w:tcW w:w="444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Country</w:t>
            </w:r>
          </w:p>
        </w:tc>
        <w:tc>
          <w:tcPr>
            <w:tcW w:w="273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N</w:t>
            </w:r>
          </w:p>
        </w:tc>
        <w:tc>
          <w:tcPr>
            <w:tcW w:w="1230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Inclusion Criteria</w:t>
            </w:r>
          </w:p>
        </w:tc>
        <w:tc>
          <w:tcPr>
            <w:tcW w:w="1298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Exclusion Criteria</w:t>
            </w:r>
          </w:p>
        </w:tc>
        <w:tc>
          <w:tcPr>
            <w:tcW w:w="597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D0A9A">
            <w:pPr>
              <w:pStyle w:val="TableColumnHead"/>
              <w:ind w:left="-109" w:right="-64"/>
            </w:pPr>
            <w:r w:rsidRPr="00707316">
              <w:t>Mean Followup and Range (years)</w:t>
            </w:r>
          </w:p>
        </w:tc>
        <w:tc>
          <w:tcPr>
            <w:tcW w:w="605" w:type="pct"/>
            <w:shd w:val="pct25" w:color="auto" w:fill="auto"/>
            <w:noWrap/>
            <w:vAlign w:val="center"/>
            <w:hideMark/>
          </w:tcPr>
          <w:p w:rsidR="00443D86" w:rsidRPr="00707316" w:rsidRDefault="00443D86" w:rsidP="00D657A7">
            <w:pPr>
              <w:pStyle w:val="TableColumnHead"/>
            </w:pPr>
            <w:r w:rsidRPr="00707316">
              <w:t>Interventions</w:t>
            </w:r>
          </w:p>
        </w:tc>
      </w:tr>
      <w:tr w:rsidR="00D657A7" w:rsidRPr="00707316" w:rsidTr="00D657A7">
        <w:trPr>
          <w:trHeight w:val="70"/>
        </w:trPr>
        <w:tc>
          <w:tcPr>
            <w:tcW w:w="55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Asayama, 2006</w:t>
            </w:r>
            <w:r w:rsidRPr="00EE7EF5">
              <w:rPr>
                <w:noProof/>
                <w:vertAlign w:val="superscript"/>
              </w:rPr>
              <w:t>112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Japan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1766</w:t>
            </w:r>
          </w:p>
        </w:tc>
        <w:tc>
          <w:tcPr>
            <w:tcW w:w="1230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Age ≥ 40 years; residents of 3 of the 4 regions of Ohasama; and measurement of home BP ≥ 3 times during 4-week BL study period</w:t>
            </w:r>
          </w:p>
        </w:tc>
        <w:tc>
          <w:tcPr>
            <w:tcW w:w="1298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History of stroke (excluded from this analysis only); hospitalized, demented and bedridden individuals; individuals who worked outside of town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10.6 (IQR 8.9-13.9)</w:t>
            </w: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HBPM</w:t>
            </w:r>
          </w:p>
        </w:tc>
      </w:tr>
      <w:tr w:rsidR="00D657A7" w:rsidRPr="00707316" w:rsidTr="00D657A7">
        <w:trPr>
          <w:trHeight w:val="1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HBPM (morning)</w:t>
            </w:r>
          </w:p>
        </w:tc>
      </w:tr>
      <w:tr w:rsidR="00D657A7" w:rsidRPr="00707316" w:rsidTr="00D657A7">
        <w:trPr>
          <w:trHeight w:val="79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HBPM (evening)</w:t>
            </w:r>
          </w:p>
        </w:tc>
      </w:tr>
      <w:tr w:rsidR="00D657A7" w:rsidRPr="00707316" w:rsidTr="00D657A7">
        <w:trPr>
          <w:trHeight w:val="1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OBPM</w:t>
            </w:r>
          </w:p>
        </w:tc>
      </w:tr>
      <w:tr w:rsidR="00D657A7" w:rsidRPr="00707316" w:rsidTr="00D657A7">
        <w:trPr>
          <w:trHeight w:val="755"/>
        </w:trPr>
        <w:tc>
          <w:tcPr>
            <w:tcW w:w="55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Bobrie, 2004</w:t>
            </w:r>
            <w:r w:rsidRPr="00EE7EF5">
              <w:rPr>
                <w:noProof/>
                <w:vertAlign w:val="superscript"/>
              </w:rPr>
              <w:t>113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France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4939</w:t>
            </w:r>
          </w:p>
        </w:tc>
        <w:tc>
          <w:tcPr>
            <w:tcW w:w="1230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Aged ≥ 60 years; primary permanent HTN defined by anti-HTN meds or in absence of treatment, office BP values &gt; 140/90 mm Hg measured at 2 separate times during the year preceding inclusion (only treated analyzed)</w:t>
            </w:r>
          </w:p>
        </w:tc>
        <w:tc>
          <w:tcPr>
            <w:tcW w:w="1298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Inability to perform an appropriate number of BP measurements at home w/ the study device; arm size not allowing the use of a standard cuff; any threatening disease or recent acute CV event (e.g., MI, stroke)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3.2 (range, NR)</w:t>
            </w: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HBPM</w:t>
            </w:r>
          </w:p>
        </w:tc>
      </w:tr>
      <w:tr w:rsidR="00D657A7" w:rsidRPr="00707316" w:rsidTr="00D657A7">
        <w:trPr>
          <w:trHeight w:val="1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OBPM</w:t>
            </w:r>
          </w:p>
        </w:tc>
      </w:tr>
      <w:tr w:rsidR="00D657A7" w:rsidRPr="00707316" w:rsidTr="00D657A7">
        <w:trPr>
          <w:trHeight w:val="1430"/>
        </w:trPr>
        <w:tc>
          <w:tcPr>
            <w:tcW w:w="55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Celis, 2002</w:t>
            </w:r>
            <w:r w:rsidRPr="00EE7EF5">
              <w:rPr>
                <w:noProof/>
                <w:vertAlign w:val="superscript"/>
              </w:rPr>
              <w:t>114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Belgium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419</w:t>
            </w:r>
          </w:p>
        </w:tc>
        <w:tc>
          <w:tcPr>
            <w:tcW w:w="1230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Patients previously participating in APTH trial whose office DBP measured ≥ 95 mm Hg while off treatment (during 2 month placebo run-in phase); ≥ 18 years; effective contraception in women of reproductive age; possibility of F/U during study period</w:t>
            </w:r>
          </w:p>
        </w:tc>
        <w:tc>
          <w:tcPr>
            <w:tcW w:w="1298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Contraindications to stopping anti-HTN meds, including: overt heart failure, unstable angina pectoris, HTN retinopathy stage III or IV, or history of MI or cerebrovascular accident w/in 1 year; severe non-CV disease such as cancer or liver cirrhosis; serum Cr &gt;1.5 mg/dL; mental disorders; patients additions to narcotics or alcohol; patients working night shifts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5.3 (range, 0.1-7.5)</w:t>
            </w: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ABPM (daytime)</w:t>
            </w:r>
          </w:p>
        </w:tc>
      </w:tr>
      <w:tr w:rsidR="00D657A7" w:rsidRPr="00707316" w:rsidTr="00D657A7">
        <w:trPr>
          <w:trHeight w:val="26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OBPM</w:t>
            </w:r>
          </w:p>
        </w:tc>
      </w:tr>
      <w:tr w:rsidR="00D657A7" w:rsidRPr="00707316" w:rsidTr="00D657A7">
        <w:trPr>
          <w:trHeight w:val="70"/>
        </w:trPr>
        <w:tc>
          <w:tcPr>
            <w:tcW w:w="55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Clement, 2003</w:t>
            </w:r>
            <w:r w:rsidRPr="00EE7EF5">
              <w:rPr>
                <w:noProof/>
                <w:vertAlign w:val="superscript"/>
              </w:rPr>
              <w:t>115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Belgium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1963</w:t>
            </w:r>
          </w:p>
        </w:tc>
        <w:tc>
          <w:tcPr>
            <w:tcW w:w="1230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 xml:space="preserve">Patients of either sex who were aged ≥ 18 years w/ documented HTN at 2 separate visits w/in a 2-year period before enrollment (visits 1 and 2). HTN diagnosed if the mean of 3 sphyg. </w:t>
            </w:r>
            <w:proofErr w:type="gramStart"/>
            <w:r w:rsidRPr="00707316">
              <w:t>readings</w:t>
            </w:r>
            <w:proofErr w:type="gramEnd"/>
            <w:r w:rsidRPr="00707316">
              <w:t xml:space="preserve"> of DBP (assessed as the 5th Korotkoff sound and obtained in the office, when the patient was sitting, after 5 minutes of rest) &gt; 90 mm Hg in patients currently taking anti-HTN meds or &gt; 95 mm Hg in patients not taking meds. Patients must be treated w/ anti-HTN meds for ≥ 3 months by the time of the inclusion visit (visit 3).</w:t>
            </w:r>
          </w:p>
        </w:tc>
        <w:tc>
          <w:tcPr>
            <w:tcW w:w="1298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Suspicion of secondary HTN, insulin-treated DM, recent stroke (occurring w/in previous 3 months), recent acute MI, recent hospitalization for CHF, recent revascularization or planned CV intervention during succeeding 3 months, serum Cr &gt; 2.5 mg per deciliter, COPD, any coexisting diseases that might seriously reduce life expectancy, heart transplantation, use of experimental drugs, pregnancy, and refusal to undergo repeated F/U visits and ambulatory BP monitoring.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 (range, 0.8-5.5)</w:t>
            </w: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ABPM (24hr)</w:t>
            </w:r>
          </w:p>
        </w:tc>
      </w:tr>
      <w:tr w:rsidR="00D657A7" w:rsidRPr="00707316" w:rsidTr="00D657A7">
        <w:trPr>
          <w:trHeight w:val="79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ABPM (daytime)</w:t>
            </w:r>
          </w:p>
        </w:tc>
      </w:tr>
      <w:tr w:rsidR="00D657A7" w:rsidRPr="00707316" w:rsidTr="00D657A7">
        <w:trPr>
          <w:trHeight w:val="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(nighttime)</w:t>
            </w:r>
          </w:p>
        </w:tc>
      </w:tr>
      <w:tr w:rsidR="00D657A7" w:rsidRPr="00707316" w:rsidTr="00D657A7">
        <w:trPr>
          <w:trHeight w:val="1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OBPM</w:t>
            </w:r>
          </w:p>
        </w:tc>
      </w:tr>
      <w:tr w:rsidR="00D657A7" w:rsidRPr="00707316" w:rsidTr="00D657A7">
        <w:trPr>
          <w:trHeight w:val="80"/>
        </w:trPr>
        <w:tc>
          <w:tcPr>
            <w:tcW w:w="55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Dolan, 2005</w:t>
            </w:r>
            <w:r w:rsidRPr="00EE7EF5">
              <w:rPr>
                <w:noProof/>
                <w:vertAlign w:val="superscript"/>
              </w:rPr>
              <w:t>116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Ireland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5292</w:t>
            </w:r>
          </w:p>
        </w:tc>
        <w:tc>
          <w:tcPr>
            <w:tcW w:w="1230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ind w:right="-109"/>
            </w:pPr>
            <w:r w:rsidRPr="00707316">
              <w:t>HTN patients who were untreated or had all anti-HTN meds discontinued for 1 week before their BL visit and demographic data and CV risk factors recorded in database</w:t>
            </w:r>
          </w:p>
        </w:tc>
        <w:tc>
          <w:tcPr>
            <w:tcW w:w="1298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ind w:right="-107"/>
            </w:pPr>
            <w:r w:rsidRPr="00707316">
              <w:t>Insufficient ABPM (&lt;10 daytime and 5 nighttime readings)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7.9 (IQR 5.6-10.6)</w:t>
            </w: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ind w:right="-90"/>
            </w:pPr>
            <w:r w:rsidRPr="00707316">
              <w:t>ABPM (24hr)</w:t>
            </w:r>
          </w:p>
        </w:tc>
      </w:tr>
      <w:tr w:rsidR="00D657A7" w:rsidRPr="00707316" w:rsidTr="00D657A7">
        <w:trPr>
          <w:trHeight w:val="1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ind w:right="-90"/>
            </w:pPr>
            <w:r w:rsidRPr="00707316">
              <w:t>ABPM (daytime)</w:t>
            </w:r>
          </w:p>
        </w:tc>
      </w:tr>
      <w:tr w:rsidR="00D657A7" w:rsidRPr="00707316" w:rsidTr="00D657A7">
        <w:trPr>
          <w:trHeight w:val="98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ind w:right="-90"/>
            </w:pPr>
            <w:r w:rsidRPr="00707316">
              <w:t>ABPM (nighttime)</w:t>
            </w:r>
          </w:p>
        </w:tc>
      </w:tr>
      <w:tr w:rsidR="00D657A7" w:rsidRPr="00707316" w:rsidTr="00D657A7">
        <w:trPr>
          <w:trHeight w:val="242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ind w:right="-90"/>
            </w:pPr>
            <w:r w:rsidRPr="00707316">
              <w:t>OBPM</w:t>
            </w:r>
          </w:p>
        </w:tc>
      </w:tr>
      <w:tr w:rsidR="00D657A7" w:rsidRPr="00707316" w:rsidTr="00D657A7">
        <w:trPr>
          <w:trHeight w:val="70"/>
        </w:trPr>
        <w:tc>
          <w:tcPr>
            <w:tcW w:w="55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 xml:space="preserve">Fagard, </w:t>
            </w:r>
            <w:r w:rsidRPr="00707316">
              <w:lastRenderedPageBreak/>
              <w:t>2005</w:t>
            </w:r>
            <w:r w:rsidRPr="00EE7EF5">
              <w:rPr>
                <w:noProof/>
                <w:vertAlign w:val="superscript"/>
              </w:rPr>
              <w:t>117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lastRenderedPageBreak/>
              <w:t>Belgium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391</w:t>
            </w:r>
          </w:p>
        </w:tc>
        <w:tc>
          <w:tcPr>
            <w:tcW w:w="1230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 xml:space="preserve">Registered patients at a general </w:t>
            </w:r>
            <w:r w:rsidRPr="00707316">
              <w:lastRenderedPageBreak/>
              <w:t>practice clinic aged ≥ 60 years w/ ≥ 2 types of BP measurement</w:t>
            </w:r>
          </w:p>
        </w:tc>
        <w:tc>
          <w:tcPr>
            <w:tcW w:w="1298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lastRenderedPageBreak/>
              <w:t xml:space="preserve">Bedridden, demented, admitted in a </w:t>
            </w:r>
            <w:r w:rsidRPr="00707316">
              <w:lastRenderedPageBreak/>
              <w:t>home for sick elderly people or history of MI or stroke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lastRenderedPageBreak/>
              <w:t xml:space="preserve">10.9 (range, </w:t>
            </w:r>
            <w:r w:rsidRPr="00707316">
              <w:lastRenderedPageBreak/>
              <w:t>0.04-13.0)</w:t>
            </w: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lastRenderedPageBreak/>
              <w:t>ABPM (daytime)</w:t>
            </w:r>
          </w:p>
        </w:tc>
      </w:tr>
      <w:tr w:rsidR="00D657A7" w:rsidRPr="00707316" w:rsidTr="00D657A7">
        <w:trPr>
          <w:trHeight w:val="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(nighttime)</w:t>
            </w:r>
          </w:p>
        </w:tc>
      </w:tr>
      <w:tr w:rsidR="00D657A7" w:rsidRPr="00707316" w:rsidTr="00D657A7">
        <w:trPr>
          <w:trHeight w:val="1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HBPM</w:t>
            </w:r>
          </w:p>
        </w:tc>
      </w:tr>
      <w:tr w:rsidR="00D657A7" w:rsidRPr="00707316" w:rsidTr="00D657A7">
        <w:trPr>
          <w:trHeight w:val="125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OBPM</w:t>
            </w:r>
          </w:p>
        </w:tc>
      </w:tr>
      <w:tr w:rsidR="00D657A7" w:rsidRPr="00707316" w:rsidTr="00D657A7">
        <w:trPr>
          <w:trHeight w:val="143"/>
        </w:trPr>
        <w:tc>
          <w:tcPr>
            <w:tcW w:w="55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Gasowski, 2008</w:t>
            </w:r>
            <w:r w:rsidRPr="00EE7EF5">
              <w:rPr>
                <w:noProof/>
                <w:vertAlign w:val="superscript"/>
              </w:rPr>
              <w:t>118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Belgium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1167</w:t>
            </w:r>
          </w:p>
        </w:tc>
        <w:tc>
          <w:tcPr>
            <w:tcW w:w="1230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Participants from a geographically defined area in Northern Belgium</w:t>
            </w:r>
          </w:p>
        </w:tc>
        <w:tc>
          <w:tcPr>
            <w:tcW w:w="1298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1,646 were excluded because intentionally their nighttime ABP had not been measured (n = 1,596), or because their daytime (n = 27) or nighttime (n = 23) ABPs were based on the average of &lt;10 or 5 readings, respectively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13 (range, 0.8-16)</w:t>
            </w: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(24hr)</w:t>
            </w:r>
          </w:p>
        </w:tc>
      </w:tr>
      <w:tr w:rsidR="00D657A7" w:rsidRPr="00707316" w:rsidTr="00D657A7">
        <w:trPr>
          <w:trHeight w:val="1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OBPM</w:t>
            </w:r>
          </w:p>
        </w:tc>
      </w:tr>
      <w:tr w:rsidR="00D657A7" w:rsidRPr="00707316" w:rsidTr="00D657A7">
        <w:trPr>
          <w:trHeight w:val="70"/>
        </w:trPr>
        <w:tc>
          <w:tcPr>
            <w:tcW w:w="55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Hansen, 2005</w:t>
            </w:r>
            <w:r w:rsidRPr="00EE7EF5">
              <w:rPr>
                <w:noProof/>
                <w:vertAlign w:val="superscript"/>
              </w:rPr>
              <w:t>119</w:t>
            </w:r>
            <w:r w:rsidRPr="00707316">
              <w:t xml:space="preserve"> 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Fair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Denmark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1700</w:t>
            </w:r>
          </w:p>
        </w:tc>
        <w:tc>
          <w:tcPr>
            <w:tcW w:w="1230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Men and women from 11 municipalities in southwestern part of Copenhagen country</w:t>
            </w:r>
          </w:p>
        </w:tc>
        <w:tc>
          <w:tcPr>
            <w:tcW w:w="1298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Technical problems or unwillingness to participate in ABPM, too few ABPM readings (&lt;14 readings of SBP and DBP during the day, &lt; 7 SBP and DBP during the night), nighttime workers, previous diagnosis of MI or stroke, using digoxin or nitrates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9.5 (range, NR)</w:t>
            </w: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(24hr)</w:t>
            </w:r>
          </w:p>
        </w:tc>
      </w:tr>
      <w:tr w:rsidR="00D657A7" w:rsidRPr="00707316" w:rsidTr="00D657A7">
        <w:trPr>
          <w:trHeight w:val="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(daytime)</w:t>
            </w:r>
          </w:p>
        </w:tc>
      </w:tr>
      <w:tr w:rsidR="00D657A7" w:rsidRPr="00707316" w:rsidTr="00D657A7">
        <w:trPr>
          <w:trHeight w:val="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(nighttime)</w:t>
            </w:r>
          </w:p>
        </w:tc>
      </w:tr>
      <w:tr w:rsidR="00D657A7" w:rsidRPr="00707316" w:rsidTr="00D657A7">
        <w:trPr>
          <w:trHeight w:val="1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OBPM</w:t>
            </w:r>
          </w:p>
        </w:tc>
      </w:tr>
      <w:tr w:rsidR="00D657A7" w:rsidRPr="00707316" w:rsidTr="00D657A7">
        <w:trPr>
          <w:trHeight w:val="70"/>
        </w:trPr>
        <w:tc>
          <w:tcPr>
            <w:tcW w:w="55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Hermida, 2011</w:t>
            </w:r>
            <w:r w:rsidRPr="00EE7EF5">
              <w:rPr>
                <w:noProof/>
                <w:vertAlign w:val="superscript"/>
              </w:rPr>
              <w:t>120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Spain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3344</w:t>
            </w:r>
          </w:p>
        </w:tc>
        <w:tc>
          <w:tcPr>
            <w:tcW w:w="1230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Aged ≥ 18 years of age, normotensive, untreated HTN or resistant to treatment (uncontrolled BP according to ABPM threshold while compliant to 3 optimally dosed HTN meds of different classes including diuretic unless contraindicated or intolerant or any subject treated w/ &gt; 3 HTN meds)</w:t>
            </w:r>
          </w:p>
        </w:tc>
        <w:tc>
          <w:tcPr>
            <w:tcW w:w="1298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Pregnancy, history of alcohol or drug abuse, night/shift-worker employment, AIDS, type 1 DM, secondary HTN, CVD disorders (unstable angina, HF, life-threatening arrhythmia, kidney failure, grade III/IV retinopathy), intolerance to ABPM, inability to communicate or comply w/ all of study requirements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5.6 (range, 0.5-8.6)</w:t>
            </w: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(48hr)</w:t>
            </w:r>
          </w:p>
        </w:tc>
      </w:tr>
      <w:tr w:rsidR="00D657A7" w:rsidRPr="00707316" w:rsidTr="00D657A7">
        <w:trPr>
          <w:trHeight w:val="1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(daytime)</w:t>
            </w:r>
          </w:p>
        </w:tc>
      </w:tr>
      <w:tr w:rsidR="00D657A7" w:rsidRPr="00707316" w:rsidTr="00D657A7">
        <w:trPr>
          <w:trHeight w:val="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(nighttime)</w:t>
            </w:r>
          </w:p>
        </w:tc>
      </w:tr>
      <w:tr w:rsidR="00D657A7" w:rsidRPr="00707316" w:rsidTr="00D657A7">
        <w:trPr>
          <w:trHeight w:val="44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OBPM</w:t>
            </w:r>
          </w:p>
        </w:tc>
      </w:tr>
      <w:tr w:rsidR="00D657A7" w:rsidRPr="00707316" w:rsidTr="00D657A7">
        <w:trPr>
          <w:trHeight w:val="125"/>
        </w:trPr>
        <w:tc>
          <w:tcPr>
            <w:tcW w:w="55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Ingelsson, 2006</w:t>
            </w:r>
            <w:r w:rsidRPr="00EE7EF5">
              <w:rPr>
                <w:noProof/>
                <w:vertAlign w:val="superscript"/>
              </w:rPr>
              <w:t>121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Sweden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951</w:t>
            </w:r>
          </w:p>
        </w:tc>
        <w:tc>
          <w:tcPr>
            <w:tcW w:w="1230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50-year-old men living in Uppsala in 1970-1973 who were reinvestigated 20 years later (now 70-year-old men) and had valid 24-h ambulatory BP recordings and data on all covariates</w:t>
            </w:r>
          </w:p>
        </w:tc>
        <w:tc>
          <w:tcPr>
            <w:tcW w:w="1298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Previous diagnosis of CHF, valvular disease, ECG-LVH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9.1 (range, 0.1-11.4)</w:t>
            </w: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(24hr)</w:t>
            </w:r>
          </w:p>
        </w:tc>
      </w:tr>
      <w:tr w:rsidR="00D657A7" w:rsidRPr="00707316" w:rsidTr="00D657A7">
        <w:trPr>
          <w:trHeight w:val="98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(daytime)</w:t>
            </w:r>
          </w:p>
        </w:tc>
      </w:tr>
      <w:tr w:rsidR="00D657A7" w:rsidRPr="00707316" w:rsidTr="00D657A7">
        <w:trPr>
          <w:trHeight w:val="1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(nighttime)</w:t>
            </w:r>
          </w:p>
        </w:tc>
      </w:tr>
      <w:tr w:rsidR="00D657A7" w:rsidRPr="00707316" w:rsidTr="00D657A7">
        <w:trPr>
          <w:trHeight w:val="98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OBPM</w:t>
            </w:r>
          </w:p>
        </w:tc>
      </w:tr>
      <w:tr w:rsidR="00D657A7" w:rsidRPr="00707316" w:rsidTr="00D657A7">
        <w:trPr>
          <w:trHeight w:val="80"/>
        </w:trPr>
        <w:tc>
          <w:tcPr>
            <w:tcW w:w="553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keepNext/>
            </w:pPr>
            <w:r w:rsidRPr="00707316">
              <w:t>Mesquita-Bastos, 2010</w:t>
            </w:r>
            <w:r w:rsidRPr="00EE7EF5">
              <w:rPr>
                <w:noProof/>
                <w:vertAlign w:val="superscript"/>
              </w:rPr>
              <w:t>122</w:t>
            </w:r>
          </w:p>
          <w:p w:rsidR="00443D86" w:rsidRPr="00707316" w:rsidRDefault="00443D86" w:rsidP="00DD0A9A">
            <w:pPr>
              <w:pStyle w:val="TableText"/>
              <w:keepNext/>
            </w:pPr>
          </w:p>
          <w:p w:rsidR="00443D86" w:rsidRPr="00707316" w:rsidRDefault="00443D86" w:rsidP="00DD0A9A">
            <w:pPr>
              <w:pStyle w:val="TableText"/>
              <w:keepNext/>
            </w:pPr>
            <w:r w:rsidRPr="00707316">
              <w:t>Fair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keepNext/>
            </w:pPr>
            <w:r w:rsidRPr="00707316">
              <w:t>Portugal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keepNext/>
            </w:pPr>
            <w:r w:rsidRPr="00707316">
              <w:t>1200</w:t>
            </w:r>
          </w:p>
        </w:tc>
        <w:tc>
          <w:tcPr>
            <w:tcW w:w="1230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keepNext/>
              <w:ind w:right="-109"/>
            </w:pPr>
            <w:r w:rsidRPr="00707316">
              <w:t>Consecutive HTN patients 18 years or older referred for ABPM w/ no history or clinical evidence of earlier CV events (including: CHF, cerebrovascular disease, MI, coronary bypass or angioplasty, cardiac valve disease, renal insufficiency, PAD, AF, other major arrhythmias, severe hepatic disease); no suspicion of secondary HTN or sleep apnea;  treated patients needed to have treatment stabilized for &gt;=3 months; and could be evaluated further (followup exam or death certificate)</w:t>
            </w:r>
          </w:p>
        </w:tc>
        <w:tc>
          <w:tcPr>
            <w:tcW w:w="1298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keepNext/>
            </w:pPr>
            <w:r w:rsidRPr="00707316">
              <w:t>NR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keepNext/>
            </w:pPr>
            <w:r w:rsidRPr="00707316">
              <w:t>8.2 (range, 0.8-15.2)</w:t>
            </w: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keepNext/>
              <w:ind w:right="-90"/>
            </w:pPr>
            <w:r w:rsidRPr="00707316">
              <w:t>ABPM (24hr)</w:t>
            </w:r>
          </w:p>
        </w:tc>
      </w:tr>
      <w:tr w:rsidR="00D657A7" w:rsidRPr="00707316" w:rsidTr="00D657A7">
        <w:trPr>
          <w:trHeight w:val="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keepNext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keepNext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keepNext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keepNext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keepNext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keepNext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keepNext/>
              <w:ind w:right="-90"/>
            </w:pPr>
            <w:r w:rsidRPr="00707316">
              <w:t>ABPM (daytime)</w:t>
            </w:r>
          </w:p>
        </w:tc>
      </w:tr>
      <w:tr w:rsidR="00D657A7" w:rsidRPr="00707316" w:rsidTr="00D657A7">
        <w:trPr>
          <w:trHeight w:val="98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(nighttime)</w:t>
            </w:r>
          </w:p>
        </w:tc>
      </w:tr>
      <w:tr w:rsidR="00D657A7" w:rsidRPr="00707316" w:rsidTr="00D657A7">
        <w:trPr>
          <w:trHeight w:val="35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OBPM</w:t>
            </w:r>
          </w:p>
        </w:tc>
      </w:tr>
      <w:tr w:rsidR="00D657A7" w:rsidRPr="00707316" w:rsidTr="00D657A7">
        <w:trPr>
          <w:trHeight w:val="70"/>
        </w:trPr>
        <w:tc>
          <w:tcPr>
            <w:tcW w:w="55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lastRenderedPageBreak/>
              <w:t>Niiranen, 2010</w:t>
            </w:r>
            <w:r w:rsidRPr="00EE7EF5">
              <w:rPr>
                <w:noProof/>
                <w:vertAlign w:val="superscript"/>
              </w:rPr>
              <w:t>123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Finland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2081</w:t>
            </w:r>
          </w:p>
        </w:tc>
        <w:tc>
          <w:tcPr>
            <w:tcW w:w="1230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The target population of the Health 2000 Survey consisted of individuals aged ≥ 18 years and living in mainland Finland.  Subjects aged 45-74 years participated in the home BP measurement substudy.</w:t>
            </w:r>
          </w:p>
        </w:tc>
        <w:tc>
          <w:tcPr>
            <w:tcW w:w="1298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The main reason for exclusions in the overall study was temporary residence abroad. Participation limited by home monitor availability.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6.8 (range, NR)</w:t>
            </w: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HBPM</w:t>
            </w:r>
          </w:p>
        </w:tc>
      </w:tr>
      <w:tr w:rsidR="00D657A7" w:rsidRPr="00707316" w:rsidTr="00D657A7">
        <w:trPr>
          <w:trHeight w:val="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OBPM</w:t>
            </w:r>
          </w:p>
        </w:tc>
      </w:tr>
      <w:tr w:rsidR="00D657A7" w:rsidRPr="00707316" w:rsidTr="00D657A7">
        <w:trPr>
          <w:trHeight w:val="70"/>
        </w:trPr>
        <w:tc>
          <w:tcPr>
            <w:tcW w:w="55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Ohkubo, 1998</w:t>
            </w:r>
            <w:r w:rsidRPr="00EE7EF5">
              <w:rPr>
                <w:noProof/>
                <w:vertAlign w:val="superscript"/>
              </w:rPr>
              <w:t>124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Japan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1789</w:t>
            </w:r>
          </w:p>
        </w:tc>
        <w:tc>
          <w:tcPr>
            <w:tcW w:w="1230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Age ≥ 40 years; residents of 3 of the 4 regions of Ohasama; and measurement of home BP ≥ 3 times during 4-week BL study period</w:t>
            </w:r>
          </w:p>
        </w:tc>
        <w:tc>
          <w:tcPr>
            <w:tcW w:w="1298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Hospitalized, demented and bedridden individuals; individuals who worked outside of town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6.6 (range, 0.1- 9.4)</w:t>
            </w: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HBPM (multiple)</w:t>
            </w:r>
          </w:p>
        </w:tc>
      </w:tr>
      <w:tr w:rsidR="00D657A7" w:rsidRPr="00707316" w:rsidTr="00D657A7">
        <w:trPr>
          <w:trHeight w:val="8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HBPM (initial)</w:t>
            </w:r>
          </w:p>
        </w:tc>
      </w:tr>
      <w:tr w:rsidR="00D657A7" w:rsidRPr="00707316" w:rsidTr="00D657A7">
        <w:trPr>
          <w:trHeight w:val="1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OBPM</w:t>
            </w:r>
          </w:p>
        </w:tc>
      </w:tr>
      <w:tr w:rsidR="00D657A7" w:rsidRPr="00707316" w:rsidTr="00D657A7">
        <w:trPr>
          <w:trHeight w:val="152"/>
        </w:trPr>
        <w:tc>
          <w:tcPr>
            <w:tcW w:w="55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Ohkubo, 2005</w:t>
            </w:r>
            <w:r w:rsidRPr="00EE7EF5">
              <w:rPr>
                <w:noProof/>
                <w:vertAlign w:val="superscript"/>
              </w:rPr>
              <w:t>125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Japan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1332</w:t>
            </w:r>
          </w:p>
        </w:tc>
        <w:tc>
          <w:tcPr>
            <w:tcW w:w="1230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Age ≥ 40 years w/ casual BP measurement at annual health check-up; residents of 3 of the 4 regions of Ohasama</w:t>
            </w:r>
          </w:p>
        </w:tc>
        <w:tc>
          <w:tcPr>
            <w:tcW w:w="1298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Hospitalized, demented and bedridden individuals; individuals who worked outside of town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10.2 (range, NR)</w:t>
            </w: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(24hr)</w:t>
            </w:r>
          </w:p>
        </w:tc>
      </w:tr>
      <w:tr w:rsidR="00D657A7" w:rsidRPr="00707316" w:rsidTr="00D657A7">
        <w:trPr>
          <w:trHeight w:val="8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(daytime)</w:t>
            </w:r>
          </w:p>
        </w:tc>
      </w:tr>
      <w:tr w:rsidR="00D657A7" w:rsidRPr="00707316" w:rsidTr="00D657A7">
        <w:trPr>
          <w:trHeight w:val="1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(nighttime)</w:t>
            </w:r>
          </w:p>
        </w:tc>
      </w:tr>
      <w:tr w:rsidR="00D657A7" w:rsidRPr="00707316" w:rsidTr="00D657A7">
        <w:trPr>
          <w:trHeight w:val="188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9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D0A9A">
            <w:pPr>
              <w:pStyle w:val="TableText"/>
              <w:ind w:right="-107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OBPM</w:t>
            </w:r>
          </w:p>
        </w:tc>
      </w:tr>
      <w:tr w:rsidR="00D657A7" w:rsidRPr="00707316" w:rsidTr="00D657A7">
        <w:trPr>
          <w:trHeight w:val="70"/>
        </w:trPr>
        <w:tc>
          <w:tcPr>
            <w:tcW w:w="55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Staessen, 1999</w:t>
            </w:r>
            <w:r w:rsidRPr="00EE7EF5">
              <w:rPr>
                <w:noProof/>
                <w:vertAlign w:val="superscript"/>
              </w:rPr>
              <w:t>126</w:t>
            </w:r>
          </w:p>
          <w:p w:rsidR="00443D86" w:rsidRPr="00707316" w:rsidRDefault="00443D86" w:rsidP="00D657A7">
            <w:pPr>
              <w:pStyle w:val="TableText"/>
            </w:pPr>
          </w:p>
          <w:p w:rsidR="00443D86" w:rsidRPr="00707316" w:rsidRDefault="00443D86" w:rsidP="00D657A7">
            <w:pPr>
              <w:pStyle w:val="TableText"/>
            </w:pPr>
            <w:r w:rsidRPr="00707316">
              <w:t>Good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  <w:ind w:right="-108"/>
            </w:pPr>
            <w:r w:rsidRPr="00707316">
              <w:t>Multinational (western and eastern Europe)</w:t>
            </w:r>
          </w:p>
        </w:tc>
        <w:tc>
          <w:tcPr>
            <w:tcW w:w="273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808</w:t>
            </w:r>
          </w:p>
        </w:tc>
        <w:tc>
          <w:tcPr>
            <w:tcW w:w="1230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9"/>
            </w:pPr>
            <w:r w:rsidRPr="00707316">
              <w:t>Men and women ≥ 60 years w/ isolated systolic HTN (sitting SBP 160 to 219 mm Hg and sitting DBP &lt;95 mm Hg while on masked placebo during the run-in phase; standing SBP ≥ 140). BP measurements for entry based on the averages of 6 sitting and 6 standing readings–2 in each position at 3 BL visits, 1 month apart</w:t>
            </w:r>
          </w:p>
        </w:tc>
        <w:tc>
          <w:tcPr>
            <w:tcW w:w="1298" w:type="pct"/>
            <w:vMerge w:val="restar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107"/>
            </w:pPr>
            <w:r w:rsidRPr="00707316">
              <w:t>Systolic HTN secondary to a disorder needing specific medical or surgical treatment; retinal hemorrhage or papilledema; CHF; dissecting aortic aneurysm; serum Cr concentration &gt;=180 μmol/L; history of severe nose bleeds, stroke, or MI in the year before the study; dementia; substance abuse; any disorder prohibiting a sitting or standing position; and any severe concomitant CV or non-CVD</w:t>
            </w:r>
          </w:p>
        </w:tc>
        <w:tc>
          <w:tcPr>
            <w:tcW w:w="597" w:type="pct"/>
            <w:vMerge w:val="restart"/>
            <w:shd w:val="clear" w:color="auto" w:fill="auto"/>
            <w:hideMark/>
          </w:tcPr>
          <w:p w:rsidR="00443D86" w:rsidRPr="00707316" w:rsidRDefault="00443D86" w:rsidP="00D657A7">
            <w:pPr>
              <w:pStyle w:val="TableText"/>
            </w:pPr>
            <w:r w:rsidRPr="00707316">
              <w:t>4.4 (range, 0.8 to 9)</w:t>
            </w: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(24hr)</w:t>
            </w:r>
          </w:p>
        </w:tc>
      </w:tr>
      <w:tr w:rsidR="00D657A7" w:rsidRPr="00707316" w:rsidTr="00D657A7">
        <w:trPr>
          <w:trHeight w:val="17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(daytime)</w:t>
            </w:r>
          </w:p>
        </w:tc>
      </w:tr>
      <w:tr w:rsidR="00D657A7" w:rsidRPr="00707316" w:rsidTr="00D657A7">
        <w:trPr>
          <w:trHeight w:val="98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ABPM (nighttime)</w:t>
            </w:r>
          </w:p>
        </w:tc>
      </w:tr>
      <w:tr w:rsidR="00D657A7" w:rsidRPr="00707316" w:rsidTr="00D657A7">
        <w:trPr>
          <w:trHeight w:val="80"/>
        </w:trPr>
        <w:tc>
          <w:tcPr>
            <w:tcW w:w="55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444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273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30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1298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597" w:type="pct"/>
            <w:vMerge/>
            <w:shd w:val="clear" w:color="auto" w:fill="auto"/>
          </w:tcPr>
          <w:p w:rsidR="00443D86" w:rsidRPr="00707316" w:rsidRDefault="00443D86" w:rsidP="00D657A7">
            <w:pPr>
              <w:pStyle w:val="TableText"/>
            </w:pPr>
          </w:p>
        </w:tc>
        <w:tc>
          <w:tcPr>
            <w:tcW w:w="605" w:type="pct"/>
            <w:shd w:val="clear" w:color="auto" w:fill="auto"/>
            <w:hideMark/>
          </w:tcPr>
          <w:p w:rsidR="00443D86" w:rsidRPr="00707316" w:rsidRDefault="00443D86" w:rsidP="00DD0A9A">
            <w:pPr>
              <w:pStyle w:val="TableText"/>
              <w:ind w:right="-90"/>
            </w:pPr>
            <w:r w:rsidRPr="00707316">
              <w:t>OBPM</w:t>
            </w:r>
          </w:p>
        </w:tc>
      </w:tr>
    </w:tbl>
    <w:p w:rsidR="00EF1DFA" w:rsidRDefault="00443D86" w:rsidP="00CA3AA8">
      <w:pPr>
        <w:pStyle w:val="TableNote"/>
        <w:spacing w:after="0"/>
      </w:pPr>
      <w:r w:rsidRPr="00707316">
        <w:rPr>
          <w:b/>
        </w:rPr>
        <w:t>Abbreviations</w:t>
      </w:r>
      <w:r w:rsidRPr="00707316">
        <w:t>: ABP = ambulatory blood pressure; ABPM = ambulatory blood pressure monitoring; AF = atrial fibrillation; AIDS = acquired immunodeficiency syndrome; APTH = Ambulatory Blood Pressure and Treatment of Hypertension; BL = baseline; BP = blood pressure; CHF = congestive heart failure; COPD = chronic obstructive pulmonary disease; Cr = creatinine; CV = cardiovascular; CVD = cardiovascular disease; DBP = diastolic blood pressure; dL = deciliter(s); DM = diabetes mellitus; ECG = electrocardiogram; F/U = followup; HBPM = home blood pressure monitoring; HF = heart failure; HTN = hypertension; hr = hour(s); IQR = interquartile range; LVH = left ventricular hypertrophy; mg = milligram(s); mm Hg = millimeter(s) of mercury; MI = myocardial infarction; NR = not reported; OBPM = office blood pressure measurement; PAD = peripheral artery disease; pts = participants; SBP = systolic blood pressure; sphyg = sphygmamonometer; w/ = with</w:t>
      </w:r>
    </w:p>
    <w:sectPr w:rsidR="00EF1DFA" w:rsidSect="005D469D">
      <w:headerReference w:type="default" r:id="rId8"/>
      <w:footerReference w:type="default" r:id="rId9"/>
      <w:pgSz w:w="15840" w:h="12240" w:orient="landscape" w:code="1"/>
      <w:pgMar w:top="1267" w:right="1440" w:bottom="1350" w:left="1440" w:header="720" w:footer="720" w:gutter="0"/>
      <w:pgNumType w:start="2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A22" w:rsidRDefault="00533A22" w:rsidP="00475490">
      <w:pPr>
        <w:spacing w:after="0" w:line="240" w:lineRule="auto"/>
      </w:pPr>
      <w:r>
        <w:separator/>
      </w:r>
    </w:p>
  </w:endnote>
  <w:endnote w:type="continuationSeparator" w:id="0">
    <w:p w:rsidR="00533A22" w:rsidRDefault="00533A22" w:rsidP="0047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F91591" w:rsidRDefault="00F91591" w:rsidP="00F91591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 w:cs="Arial"/>
        <w:sz w:val="16"/>
        <w:szCs w:val="16"/>
      </w:rPr>
      <w:t>Screening for High Blood Pressure in Adults</w:t>
    </w:r>
    <w:r w:rsidRPr="009E1DB1">
      <w:rPr>
        <w:rFonts w:ascii="Arial" w:hAnsi="Arial" w:cs="Arial"/>
        <w:sz w:val="16"/>
        <w:szCs w:val="16"/>
      </w:rPr>
      <w:tab/>
    </w:r>
    <w:r w:rsidR="008004FB" w:rsidRPr="009E1DB1">
      <w:rPr>
        <w:rFonts w:ascii="Arial" w:hAnsi="Arial" w:cs="Arial"/>
        <w:sz w:val="16"/>
        <w:szCs w:val="16"/>
      </w:rPr>
      <w:fldChar w:fldCharType="begin"/>
    </w:r>
    <w:r w:rsidRPr="009E1DB1">
      <w:rPr>
        <w:rFonts w:ascii="Arial" w:hAnsi="Arial" w:cs="Arial"/>
        <w:sz w:val="16"/>
        <w:szCs w:val="16"/>
      </w:rPr>
      <w:instrText xml:space="preserve"> PAGE   \* MERGEFORMAT </w:instrText>
    </w:r>
    <w:r w:rsidR="008004FB" w:rsidRPr="009E1DB1">
      <w:rPr>
        <w:rFonts w:ascii="Arial" w:hAnsi="Arial" w:cs="Arial"/>
        <w:sz w:val="16"/>
        <w:szCs w:val="16"/>
      </w:rPr>
      <w:fldChar w:fldCharType="separate"/>
    </w:r>
    <w:r w:rsidR="005D469D" w:rsidRPr="005D469D">
      <w:rPr>
        <w:rFonts w:ascii="Arial" w:hAnsi="Arial"/>
        <w:noProof/>
        <w:sz w:val="16"/>
        <w:szCs w:val="16"/>
      </w:rPr>
      <w:t>217</w:t>
    </w:r>
    <w:r w:rsidR="008004FB" w:rsidRPr="009E1DB1">
      <w:rPr>
        <w:rFonts w:ascii="Arial" w:hAnsi="Arial" w:cs="Arial"/>
        <w:noProof/>
        <w:sz w:val="16"/>
        <w:szCs w:val="16"/>
      </w:rPr>
      <w:fldChar w:fldCharType="end"/>
    </w:r>
    <w:r w:rsidRPr="009E1DB1">
      <w:rPr>
        <w:rFonts w:ascii="Arial" w:hAnsi="Arial" w:cs="Arial"/>
        <w:sz w:val="16"/>
        <w:szCs w:val="16"/>
      </w:rPr>
      <w:tab/>
      <w:t xml:space="preserve"> 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A22" w:rsidRDefault="00533A22" w:rsidP="00475490">
      <w:pPr>
        <w:spacing w:after="0" w:line="240" w:lineRule="auto"/>
      </w:pPr>
      <w:r>
        <w:separator/>
      </w:r>
    </w:p>
  </w:footnote>
  <w:footnote w:type="continuationSeparator" w:id="0">
    <w:p w:rsidR="00533A22" w:rsidRDefault="00533A22" w:rsidP="0047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0" w:rsidRPr="00EF1DFA" w:rsidRDefault="00F91591" w:rsidP="00EF1DFA">
    <w:pPr>
      <w:pStyle w:val="Header"/>
    </w:pPr>
    <w:r w:rsidRPr="00443D86">
      <w:rPr>
        <w:rFonts w:ascii="Arial" w:hAnsi="Arial" w:cs="Arial"/>
        <w:b/>
        <w:sz w:val="20"/>
        <w:szCs w:val="20"/>
      </w:rPr>
      <w:t>Appendix C. Evidence Tables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abstractNum w:abstractNumId="0">
    <w:nsid w:val="017750D5"/>
    <w:multiLevelType w:val="hybridMultilevel"/>
    <w:tmpl w:val="993A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E9A"/>
    <w:multiLevelType w:val="hybridMultilevel"/>
    <w:tmpl w:val="CF103602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E2532B"/>
    <w:multiLevelType w:val="hybridMultilevel"/>
    <w:tmpl w:val="E940F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34692"/>
    <w:multiLevelType w:val="hybridMultilevel"/>
    <w:tmpl w:val="BCDAB04C"/>
    <w:lvl w:ilvl="0" w:tplc="B726A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71A"/>
    <w:multiLevelType w:val="hybridMultilevel"/>
    <w:tmpl w:val="C6648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34E2"/>
    <w:multiLevelType w:val="hybridMultilevel"/>
    <w:tmpl w:val="050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009DD"/>
    <w:multiLevelType w:val="hybridMultilevel"/>
    <w:tmpl w:val="066A7260"/>
    <w:lvl w:ilvl="0" w:tplc="77BC07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D52C2"/>
    <w:multiLevelType w:val="hybridMultilevel"/>
    <w:tmpl w:val="612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47C62"/>
    <w:multiLevelType w:val="multilevel"/>
    <w:tmpl w:val="23A247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757D2"/>
    <w:multiLevelType w:val="hybridMultilevel"/>
    <w:tmpl w:val="E278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7354D"/>
    <w:multiLevelType w:val="hybridMultilevel"/>
    <w:tmpl w:val="1AAE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A41"/>
    <w:multiLevelType w:val="hybridMultilevel"/>
    <w:tmpl w:val="5A04C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14019"/>
    <w:multiLevelType w:val="hybridMultilevel"/>
    <w:tmpl w:val="9BA80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16C54"/>
    <w:multiLevelType w:val="hybridMultilevel"/>
    <w:tmpl w:val="AB3C9476"/>
    <w:lvl w:ilvl="0" w:tplc="79EA8C1C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8634B"/>
    <w:multiLevelType w:val="hybridMultilevel"/>
    <w:tmpl w:val="F4FC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46B03"/>
    <w:multiLevelType w:val="hybridMultilevel"/>
    <w:tmpl w:val="32B6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A0AA0"/>
    <w:multiLevelType w:val="hybridMultilevel"/>
    <w:tmpl w:val="98B4BC7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F346CBA"/>
    <w:multiLevelType w:val="multilevel"/>
    <w:tmpl w:val="D0A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221FB"/>
    <w:multiLevelType w:val="hybridMultilevel"/>
    <w:tmpl w:val="B154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54632"/>
    <w:multiLevelType w:val="hybridMultilevel"/>
    <w:tmpl w:val="6CE2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C0C11"/>
    <w:multiLevelType w:val="hybridMultilevel"/>
    <w:tmpl w:val="6A3E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657F4"/>
    <w:multiLevelType w:val="hybridMultilevel"/>
    <w:tmpl w:val="0DB68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6F6083"/>
    <w:multiLevelType w:val="hybridMultilevel"/>
    <w:tmpl w:val="A34AC0BA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F0895"/>
    <w:multiLevelType w:val="hybridMultilevel"/>
    <w:tmpl w:val="BF0E0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910A3"/>
    <w:multiLevelType w:val="hybridMultilevel"/>
    <w:tmpl w:val="28802D3A"/>
    <w:lvl w:ilvl="0" w:tplc="93A45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444F9"/>
    <w:multiLevelType w:val="hybridMultilevel"/>
    <w:tmpl w:val="896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B32"/>
    <w:multiLevelType w:val="hybridMultilevel"/>
    <w:tmpl w:val="74543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8195C"/>
    <w:multiLevelType w:val="hybridMultilevel"/>
    <w:tmpl w:val="6900A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F7250"/>
    <w:multiLevelType w:val="hybridMultilevel"/>
    <w:tmpl w:val="B1A2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14D5"/>
    <w:multiLevelType w:val="hybridMultilevel"/>
    <w:tmpl w:val="C8C0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E36182"/>
    <w:multiLevelType w:val="hybridMultilevel"/>
    <w:tmpl w:val="EE74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D6AAE"/>
    <w:multiLevelType w:val="hybridMultilevel"/>
    <w:tmpl w:val="37E00A34"/>
    <w:lvl w:ilvl="0" w:tplc="8FB0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D2070"/>
    <w:multiLevelType w:val="hybridMultilevel"/>
    <w:tmpl w:val="1698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47AEB"/>
    <w:multiLevelType w:val="hybridMultilevel"/>
    <w:tmpl w:val="97C00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72AF4"/>
    <w:multiLevelType w:val="hybridMultilevel"/>
    <w:tmpl w:val="48242138"/>
    <w:lvl w:ilvl="0" w:tplc="9000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2F31"/>
    <w:multiLevelType w:val="hybridMultilevel"/>
    <w:tmpl w:val="5BEA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8272C2"/>
    <w:multiLevelType w:val="hybridMultilevel"/>
    <w:tmpl w:val="35045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2"/>
  </w:num>
  <w:num w:numId="4">
    <w:abstractNumId w:val="17"/>
  </w:num>
  <w:num w:numId="5">
    <w:abstractNumId w:val="21"/>
  </w:num>
  <w:num w:numId="6">
    <w:abstractNumId w:val="12"/>
  </w:num>
  <w:num w:numId="7">
    <w:abstractNumId w:val="36"/>
  </w:num>
  <w:num w:numId="8">
    <w:abstractNumId w:val="3"/>
  </w:num>
  <w:num w:numId="9">
    <w:abstractNumId w:val="26"/>
  </w:num>
  <w:num w:numId="10">
    <w:abstractNumId w:val="10"/>
  </w:num>
  <w:num w:numId="11">
    <w:abstractNumId w:val="25"/>
  </w:num>
  <w:num w:numId="12">
    <w:abstractNumId w:val="40"/>
  </w:num>
  <w:num w:numId="13">
    <w:abstractNumId w:val="30"/>
  </w:num>
  <w:num w:numId="14">
    <w:abstractNumId w:val="34"/>
  </w:num>
  <w:num w:numId="15">
    <w:abstractNumId w:val="38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6"/>
  </w:num>
  <w:num w:numId="21">
    <w:abstractNumId w:val="5"/>
  </w:num>
  <w:num w:numId="22">
    <w:abstractNumId w:val="8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"/>
  </w:num>
  <w:num w:numId="27">
    <w:abstractNumId w:val="18"/>
  </w:num>
  <w:num w:numId="28">
    <w:abstractNumId w:val="4"/>
  </w:num>
  <w:num w:numId="29">
    <w:abstractNumId w:val="0"/>
  </w:num>
  <w:num w:numId="30">
    <w:abstractNumId w:val="11"/>
  </w:num>
  <w:num w:numId="31">
    <w:abstractNumId w:val="19"/>
  </w:num>
  <w:num w:numId="32">
    <w:abstractNumId w:val="41"/>
  </w:num>
  <w:num w:numId="33">
    <w:abstractNumId w:val="2"/>
  </w:num>
  <w:num w:numId="34">
    <w:abstractNumId w:val="31"/>
  </w:num>
  <w:num w:numId="35">
    <w:abstractNumId w:val="24"/>
  </w:num>
  <w:num w:numId="36">
    <w:abstractNumId w:val="33"/>
  </w:num>
  <w:num w:numId="37">
    <w:abstractNumId w:val="35"/>
  </w:num>
  <w:num w:numId="38">
    <w:abstractNumId w:val="28"/>
  </w:num>
  <w:num w:numId="39">
    <w:abstractNumId w:val="13"/>
  </w:num>
  <w:num w:numId="40">
    <w:abstractNumId w:val="15"/>
  </w:num>
  <w:num w:numId="41">
    <w:abstractNumId w:val="27"/>
  </w:num>
  <w:num w:numId="42">
    <w:abstractNumId w:val="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90"/>
    <w:rsid w:val="00021C1E"/>
    <w:rsid w:val="000F4CEC"/>
    <w:rsid w:val="00182E06"/>
    <w:rsid w:val="002A1795"/>
    <w:rsid w:val="002B1C8A"/>
    <w:rsid w:val="00412E71"/>
    <w:rsid w:val="00443D86"/>
    <w:rsid w:val="00475490"/>
    <w:rsid w:val="0050591B"/>
    <w:rsid w:val="0050700A"/>
    <w:rsid w:val="00533A22"/>
    <w:rsid w:val="005D469D"/>
    <w:rsid w:val="00651600"/>
    <w:rsid w:val="006B6342"/>
    <w:rsid w:val="006D1509"/>
    <w:rsid w:val="007B0315"/>
    <w:rsid w:val="008004FB"/>
    <w:rsid w:val="0082725C"/>
    <w:rsid w:val="0085747D"/>
    <w:rsid w:val="008C6F6F"/>
    <w:rsid w:val="008F08FE"/>
    <w:rsid w:val="009317A8"/>
    <w:rsid w:val="00993762"/>
    <w:rsid w:val="00AA3C6D"/>
    <w:rsid w:val="00B156F6"/>
    <w:rsid w:val="00B913AC"/>
    <w:rsid w:val="00C833A5"/>
    <w:rsid w:val="00C96A0D"/>
    <w:rsid w:val="00CA3AA8"/>
    <w:rsid w:val="00CB4670"/>
    <w:rsid w:val="00CB5C0F"/>
    <w:rsid w:val="00D07832"/>
    <w:rsid w:val="00D657A7"/>
    <w:rsid w:val="00D95842"/>
    <w:rsid w:val="00DA0139"/>
    <w:rsid w:val="00DD0A9A"/>
    <w:rsid w:val="00E52A71"/>
    <w:rsid w:val="00EA4A31"/>
    <w:rsid w:val="00EF1DFA"/>
    <w:rsid w:val="00F91591"/>
    <w:rsid w:val="00FD420D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90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139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43D8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43D8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20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9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90"/>
    <w:rPr>
      <w:rFonts w:ascii="Times New Roman" w:hAnsi="Times New Roman"/>
      <w:sz w:val="24"/>
      <w:szCs w:val="24"/>
    </w:rPr>
  </w:style>
  <w:style w:type="paragraph" w:customStyle="1" w:styleId="ParagraphNoIndent">
    <w:name w:val="ParagraphNoIndent"/>
    <w:qFormat/>
    <w:rsid w:val="00475490"/>
    <w:rPr>
      <w:rFonts w:ascii="Times New Roman" w:eastAsia="Times New Roman" w:hAnsi="Times New Roman" w:cs="Times New Roman"/>
      <w:b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7549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75490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90"/>
    <w:rPr>
      <w:rFonts w:ascii="Tahoma" w:eastAsia="Times New Roman" w:hAnsi="Tahoma" w:cs="Tahoma"/>
      <w:sz w:val="16"/>
      <w:szCs w:val="16"/>
    </w:rPr>
  </w:style>
  <w:style w:type="paragraph" w:customStyle="1" w:styleId="TableNote">
    <w:name w:val="TableNote"/>
    <w:qFormat/>
    <w:rsid w:val="00475490"/>
    <w:pPr>
      <w:spacing w:after="240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ColumnHead">
    <w:name w:val="TableColumnHead"/>
    <w:qFormat/>
    <w:rsid w:val="00475490"/>
    <w:pPr>
      <w:jc w:val="center"/>
    </w:pPr>
    <w:rPr>
      <w:rFonts w:ascii="Arial" w:hAnsi="Arial"/>
      <w:b/>
      <w:bCs/>
      <w:sz w:val="18"/>
      <w:szCs w:val="18"/>
    </w:rPr>
  </w:style>
  <w:style w:type="paragraph" w:customStyle="1" w:styleId="TableText">
    <w:name w:val="TableText"/>
    <w:qFormat/>
    <w:rsid w:val="00475490"/>
    <w:rPr>
      <w:rFonts w:ascii="Arial" w:hAnsi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43D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86"/>
    <w:rPr>
      <w:rFonts w:eastAsia="Times New Roman" w:cs="Times New Roman"/>
      <w:b/>
      <w:bCs/>
      <w:sz w:val="28"/>
      <w:szCs w:val="28"/>
    </w:rPr>
  </w:style>
  <w:style w:type="paragraph" w:customStyle="1" w:styleId="ParagraphIndent">
    <w:name w:val="ParagraphIndent"/>
    <w:qFormat/>
    <w:rsid w:val="00443D86"/>
    <w:pPr>
      <w:ind w:firstLine="3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443D86"/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43D86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43D86"/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443D86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443D86"/>
    <w:pPr>
      <w:keepNext/>
      <w:spacing w:before="240" w:after="60"/>
    </w:pPr>
    <w:rPr>
      <w:rFonts w:ascii="Arial" w:hAnsi="Arial"/>
      <w:b/>
      <w:sz w:val="32"/>
      <w:szCs w:val="32"/>
    </w:rPr>
  </w:style>
  <w:style w:type="table" w:customStyle="1" w:styleId="AHRQ1">
    <w:name w:val="AHRQ1"/>
    <w:basedOn w:val="TableGrid"/>
    <w:rsid w:val="00443D8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443D8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443D86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TOC2">
    <w:name w:val="toc 2"/>
    <w:basedOn w:val="Normal"/>
    <w:next w:val="Normal"/>
    <w:autoRedefine/>
    <w:rsid w:val="00443D86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443D86"/>
    <w:pPr>
      <w:keepNext/>
      <w:spacing w:after="60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qFormat/>
    <w:rsid w:val="00443D86"/>
    <w:pPr>
      <w:keepNext/>
      <w:spacing w:before="240" w:after="60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443D8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443D86"/>
    <w:pPr>
      <w:keepLines/>
      <w:spacing w:before="240" w:after="60"/>
    </w:pPr>
    <w:rPr>
      <w:rFonts w:ascii="Arial" w:eastAsia="Times New Roman" w:hAnsi="Arial"/>
      <w:iCs/>
      <w:sz w:val="28"/>
      <w:szCs w:val="28"/>
    </w:rPr>
  </w:style>
  <w:style w:type="paragraph" w:customStyle="1" w:styleId="TableTitle">
    <w:name w:val="TableTitle"/>
    <w:qFormat/>
    <w:rsid w:val="00443D86"/>
    <w:pPr>
      <w:keepNext/>
      <w:spacing w:before="240"/>
    </w:pPr>
    <w:rPr>
      <w:rFonts w:ascii="Arial" w:hAnsi="Arial" w:cs="Times New Roman"/>
      <w:b/>
      <w:color w:val="000000"/>
      <w:szCs w:val="24"/>
    </w:rPr>
  </w:style>
  <w:style w:type="paragraph" w:customStyle="1" w:styleId="Reference">
    <w:name w:val="Reference"/>
    <w:qFormat/>
    <w:rsid w:val="00443D86"/>
    <w:pPr>
      <w:keepLines/>
      <w:spacing w:before="120" w:after="120"/>
      <w:ind w:left="720" w:hanging="720"/>
    </w:pPr>
    <w:rPr>
      <w:rFonts w:ascii="Times New Roman" w:eastAsia="Times New Roman" w:hAnsi="Times New Roman" w:cs="Times New Roman"/>
      <w:bCs/>
      <w:szCs w:val="24"/>
    </w:rPr>
  </w:style>
  <w:style w:type="paragraph" w:customStyle="1" w:styleId="Level5Heading">
    <w:name w:val="Level5Heading"/>
    <w:qFormat/>
    <w:rsid w:val="00443D86"/>
    <w:pPr>
      <w:keepNext/>
      <w:spacing w:before="240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443D86"/>
    <w:pPr>
      <w:keepNext/>
      <w:spacing w:before="240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character" w:styleId="CommentReference">
    <w:name w:val="annotation reference"/>
    <w:uiPriority w:val="99"/>
    <w:rsid w:val="00443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3D86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4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D86"/>
    <w:rPr>
      <w:rFonts w:cs="Times New Roman"/>
      <w:b/>
      <w:bCs/>
    </w:rPr>
  </w:style>
  <w:style w:type="paragraph" w:customStyle="1" w:styleId="PreparedForText">
    <w:name w:val="PreparedFor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43D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443D8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443D86"/>
    <w:pPr>
      <w:keepNext/>
      <w:jc w:val="center"/>
    </w:pPr>
    <w:rPr>
      <w:rFonts w:ascii="Arial" w:hAnsi="Arial"/>
      <w:b/>
      <w:sz w:val="36"/>
      <w:szCs w:val="32"/>
    </w:rPr>
  </w:style>
  <w:style w:type="paragraph" w:customStyle="1" w:styleId="ContentsSubhead">
    <w:name w:val="ContentsSubhead"/>
    <w:qFormat/>
    <w:rsid w:val="00443D86"/>
    <w:pPr>
      <w:keepNext/>
      <w:spacing w:before="24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443D86"/>
    <w:pPr>
      <w:keepNext/>
      <w:spacing w:before="240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Subhead">
    <w:name w:val="TableSubhead"/>
    <w:qFormat/>
    <w:rsid w:val="00443D86"/>
    <w:rPr>
      <w:rFonts w:ascii="Arial" w:hAnsi="Arial"/>
      <w:b/>
      <w:i/>
      <w:sz w:val="18"/>
      <w:szCs w:val="18"/>
    </w:rPr>
  </w:style>
  <w:style w:type="paragraph" w:customStyle="1" w:styleId="Level6Heading">
    <w:name w:val="Level6Heading"/>
    <w:qFormat/>
    <w:rsid w:val="00443D86"/>
    <w:pPr>
      <w:keepNext/>
      <w:spacing w:before="24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443D86"/>
    <w:pPr>
      <w:keepNext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43D86"/>
    <w:pPr>
      <w:keepNext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443D86"/>
    <w:pPr>
      <w:numPr>
        <w:numId w:val="9"/>
      </w:numPr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43D86"/>
    <w:pPr>
      <w:numPr>
        <w:ilvl w:val="1"/>
        <w:numId w:val="9"/>
      </w:numPr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443D86"/>
    <w:pPr>
      <w:jc w:val="center"/>
    </w:pPr>
    <w:rPr>
      <w:rFonts w:ascii="Arial" w:hAnsi="Arial"/>
      <w:sz w:val="18"/>
      <w:szCs w:val="18"/>
    </w:rPr>
  </w:style>
  <w:style w:type="paragraph" w:customStyle="1" w:styleId="TableLeftText">
    <w:name w:val="TableLeftText"/>
    <w:qFormat/>
    <w:rsid w:val="00443D86"/>
    <w:rPr>
      <w:rFonts w:ascii="Arial" w:hAnsi="Arial"/>
      <w:sz w:val="18"/>
      <w:szCs w:val="18"/>
    </w:rPr>
  </w:style>
  <w:style w:type="paragraph" w:customStyle="1" w:styleId="TableBoldText">
    <w:name w:val="TableBoldText"/>
    <w:qFormat/>
    <w:rsid w:val="00443D86"/>
    <w:rPr>
      <w:rFonts w:ascii="Arial" w:hAnsi="Arial"/>
      <w:b/>
      <w:sz w:val="18"/>
      <w:szCs w:val="18"/>
    </w:rPr>
  </w:style>
  <w:style w:type="paragraph" w:customStyle="1" w:styleId="Studies1">
    <w:name w:val="Studies1"/>
    <w:qFormat/>
    <w:rsid w:val="00443D86"/>
    <w:pPr>
      <w:keepLines/>
      <w:spacing w:before="120" w:after="120"/>
    </w:pPr>
    <w:rPr>
      <w:rFonts w:ascii="Times New Roman" w:hAnsi="Times New Roman"/>
      <w:color w:val="000000"/>
      <w:sz w:val="24"/>
      <w:szCs w:val="32"/>
    </w:rPr>
  </w:style>
  <w:style w:type="paragraph" w:customStyle="1" w:styleId="Studies2">
    <w:name w:val="Studies2"/>
    <w:qFormat/>
    <w:rsid w:val="00443D86"/>
    <w:pPr>
      <w:keepLines/>
      <w:numPr>
        <w:numId w:val="10"/>
      </w:numPr>
      <w:spacing w:before="120" w:after="120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443D86"/>
    <w:pPr>
      <w:numPr>
        <w:numId w:val="11"/>
      </w:numPr>
      <w:ind w:left="720"/>
    </w:pPr>
  </w:style>
  <w:style w:type="paragraph" w:customStyle="1" w:styleId="ReportSubtitle">
    <w:name w:val="ReportSubtitle"/>
    <w:uiPriority w:val="99"/>
    <w:qFormat/>
    <w:rsid w:val="00443D86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443D86"/>
    <w:pPr>
      <w:keepNext/>
      <w:spacing w:before="120"/>
    </w:pPr>
    <w:rPr>
      <w:rFonts w:ascii="Arial" w:hAnsi="Arial"/>
      <w:b/>
      <w:sz w:val="24"/>
      <w:szCs w:val="32"/>
    </w:rPr>
  </w:style>
  <w:style w:type="character" w:styleId="Hyperlink">
    <w:name w:val="Hyperlink"/>
    <w:uiPriority w:val="99"/>
    <w:rsid w:val="00443D86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443D8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43D86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rsid w:val="00443D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443D86"/>
  </w:style>
  <w:style w:type="paragraph" w:customStyle="1" w:styleId="Bullet3">
    <w:name w:val="Bullet3"/>
    <w:basedOn w:val="Bullet2"/>
    <w:qFormat/>
    <w:rsid w:val="00443D86"/>
    <w:pPr>
      <w:numPr>
        <w:ilvl w:val="0"/>
        <w:numId w:val="0"/>
      </w:numPr>
      <w:ind w:left="1440" w:hanging="360"/>
    </w:pPr>
  </w:style>
  <w:style w:type="character" w:styleId="FollowedHyperlink">
    <w:name w:val="FollowedHyperlink"/>
    <w:uiPriority w:val="99"/>
    <w:semiHidden/>
    <w:unhideWhenUsed/>
    <w:rsid w:val="00443D86"/>
    <w:rPr>
      <w:color w:val="800080"/>
      <w:u w:val="single"/>
    </w:rPr>
  </w:style>
  <w:style w:type="paragraph" w:styleId="BodyText0">
    <w:name w:val="Body Text"/>
    <w:basedOn w:val="Normal"/>
    <w:link w:val="BodyTextChar0"/>
    <w:rsid w:val="00443D86"/>
    <w:pPr>
      <w:spacing w:after="0" w:line="240" w:lineRule="auto"/>
    </w:pPr>
    <w:rPr>
      <w:rFonts w:ascii="Times New Roman" w:hAnsi="Times New Roman"/>
      <w:bCs/>
      <w:i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0"/>
    <w:rsid w:val="00443D86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3D86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rsid w:val="00443D86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ListContinue2">
    <w:name w:val="List Continue 2"/>
    <w:basedOn w:val="Normal"/>
    <w:rsid w:val="00443D86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rsid w:val="00443D86"/>
  </w:style>
  <w:style w:type="paragraph" w:customStyle="1" w:styleId="Pa0">
    <w:name w:val="Pa0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1">
    <w:name w:val="Pa1"/>
    <w:basedOn w:val="Default"/>
    <w:next w:val="Default"/>
    <w:uiPriority w:val="99"/>
    <w:rsid w:val="00443D86"/>
    <w:pPr>
      <w:spacing w:line="121" w:lineRule="atLeast"/>
    </w:pPr>
    <w:rPr>
      <w:rFonts w:ascii="Arial" w:eastAsia="Calibri" w:hAnsi="Arial" w:cs="Arial"/>
      <w:color w:val="auto"/>
    </w:rPr>
  </w:style>
  <w:style w:type="paragraph" w:customStyle="1" w:styleId="Pa2">
    <w:name w:val="Pa2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3">
    <w:name w:val="Pa3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443D86"/>
    <w:pPr>
      <w:spacing w:line="161" w:lineRule="atLeast"/>
    </w:pPr>
    <w:rPr>
      <w:rFonts w:ascii="Arial" w:eastAsia="Calibri" w:hAnsi="Arial" w:cs="Arial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443D86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12">
    <w:name w:val="A12"/>
    <w:uiPriority w:val="99"/>
    <w:rsid w:val="00443D86"/>
    <w:rPr>
      <w:color w:val="000000"/>
      <w:sz w:val="11"/>
      <w:szCs w:val="11"/>
    </w:rPr>
  </w:style>
  <w:style w:type="paragraph" w:customStyle="1" w:styleId="numbered-paragraph">
    <w:name w:val="numbered-paragraph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443D86"/>
    <w:rPr>
      <w:b/>
      <w:bCs/>
    </w:rPr>
  </w:style>
  <w:style w:type="character" w:customStyle="1" w:styleId="mb">
    <w:name w:val="mb"/>
    <w:rsid w:val="00443D86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fthighlight1">
    <w:name w:val="ft_highlight1"/>
    <w:rsid w:val="00443D86"/>
    <w:rPr>
      <w:shd w:val="clear" w:color="auto" w:fill="FFFF99"/>
    </w:rPr>
  </w:style>
  <w:style w:type="paragraph" w:styleId="ListParagraph">
    <w:name w:val="List Paragraph"/>
    <w:basedOn w:val="Normal"/>
    <w:uiPriority w:val="34"/>
    <w:qFormat/>
    <w:rsid w:val="00443D8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43D86"/>
    <w:pPr>
      <w:spacing w:after="0" w:line="240" w:lineRule="auto"/>
      <w:ind w:left="480"/>
    </w:pPr>
    <w:rPr>
      <w:rFonts w:ascii="Times" w:hAnsi="Times"/>
      <w:sz w:val="24"/>
      <w:szCs w:val="20"/>
    </w:rPr>
  </w:style>
  <w:style w:type="paragraph" w:styleId="Revision">
    <w:name w:val="Revision"/>
    <w:hidden/>
    <w:uiPriority w:val="99"/>
    <w:semiHidden/>
    <w:rsid w:val="00443D86"/>
    <w:rPr>
      <w:rFonts w:ascii="Times" w:eastAsia="Times New Roman" w:hAnsi="Times" w:cs="Times New Roman"/>
      <w:sz w:val="24"/>
    </w:rPr>
  </w:style>
  <w:style w:type="character" w:customStyle="1" w:styleId="title">
    <w:name w:val="title"/>
    <w:rsid w:val="00443D86"/>
  </w:style>
  <w:style w:type="character" w:customStyle="1" w:styleId="label1">
    <w:name w:val="label1"/>
    <w:rsid w:val="00443D86"/>
  </w:style>
  <w:style w:type="paragraph" w:customStyle="1" w:styleId="large-table-link">
    <w:name w:val="large-table-link"/>
    <w:basedOn w:val="Normal"/>
    <w:rsid w:val="00443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ht">
    <w:name w:val="right"/>
    <w:rsid w:val="00443D86"/>
  </w:style>
  <w:style w:type="character" w:customStyle="1" w:styleId="highlight1">
    <w:name w:val="highlight1"/>
    <w:rsid w:val="00443D86"/>
    <w:rPr>
      <w:shd w:val="clear" w:color="auto" w:fill="F2F5F8"/>
    </w:rPr>
  </w:style>
  <w:style w:type="character" w:styleId="HTMLCite">
    <w:name w:val="HTML Cite"/>
    <w:uiPriority w:val="99"/>
    <w:semiHidden/>
    <w:unhideWhenUsed/>
    <w:rsid w:val="00443D86"/>
    <w:rPr>
      <w:i/>
      <w:iCs/>
    </w:rPr>
  </w:style>
  <w:style w:type="character" w:customStyle="1" w:styleId="slug-pub-date">
    <w:name w:val="slug-pub-date"/>
    <w:rsid w:val="00443D86"/>
  </w:style>
  <w:style w:type="character" w:customStyle="1" w:styleId="apple-converted-space">
    <w:name w:val="apple-converted-space"/>
    <w:rsid w:val="00443D86"/>
  </w:style>
  <w:style w:type="character" w:customStyle="1" w:styleId="slug-vol">
    <w:name w:val="slug-vol"/>
    <w:rsid w:val="00443D86"/>
  </w:style>
  <w:style w:type="character" w:customStyle="1" w:styleId="slug-pages">
    <w:name w:val="slug-pages"/>
    <w:rsid w:val="00443D86"/>
  </w:style>
  <w:style w:type="character" w:customStyle="1" w:styleId="cit-pub-date">
    <w:name w:val="cit-pub-date"/>
    <w:rsid w:val="00443D86"/>
  </w:style>
  <w:style w:type="paragraph" w:customStyle="1" w:styleId="norm13">
    <w:name w:val="norm13"/>
    <w:basedOn w:val="Normal"/>
    <w:rsid w:val="00443D86"/>
    <w:pPr>
      <w:spacing w:before="240" w:after="240" w:line="240" w:lineRule="auto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43D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43D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43D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43D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43D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43D86"/>
    <w:pPr>
      <w:spacing w:after="100"/>
      <w:ind w:left="1760"/>
    </w:pPr>
  </w:style>
  <w:style w:type="character" w:styleId="LineNumber">
    <w:name w:val="line number"/>
    <w:uiPriority w:val="99"/>
    <w:semiHidden/>
    <w:unhideWhenUsed/>
    <w:rsid w:val="00443D86"/>
  </w:style>
  <w:style w:type="character" w:customStyle="1" w:styleId="cit-issue1">
    <w:name w:val="cit-issue1"/>
    <w:rsid w:val="00443D86"/>
    <w:rPr>
      <w:vanish/>
      <w:webHidden w:val="0"/>
      <w:specVanish w:val="0"/>
    </w:rPr>
  </w:style>
  <w:style w:type="character" w:customStyle="1" w:styleId="cit-auth3">
    <w:name w:val="cit-auth3"/>
    <w:rsid w:val="00443D86"/>
  </w:style>
  <w:style w:type="character" w:customStyle="1" w:styleId="cit-sep2">
    <w:name w:val="cit-sep2"/>
    <w:rsid w:val="00443D86"/>
  </w:style>
  <w:style w:type="character" w:customStyle="1" w:styleId="site-title">
    <w:name w:val="site-title"/>
    <w:rsid w:val="00443D86"/>
  </w:style>
  <w:style w:type="character" w:customStyle="1" w:styleId="cit-print-date2">
    <w:name w:val="cit-print-date2"/>
    <w:rsid w:val="00443D86"/>
  </w:style>
  <w:style w:type="character" w:customStyle="1" w:styleId="cit-vol2">
    <w:name w:val="cit-vol2"/>
    <w:rsid w:val="00443D86"/>
  </w:style>
  <w:style w:type="character" w:customStyle="1" w:styleId="cit-first-page">
    <w:name w:val="cit-first-page"/>
    <w:rsid w:val="00443D86"/>
  </w:style>
  <w:style w:type="character" w:customStyle="1" w:styleId="cit-last-page2">
    <w:name w:val="cit-last-page2"/>
    <w:rsid w:val="00443D86"/>
  </w:style>
  <w:style w:type="paragraph" w:styleId="FootnoteText">
    <w:name w:val="footnote text"/>
    <w:basedOn w:val="Normal"/>
    <w:link w:val="FootnoteTextChar"/>
    <w:uiPriority w:val="99"/>
    <w:semiHidden/>
    <w:unhideWhenUsed/>
    <w:rsid w:val="00443D86"/>
    <w:pPr>
      <w:spacing w:after="0" w:line="240" w:lineRule="auto"/>
    </w:pPr>
    <w:rPr>
      <w:rFonts w:ascii="Times" w:hAnsi="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D86"/>
    <w:rPr>
      <w:rFonts w:ascii="Times" w:eastAsia="Times New Roman" w:hAnsi="Times" w:cs="Times New Roman"/>
    </w:rPr>
  </w:style>
  <w:style w:type="character" w:styleId="FootnoteReference">
    <w:name w:val="footnote reference"/>
    <w:uiPriority w:val="99"/>
    <w:semiHidden/>
    <w:unhideWhenUsed/>
    <w:rsid w:val="00443D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4211B-534B-4B29-A0D5-97358756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Nicolella</dc:creator>
  <cp:lastModifiedBy>tec0015</cp:lastModifiedBy>
  <cp:revision>10</cp:revision>
  <dcterms:created xsi:type="dcterms:W3CDTF">2014-12-16T15:53:00Z</dcterms:created>
  <dcterms:modified xsi:type="dcterms:W3CDTF">2015-01-22T05:34:00Z</dcterms:modified>
</cp:coreProperties>
</file>