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94"/>
        <w:gridCol w:w="685"/>
        <w:gridCol w:w="1151"/>
        <w:gridCol w:w="1043"/>
        <w:gridCol w:w="1956"/>
        <w:gridCol w:w="1468"/>
        <w:gridCol w:w="2521"/>
        <w:gridCol w:w="1072"/>
        <w:gridCol w:w="1928"/>
      </w:tblGrid>
      <w:tr w:rsidR="005023CA" w:rsidRPr="00A059CA" w:rsidTr="005023CA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 Year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Study Name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ind w:left="-111" w:right="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 of Centers, Country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Duration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Mean Followup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ind w:right="7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Baseline Demographics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Inclusion/Exclusion 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Number Screened, Eligible, Enrolled, Analyzed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 Assessed</w:t>
            </w:r>
          </w:p>
        </w:tc>
      </w:tr>
      <w:tr w:rsidR="005023CA" w:rsidRPr="00A059CA" w:rsidTr="005023CA">
        <w:trPr>
          <w:cantSplit/>
        </w:trPr>
        <w:tc>
          <w:tcPr>
            <w:tcW w:w="0" w:type="auto"/>
            <w:gridSpan w:val="9"/>
            <w:shd w:val="clear" w:color="auto" w:fill="F2F2F2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ADDITION </w:t>
            </w:r>
          </w:p>
        </w:tc>
      </w:tr>
      <w:tr w:rsidR="005023CA" w:rsidRPr="00A059CA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Griffin, 2011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; Simmons 2012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69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; van der Donk 2013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ADDITION-Europe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ind w:right="50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343 general practices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Denmark, UK, the Netherlands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Mean followup: 5.3 years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ind w:right="77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A. Intensive multifactorial treatment (n=1678)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Glucose target: HbA1c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BMI target: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27 kg/m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Blood pressure target: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135/85 mm 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Cholesterol target: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5.0 mmol/L in patients with no history of CVD;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4.5 mmol/L in patients with history of CVD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Lifestyle education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B. Routine care (n=1379)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Standard level of care according to each center's recommendations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Mean age 60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60 years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41%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43% female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96%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93% white (other races/ ethnicities not reported)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Duration of diabetes: N/A; screen-detected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HbA1c 6.5 v 6.6%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SBP 149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150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DBP 86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87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TC 5.5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5.6 mmol/L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BMI 31.6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31.6 kg/m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br/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7%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6% history of MI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28%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27% smoker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Newly diagnosed type 2 diabetes without: contraindications or intolerance to study medication, conditions likely to invalidate ability to give informed consent, malignant disease with a poor prognosis, pregnancy or lactation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Screened: N/A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Eligible: N/A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Enrolled: 3057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Analyzed: 3055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Cardiovascular event (composite outcome including CV mortality, nonfatal MI, nonfatal stroke, revascularization, nontraumatic amputation)</w:t>
            </w:r>
          </w:p>
        </w:tc>
      </w:tr>
      <w:tr w:rsidR="005023CA" w:rsidRPr="00A059CA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Charles, 2011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135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ADDITION-Denmark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ind w:right="50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190 general practices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Denmark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Duration: 5 years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Mean followup: 6 years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ind w:right="77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A. Intensive multifactorial treatment (n=702)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Glucose target: HbA1c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BMI target: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27 kg/m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Blood pressure target: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120/80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Cholesterol target: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5.0 mmol/L in patients with no history of CVD;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4.5 mmol/L in patients with history of CVD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Lifestyle education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B. Routine care (n=459)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Standard level of care in Denmark 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Mean age 60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60 years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41%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40% female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Race not reported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Duration of diabetes: N/A; screen-detected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SBP 149.8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147.0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DBP 88.3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87.3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Weight (men) 93.7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94.2 kg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Weight (women) 82.8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84.6 kg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BMI (men) 30.4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</w:p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30.4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BMI (women) 31.2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31.5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HDL 1.4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1.4 mmol/L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TC 5.8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5.6 mmol/L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Newly diagnosed type 2 diabetes without: contraindications or intolerance to study medication, conditions likely to invalidate ability to give informed consent, malignant disease with a poor prognosis, pregnancy or lactation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Screened: 1,533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Eligible: 1,278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Enrolled: 1,161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Analyzed: Varied by outcome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Neuropathy</w:t>
            </w:r>
          </w:p>
        </w:tc>
      </w:tr>
      <w:tr w:rsidR="005023CA" w:rsidRPr="00A059CA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van den Donk, 2010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136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</w:p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Janssen, 2009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137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ADDITION-Netherlands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ind w:right="50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79 general practices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The Netherlands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Mean duration: 4.7 years (for certain outcomes)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ind w:right="77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A. Intensive multifactorial treatment: Glucose target: HbA1c &lt;7.0%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Blood pressure target: </w:t>
            </w:r>
            <w:r w:rsidRPr="00A059CA">
              <w:rPr>
                <w:rFonts w:eastAsia="Times New Roman" w:cs="Arial"/>
                <w:sz w:val="18"/>
                <w:szCs w:val="18"/>
              </w:rPr>
              <w:t>≤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120/80 mm 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Cholesterol target: &lt;5.0 mmol/L or &lt;4.5 mmol/L in patients with known history of CVD+ lifestyle education (n=255)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B. Routine care: Glucose target: HbA1c &lt;8.5%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Blood pressure target: &lt;150/85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Cholesterol target: Any participant with CVD risk &gt;25% within 10 years; patients with known CVD &lt;5.0 mmol/L (n=243)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Mean age 60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60 years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44%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48% female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99%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98% white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Duration of diabetes: N/A; screen-detected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SBP 163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166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DBP 89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90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HDL 1.1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1.1 mmol/L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TC 5.6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5.6 mmol/L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BMI 30.4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31.2 kg/m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Screen-detected diabetes without: contraindications or intolerance to study medication, conditions likely to invalidate ability to give informed consent, malignant disease with a poor prognosis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Screened: NR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Eligible: 586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Enrolled: 498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Analyzed: 498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Quality of life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Medical Outcomes Study 36-Item Short Form Health Survey (SF-36; scale 0-100, higher score = better QoL)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European Quality of Life-5 Dimensions (EQ5D; scale -0.5 to 1; higher score = better QoL)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Diabetes Treatment Satisfaction Questionnaire (DTSQ; scale 0-36; higher score = greater treatment satisfaction)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Problem Areas in Diabetes scale (PAID; scale 0-100; higher score = more emotional distress, lower QoL)</w:t>
            </w:r>
          </w:p>
        </w:tc>
      </w:tr>
    </w:tbl>
    <w:p w:rsidR="005023CA" w:rsidRDefault="005023CA" w:rsidP="005023C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44"/>
        <w:gridCol w:w="2577"/>
        <w:gridCol w:w="5384"/>
        <w:gridCol w:w="1546"/>
        <w:gridCol w:w="895"/>
        <w:gridCol w:w="1472"/>
      </w:tblGrid>
      <w:tr w:rsidR="005023CA" w:rsidRPr="00A059CA" w:rsidTr="005023CA">
        <w:trPr>
          <w:cantSplit/>
          <w:tblHeader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ind w:right="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 Year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Study Name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Treatment: Mean Baseline and Achieved Values 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Clinical Health Outcomes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 Rating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9D9D9"/>
            <w:vAlign w:val="bottom"/>
            <w:hideMark/>
          </w:tcPr>
          <w:p w:rsidR="005023CA" w:rsidRPr="00A059CA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Funding Source</w:t>
            </w:r>
          </w:p>
        </w:tc>
      </w:tr>
      <w:tr w:rsidR="005023CA" w:rsidRPr="00A059CA" w:rsidTr="005023CA">
        <w:trPr>
          <w:cantSplit/>
        </w:trPr>
        <w:tc>
          <w:tcPr>
            <w:tcW w:w="13018" w:type="dxa"/>
            <w:gridSpan w:val="6"/>
            <w:shd w:val="clear" w:color="auto" w:fill="F2F2F2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ADDITION </w:t>
            </w:r>
          </w:p>
        </w:tc>
      </w:tr>
      <w:tr w:rsidR="005023CA" w:rsidRPr="00A059CA" w:rsidTr="005023CA">
        <w:trPr>
          <w:cantSplit/>
        </w:trPr>
        <w:tc>
          <w:tcPr>
            <w:tcW w:w="1144" w:type="dxa"/>
            <w:shd w:val="clear" w:color="auto" w:fill="auto"/>
            <w:hideMark/>
          </w:tcPr>
          <w:p w:rsidR="005023CA" w:rsidRPr="00A059CA" w:rsidRDefault="005023CA" w:rsidP="005023CA">
            <w:pPr>
              <w:ind w:right="8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Griffin, 2011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; Simmons 2012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69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, van der Donk 2013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 - Europe</w:t>
            </w:r>
          </w:p>
        </w:tc>
        <w:tc>
          <w:tcPr>
            <w:tcW w:w="2577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HbA1c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7.0%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7.0%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Achieved: 6.6%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6.7%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Blood pressure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149/86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150/87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Achieved: 135/80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138/81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Total cholesterol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5.5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5.6 mmol/L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Achieved: 4.2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4.4 mmol/L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BMI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31.6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31.6 kg/m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Achieved: 31.1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31.0 kg/m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84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First CV event: 121/1678 (7%)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117/1377 (8%); RR 0.85 (95% CI 0.67 to 1.08); HR 0.83 (95% CI 0.65 to 1.05)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All-cause mortality: 104/1678 (6%)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92/1377 (7%); RR 0.93 (95% CI 0.71 to 1.22); HR 0.91 (95% CI 0.69 to 1.21)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CV mortality: 26/1678 (2%)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22/1377 (2%); RR 0.97 (95% CI 0.55 to 1.70); HR 0.88 (95% CI 0.51 to 1.51)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MI: 29/1678 (2%)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32/1377 (2%); RR 0.74 (95% CI 0.45 to 1.22); HR 0.70 (95% CI 0.41 to 1.21)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Stroke: 22/1678(1%)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19/1377 (1%); RR 0.95 (95% CI 0.52 to 1.74); HR 0.98 (95% CI 0.57 to 1.71)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Revascularization: 44/1678 (3%)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44/1377 (3%); RR 0.82 (95% CI 0.54 to 1.24); HR 0.79 (95% CI 0.53 to 1.18)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B; stratified by country (n/N not reported):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CV events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-Denmark: HR 0.83 (95% CI 0.59 to 1.16)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-UK: HR 0.80 (95% CI 0.55 to 1.17)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-The Netherlands: HR 0.96 (95% CI 0.45 to 2.03)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All-cause mortality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-Denmark: HR 1.15 (95% CI 0.80 to 1.66)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-UK: HR 0.59 (95% CI 0.35 to 0.98)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-The Netherlands: HR 0.85 (95% CI 0.35 to 2.06)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CV mortality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-Denmark: HR 1.46 (95% CI 0.69 to 3.12)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-UK: HR 0.45 (95% CI 0.19 to 1.06)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-The Netherlands: HR 0.97 (95% CI 0.14 to 6.82)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MI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-Denmark: HR 0.55 (95% CI 0.28 to 1.09)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-UK: HR 1.09 (95% CI 0.40 to 2.94)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-The Netherlands: HR 0.95 (95% CI 0.14 to 6.52)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Stroke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-Denmark: HR 0.84 (95% CI 0.34 to 2.04)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-UK: HR 1.11 (95% CI 0.52 to 2.35)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-The Netherlands: HR 0.95 (95% CI 0.14 to 6.56)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Revascularization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-Denmark: HR 0.81 (95% CI 0.49 to 1.35)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-UK: HR 0.68 (95% CI 0.32 to 1.46)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-The Netherlands: HR 0.95 (95% CI 0.30 to 3.00)</w:t>
            </w:r>
          </w:p>
        </w:tc>
        <w:tc>
          <w:tcPr>
            <w:tcW w:w="1546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None reported</w:t>
            </w:r>
          </w:p>
        </w:tc>
        <w:tc>
          <w:tcPr>
            <w:tcW w:w="895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  <w:tc>
          <w:tcPr>
            <w:tcW w:w="1472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Novo Nordisk; GlaxoSmithKline; Pfizer</w:t>
            </w:r>
          </w:p>
        </w:tc>
      </w:tr>
      <w:tr w:rsidR="005023CA" w:rsidRPr="00A059CA" w:rsidTr="005023CA">
        <w:trPr>
          <w:cantSplit/>
        </w:trPr>
        <w:tc>
          <w:tcPr>
            <w:tcW w:w="1144" w:type="dxa"/>
            <w:shd w:val="clear" w:color="auto" w:fill="auto"/>
          </w:tcPr>
          <w:p w:rsidR="005023CA" w:rsidRPr="00A059CA" w:rsidRDefault="005023CA" w:rsidP="005023CA">
            <w:pPr>
              <w:ind w:right="8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Griffin, 2011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; Simmons 2012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69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, van der Donk 2013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 - Europe (cont.)</w:t>
            </w:r>
          </w:p>
        </w:tc>
        <w:tc>
          <w:tcPr>
            <w:tcW w:w="2577" w:type="dxa"/>
            <w:shd w:val="clear" w:color="auto" w:fill="auto"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4" w:type="dxa"/>
            <w:shd w:val="clear" w:color="auto" w:fill="auto"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Second CV event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CVD mortality: 5/1678 (0.3%)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3/1377 (0.2%); RR 0.82 (95% CI 0.54 to 1.24)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MI: 0/1678 (0%)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5/1377 (0.3%); RR 0.07 (95% CI 0.004 to 1.35)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Stroke: 1/1678 (0.06%)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1/1377 (0.07%); RR 0.82 (95% CI 0.05 to 13)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Revascularization: 27/1678 (2%)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28/1377 (2%); RR 0.79 (95% CI 0.47 to 1.34)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Amputation: 0/1678 (0%)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1/1377 (0.07%); RR 0.27 (95% CI 0.01 to 6.72)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Pooled risk second event: HR 0.70 (95% CI 0.43 to 1.12)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Third CV event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CVD mortality: 1/1678 (0.05%)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3/1377 (0.2%); RR 0.27 (95% CI 0.03 to 2.63)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MI: 0/1678 (0%)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3/1377 (0.2%); RR 0.12 (95% CI 0.006 to 2.27)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Stroke: 2/1678 (0.01%)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0/1377 (0%); RR 4.10 (95% CI 0.20 to 85)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Revascularization: 4/1678 (0.2%)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11/1377 (0.8%); RR 0.30 (95% CI 0.10 to 0.94)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Amputation: 1/1678 (0.05%)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0/1377 (0%); RR 2.46 (95% CI 0.10 to 60)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Pooled risk third event: HR 0.30 (95% CI 0.10 to 0.97)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Pooled risk any event: HR 0.77 (95% CI 0.58 to 1.02)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059C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Individual outcome RRs calculated; pooled HRs reported in text</w:t>
            </w:r>
          </w:p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Quality of life measures - A (n=1,574)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B (n=1,287), mean between-group difference at followup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SF-36 mental component score (scale 0 to 100): -0.01 (95% CI -0.03 to 0.02)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SF-36 physical component score (scale 0 to 100): -0.01 (95% CI -1.2 to 1.0)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Euroquel Visual Analog Scale score (scale 0 to 100): -1.17 (95% CI -4.2 to 1.9)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Euroquel 5 Dimensions score (scale -0.6 to 1.0): -0.01 (95% CI -0.03 to 0.02)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Well-Being Questionnaire - General score (scale 0 to 36): -0.32 (95% CI -1.31 to 0.66)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Well-Being Questionnaire - Negative score (scale 0 to 12): 0.01 (95% CI -.025 to 0.27)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Well-Being Questionnaire - Positive score (scale 0 to 12): -0.19 (95% CI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-0.53 to 0.15)</w:t>
            </w:r>
          </w:p>
        </w:tc>
        <w:tc>
          <w:tcPr>
            <w:tcW w:w="1546" w:type="dxa"/>
            <w:shd w:val="clear" w:color="auto" w:fill="auto"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None reported</w:t>
            </w:r>
          </w:p>
        </w:tc>
        <w:tc>
          <w:tcPr>
            <w:tcW w:w="895" w:type="dxa"/>
            <w:shd w:val="clear" w:color="auto" w:fill="auto"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  <w:tc>
          <w:tcPr>
            <w:tcW w:w="1472" w:type="dxa"/>
            <w:shd w:val="clear" w:color="auto" w:fill="auto"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reported.</w:t>
            </w:r>
          </w:p>
        </w:tc>
      </w:tr>
      <w:tr w:rsidR="005023CA" w:rsidRPr="00A059CA" w:rsidTr="005023CA">
        <w:trPr>
          <w:cantSplit/>
        </w:trPr>
        <w:tc>
          <w:tcPr>
            <w:tcW w:w="1144" w:type="dxa"/>
            <w:shd w:val="clear" w:color="auto" w:fill="auto"/>
            <w:hideMark/>
          </w:tcPr>
          <w:p w:rsidR="005023CA" w:rsidRPr="00A059CA" w:rsidRDefault="005023CA" w:rsidP="005023CA">
            <w:pPr>
              <w:ind w:right="8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Griffin, 2011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; Simmons 2012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69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, van der Donk 2013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138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 - Europe (cont.)</w:t>
            </w:r>
          </w:p>
        </w:tc>
        <w:tc>
          <w:tcPr>
            <w:tcW w:w="2577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Well-Being Questionnaire - Energy score (scale 0 to 12): -0.04 (95% CI -0.38 to 0.31)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Audit of Diabetes-Dependent Quality of Life score (scale -9 to 3): -0.04 (95% CI -0.20 to 0.13)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Diabetes Treatment Satisfaction Questionnaire score (scale 0 to 36): -0.85 (95% CI -1.76 to 0.07)</w:t>
            </w:r>
          </w:p>
        </w:tc>
        <w:tc>
          <w:tcPr>
            <w:tcW w:w="1546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None reported</w:t>
            </w:r>
          </w:p>
        </w:tc>
        <w:tc>
          <w:tcPr>
            <w:tcW w:w="895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  <w:tc>
          <w:tcPr>
            <w:tcW w:w="1472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</w:tr>
      <w:tr w:rsidR="005023CA" w:rsidRPr="00A059CA" w:rsidTr="005023CA">
        <w:trPr>
          <w:cantSplit/>
        </w:trPr>
        <w:tc>
          <w:tcPr>
            <w:tcW w:w="1144" w:type="dxa"/>
            <w:shd w:val="clear" w:color="auto" w:fill="auto"/>
            <w:hideMark/>
          </w:tcPr>
          <w:p w:rsidR="005023CA" w:rsidRPr="00A059CA" w:rsidRDefault="005023CA" w:rsidP="005023CA">
            <w:pPr>
              <w:ind w:right="8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Charles, 2011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135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 - Denmark</w:t>
            </w:r>
          </w:p>
        </w:tc>
        <w:tc>
          <w:tcPr>
            <w:tcW w:w="2577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HbA1c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6.4%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6.4%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Achieved: No significant change in either group (data not reported)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Blood pressure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147/87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150/88 mmHg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Achieved: Significant reduction in both groups (data not reported)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Total cholesterol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5.5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5.6 mmol/L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Achieved: Significant reduction in both groups (data not reported)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BMI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31.5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31.2 kg/m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Achieved: No significant change in either group (data not reported)</w:t>
            </w:r>
          </w:p>
        </w:tc>
        <w:tc>
          <w:tcPr>
            <w:tcW w:w="5384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Ankle brachial index ≤0.9%: 37/507 (7.3%)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30/329 (9.1%); RR 0.80 (95% CI 0.50 to 1.27)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Measures of peripheral diabetic neuropathy: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-Light touch 1/8: 69/387 (17.8%)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47/231 (20.3%); RR 0.88 (95% CI 0.63 to 1.22)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-VDT &gt;95% percentile: 53/235 (22.6%)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35/136 (25.7%); RR 0.88 (95% CI 0.60 to 1.27)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-Light touch + VDT: 69/229 (30.1%)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47/135 (34.8%): RR 0.87 (95% CI 0.64 to 1.17)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-MNSI Qst, cut ≥7: 57/656 (8.7%)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40/430 (9.3%); RR 0.93 (95% CI 0.64 to 1.37)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Pain: 27/581 (4.6%)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18/400 (4.5%);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RR 1.03 (95% CI 0.58 to 1.85) </w:t>
            </w:r>
          </w:p>
        </w:tc>
        <w:tc>
          <w:tcPr>
            <w:tcW w:w="1546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None reported</w:t>
            </w:r>
          </w:p>
        </w:tc>
        <w:tc>
          <w:tcPr>
            <w:tcW w:w="895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  <w:tc>
          <w:tcPr>
            <w:tcW w:w="1472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NovoNordisk, Glaxo Smith Kline, Merck</w:t>
            </w:r>
          </w:p>
        </w:tc>
      </w:tr>
      <w:tr w:rsidR="005023CA" w:rsidRPr="00A059CA" w:rsidTr="005023CA">
        <w:trPr>
          <w:cantSplit/>
        </w:trPr>
        <w:tc>
          <w:tcPr>
            <w:tcW w:w="1144" w:type="dxa"/>
            <w:shd w:val="clear" w:color="auto" w:fill="auto"/>
            <w:hideMark/>
          </w:tcPr>
          <w:p w:rsidR="005023CA" w:rsidRPr="00A059CA" w:rsidRDefault="005023CA" w:rsidP="005023CA">
            <w:pPr>
              <w:ind w:right="8"/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van den Donk, 2010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136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; Janssen, 2009</w:t>
            </w:r>
            <w:r w:rsidRPr="00A059C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137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ADDITION - Netherlands</w:t>
            </w:r>
          </w:p>
        </w:tc>
        <w:tc>
          <w:tcPr>
            <w:tcW w:w="2577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 (at 1 year followup)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HbA1c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7.3%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7.4%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Achieved: 6.5%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7.2%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Blood pressure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166/90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163/83 mm 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Achieved: 133/78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144/82 mm Hg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Total cholesterol -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Baseline: 5.6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5.6 mmol/L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Achieved: 4.4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5.1 mmol/L</w:t>
            </w:r>
          </w:p>
        </w:tc>
        <w:tc>
          <w:tcPr>
            <w:tcW w:w="5384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SF-36 at 1 year: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-General health: 63.3 (SD 18.4)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64.4 (SD 18.1); p=0.63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-Vitality: 64.8 (SD 20.4)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67.1 (SD 18.4); p=0.81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-Mental health: 75.9 (SD 17.9)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79.0 (SD 15.6); p=0.56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-Physical functioning: 80.1 (SD 21.2)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78.1 (SD 23.2); p=0.22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-Role physical: 80.3 (SD 35.0)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81.1 (SD 33.5); p=0.93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-Bodily pain: 79.2 (SD 22.7)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82.2 (22.4); p=0.97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-Social functioning: 83.0 (SD 22.0)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85.7 (SD 19.2); p=0.37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-Role emotional: 86.2 (SD 30.9)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89.9 (SD 26.0); p=0.25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>SF-36 at 3 years: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-General health: 64.2 (SE 1.5)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65.8 (SE 1.5); p=0.45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-Vitality: 65.6 (SE 1.6)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67.7 (SE 1.6); p=0.35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-Mental health: 75.9 (SE 1.4)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79.7 (SE 1.2); p=0.04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-Physical functioning: 77.3 (SE 1.8)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79.1 (SE 1.7); p=0.46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-Role physical: 76.6 (SE 2.7)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83.4 (SE 2.4); p=0.06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-Bodily pain: 78.0 (SE 1.8)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81.1 (SE 1.6); p=0.20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-Social functioning: 83.2 (SE 1.7)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86.2 (SE 1.6); p=0.20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-Role emotional: 84.8 (SE 2.4)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87.0 (SE 2.4); p=0.52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EQ5D at 3 years: 0.81 (SE 0.02)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0.82 (SE 0.02); p=0.72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DTSQ at 5 years: 32.7 (SE 0.3)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32.7 (SE 0.3); p=1.00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PAID at 5 years: 9.8 (SE 1.0)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8.4 (SE 0.9); p=0.30</w:t>
            </w:r>
          </w:p>
        </w:tc>
        <w:tc>
          <w:tcPr>
            <w:tcW w:w="1546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 xml:space="preserve">Serious AEs (hypoglycemic event requiring assistance): 1/255 (0.4%)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vs. </w:t>
            </w: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0/243 (0%); RR 2.86 (95% CI 0.12 to 70)</w:t>
            </w:r>
          </w:p>
        </w:tc>
        <w:tc>
          <w:tcPr>
            <w:tcW w:w="895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  <w:tc>
          <w:tcPr>
            <w:tcW w:w="1472" w:type="dxa"/>
            <w:shd w:val="clear" w:color="auto" w:fill="auto"/>
            <w:hideMark/>
          </w:tcPr>
          <w:p w:rsidR="005023CA" w:rsidRPr="00A059CA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59CA">
              <w:rPr>
                <w:rFonts w:ascii="Arial" w:eastAsia="Times New Roman" w:hAnsi="Arial" w:cs="Arial"/>
                <w:sz w:val="18"/>
                <w:szCs w:val="18"/>
              </w:rPr>
              <w:t>NovoNordisk, Glaxo Smith Kline, Merck</w:t>
            </w:r>
          </w:p>
        </w:tc>
      </w:tr>
    </w:tbl>
    <w:p w:rsidR="005023CA" w:rsidRPr="00A059CA" w:rsidRDefault="005023CA" w:rsidP="005023CA">
      <w:pPr>
        <w:rPr>
          <w:sz w:val="16"/>
          <w:szCs w:val="16"/>
        </w:rPr>
      </w:pPr>
      <w:r w:rsidRPr="00A059CA">
        <w:rPr>
          <w:rFonts w:ascii="Arial" w:hAnsi="Arial" w:cs="Arial"/>
          <w:b/>
          <w:sz w:val="16"/>
          <w:szCs w:val="16"/>
        </w:rPr>
        <w:t>Abbreviations:</w:t>
      </w:r>
      <w:r w:rsidRPr="00A059CA">
        <w:rPr>
          <w:rFonts w:ascii="Arial" w:hAnsi="Arial" w:cs="Arial"/>
          <w:sz w:val="16"/>
          <w:szCs w:val="16"/>
        </w:rPr>
        <w:t xml:space="preserve"> ADDITION = Anglo-Danish-Dutch Study of Intensive Treatment in People With Screen-Detected Diabetes; BMI = body mass index; CI = confidence interval; CV = cardiovascular; CVD = cardiovascular disease; DTSQ = Diabetes Treatment Satisfaction Questionnaire; HbA = glycated hemoglobin; HR = heart rate; QoL = quality of life; RR = relative risk; SD = standard deviation; UK = United Kingdom</w:t>
      </w:r>
    </w:p>
    <w:p w:rsidR="003876DF" w:rsidRPr="003876DF" w:rsidRDefault="003876DF" w:rsidP="001A0FE9">
      <w:pPr>
        <w:rPr>
          <w:rFonts w:ascii="Times New Roman" w:hAnsi="Times New Roman"/>
          <w:sz w:val="24"/>
          <w:szCs w:val="24"/>
        </w:rPr>
      </w:pPr>
    </w:p>
    <w:sectPr w:rsidR="003876DF" w:rsidRPr="003876DF" w:rsidSect="00A6105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B3" w:rsidRDefault="00BA48B3" w:rsidP="008C7966">
      <w:r>
        <w:separator/>
      </w:r>
    </w:p>
  </w:endnote>
  <w:endnote w:type="continuationSeparator" w:id="0">
    <w:p w:rsidR="00BA48B3" w:rsidRDefault="00BA48B3" w:rsidP="008C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5C" w:rsidRPr="00A6773E" w:rsidRDefault="00A6105C" w:rsidP="005023CA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="Arial" w:hAnsi="Arial" w:cs="Arial"/>
        <w:sz w:val="16"/>
        <w:szCs w:val="16"/>
      </w:rPr>
    </w:pPr>
    <w:r w:rsidRPr="00A6773E">
      <w:rPr>
        <w:rFonts w:ascii="Arial" w:hAnsi="Arial" w:cs="Arial"/>
        <w:sz w:val="16"/>
        <w:szCs w:val="16"/>
      </w:rPr>
      <w:t xml:space="preserve">Screening for Type 2 Diabetes Mellitus </w:t>
    </w:r>
    <w:r>
      <w:rPr>
        <w:rFonts w:ascii="Arial" w:hAnsi="Arial" w:cs="Arial"/>
        <w:sz w:val="16"/>
        <w:szCs w:val="16"/>
      </w:rPr>
      <w:tab/>
    </w:r>
    <w:r w:rsidRPr="00A6773E">
      <w:rPr>
        <w:rFonts w:ascii="Arial" w:hAnsi="Arial" w:cs="Arial"/>
        <w:sz w:val="16"/>
        <w:szCs w:val="16"/>
      </w:rPr>
      <w:fldChar w:fldCharType="begin"/>
    </w:r>
    <w:r w:rsidRPr="00A6773E">
      <w:rPr>
        <w:rFonts w:ascii="Arial" w:hAnsi="Arial" w:cs="Arial"/>
        <w:sz w:val="16"/>
        <w:szCs w:val="16"/>
      </w:rPr>
      <w:instrText xml:space="preserve"> PAGE   \* MERGEFORMAT </w:instrText>
    </w:r>
    <w:r w:rsidRPr="00A677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177</w:t>
    </w:r>
    <w:r w:rsidRPr="00A6773E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A6773E">
      <w:rPr>
        <w:rFonts w:ascii="Arial" w:hAnsi="Arial" w:cs="Arial"/>
        <w:noProof/>
        <w:sz w:val="16"/>
        <w:szCs w:val="16"/>
      </w:rPr>
      <w:t>Pacific Northwest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B3" w:rsidRDefault="00BA48B3" w:rsidP="008C7966">
      <w:r>
        <w:separator/>
      </w:r>
    </w:p>
  </w:footnote>
  <w:footnote w:type="continuationSeparator" w:id="0">
    <w:p w:rsidR="00BA48B3" w:rsidRDefault="00BA48B3" w:rsidP="008C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5C" w:rsidRPr="00A059CA" w:rsidRDefault="00A6105C" w:rsidP="005023CA">
    <w:pPr>
      <w:rPr>
        <w:rFonts w:ascii="Arial" w:hAnsi="Arial" w:cs="Arial"/>
        <w:b/>
        <w:sz w:val="20"/>
      </w:rPr>
    </w:pPr>
    <w:r w:rsidRPr="00A059CA">
      <w:rPr>
        <w:rFonts w:ascii="Arial" w:hAnsi="Arial" w:cs="Arial"/>
        <w:b/>
        <w:sz w:val="20"/>
      </w:rPr>
      <w:t>Appendix B9. Trials of More Versus Less Intensive Glucose, Blood Pressure, Lipid Control, or Aspirin Use in Screen-Detected DM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4DD"/>
    <w:multiLevelType w:val="multilevel"/>
    <w:tmpl w:val="0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1FDA"/>
    <w:multiLevelType w:val="hybridMultilevel"/>
    <w:tmpl w:val="B7887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5E1"/>
    <w:multiLevelType w:val="hybridMultilevel"/>
    <w:tmpl w:val="04D49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6279F"/>
    <w:multiLevelType w:val="hybridMultilevel"/>
    <w:tmpl w:val="6A90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D5CFF"/>
    <w:multiLevelType w:val="multilevel"/>
    <w:tmpl w:val="E43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DF"/>
    <w:rsid w:val="00001248"/>
    <w:rsid w:val="000A77D7"/>
    <w:rsid w:val="000B2BED"/>
    <w:rsid w:val="000B7D5D"/>
    <w:rsid w:val="000E00A8"/>
    <w:rsid w:val="001A0FE9"/>
    <w:rsid w:val="001A517D"/>
    <w:rsid w:val="001C375B"/>
    <w:rsid w:val="001F2BEB"/>
    <w:rsid w:val="00200137"/>
    <w:rsid w:val="00232B7A"/>
    <w:rsid w:val="0034503B"/>
    <w:rsid w:val="00364C4D"/>
    <w:rsid w:val="003876DF"/>
    <w:rsid w:val="003E4B76"/>
    <w:rsid w:val="00487363"/>
    <w:rsid w:val="004940B9"/>
    <w:rsid w:val="004D7E1F"/>
    <w:rsid w:val="005023CA"/>
    <w:rsid w:val="00510486"/>
    <w:rsid w:val="00585395"/>
    <w:rsid w:val="005F0559"/>
    <w:rsid w:val="00610C93"/>
    <w:rsid w:val="00684B55"/>
    <w:rsid w:val="006B1655"/>
    <w:rsid w:val="006C2174"/>
    <w:rsid w:val="0071783A"/>
    <w:rsid w:val="007E07DB"/>
    <w:rsid w:val="007E6A32"/>
    <w:rsid w:val="007E6E05"/>
    <w:rsid w:val="007F3E84"/>
    <w:rsid w:val="008250AA"/>
    <w:rsid w:val="008313A0"/>
    <w:rsid w:val="008722C3"/>
    <w:rsid w:val="008A7C9F"/>
    <w:rsid w:val="008B34B2"/>
    <w:rsid w:val="008C2132"/>
    <w:rsid w:val="008C7966"/>
    <w:rsid w:val="008F1076"/>
    <w:rsid w:val="009D0605"/>
    <w:rsid w:val="009E002B"/>
    <w:rsid w:val="00A56119"/>
    <w:rsid w:val="00A6105C"/>
    <w:rsid w:val="00B51B42"/>
    <w:rsid w:val="00B80D8C"/>
    <w:rsid w:val="00BA48B3"/>
    <w:rsid w:val="00BC36AA"/>
    <w:rsid w:val="00C250F7"/>
    <w:rsid w:val="00C5351B"/>
    <w:rsid w:val="00D14759"/>
    <w:rsid w:val="00D23F06"/>
    <w:rsid w:val="00D404AD"/>
    <w:rsid w:val="00DD7305"/>
    <w:rsid w:val="00DF0112"/>
    <w:rsid w:val="00E16484"/>
    <w:rsid w:val="00E71023"/>
    <w:rsid w:val="00F14C6C"/>
    <w:rsid w:val="00F15E49"/>
    <w:rsid w:val="00F53852"/>
    <w:rsid w:val="00F87243"/>
    <w:rsid w:val="00FD557E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8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7305"/>
    <w:pPr>
      <w:keepNext/>
      <w:jc w:val="center"/>
      <w:outlineLvl w:val="4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79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79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79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7305"/>
    <w:rPr>
      <w:sz w:val="22"/>
      <w:szCs w:val="22"/>
    </w:rPr>
  </w:style>
  <w:style w:type="character" w:customStyle="1" w:styleId="Heading5Char">
    <w:name w:val="Heading 5 Char"/>
    <w:link w:val="Heading5"/>
    <w:semiHidden/>
    <w:rsid w:val="00DD7305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DD7305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DD7305"/>
    <w:rPr>
      <w:rFonts w:ascii="Times New Roman" w:eastAsia="Times New Roman" w:hAnsi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557E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link w:val="PlainText"/>
    <w:uiPriority w:val="99"/>
    <w:rsid w:val="00FD557E"/>
    <w:rPr>
      <w:rFonts w:ascii="Arial" w:eastAsia="Times New Roman" w:hAnsi="Arial"/>
      <w:szCs w:val="21"/>
    </w:rPr>
  </w:style>
  <w:style w:type="character" w:styleId="Hyperlink">
    <w:name w:val="Hyperlink"/>
    <w:uiPriority w:val="99"/>
    <w:semiHidden/>
    <w:unhideWhenUsed/>
    <w:rsid w:val="003E4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Dana</dc:creator>
  <cp:lastModifiedBy>Dipali Misal</cp:lastModifiedBy>
  <cp:revision>10</cp:revision>
  <dcterms:created xsi:type="dcterms:W3CDTF">2015-04-08T14:17:00Z</dcterms:created>
  <dcterms:modified xsi:type="dcterms:W3CDTF">2015-05-05T08:19:00Z</dcterms:modified>
</cp:coreProperties>
</file>