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707"/>
        <w:gridCol w:w="805"/>
        <w:gridCol w:w="1300"/>
        <w:gridCol w:w="1938"/>
        <w:gridCol w:w="1492"/>
        <w:gridCol w:w="2072"/>
        <w:gridCol w:w="3704"/>
      </w:tblGrid>
      <w:tr w:rsidR="005023CA" w:rsidRPr="000E2797" w:rsidTr="005023CA">
        <w:trPr>
          <w:cantSplit/>
          <w:tblHeader/>
        </w:trPr>
        <w:tc>
          <w:tcPr>
            <w:tcW w:w="0" w:type="auto"/>
            <w:shd w:val="clear" w:color="auto" w:fill="D9D9D9"/>
            <w:vAlign w:val="bottom"/>
            <w:hideMark/>
          </w:tcPr>
          <w:p w:rsidR="005023CA" w:rsidRPr="000E2797" w:rsidRDefault="005023CA" w:rsidP="005023CA">
            <w:pPr>
              <w:rPr>
                <w:rFonts w:ascii="Arial" w:eastAsia="Times New Roman" w:hAnsi="Arial" w:cs="Arial"/>
                <w:b/>
                <w:bCs/>
                <w:sz w:val="18"/>
                <w:szCs w:val="18"/>
              </w:rPr>
            </w:pPr>
            <w:bookmarkStart w:id="0" w:name="_GoBack"/>
            <w:bookmarkEnd w:id="0"/>
            <w:r w:rsidRPr="000E2797">
              <w:rPr>
                <w:rFonts w:ascii="Arial" w:eastAsia="Times New Roman" w:hAnsi="Arial" w:cs="Arial"/>
                <w:b/>
                <w:bCs/>
                <w:sz w:val="18"/>
                <w:szCs w:val="18"/>
              </w:rPr>
              <w:t>Author,</w:t>
            </w:r>
            <w:r w:rsidRPr="000E2797">
              <w:rPr>
                <w:rFonts w:ascii="Arial" w:eastAsia="Times New Roman" w:hAnsi="Arial" w:cs="Arial"/>
                <w:b/>
                <w:bCs/>
                <w:sz w:val="18"/>
                <w:szCs w:val="18"/>
              </w:rPr>
              <w:br/>
              <w:t>Year</w:t>
            </w:r>
          </w:p>
        </w:tc>
        <w:tc>
          <w:tcPr>
            <w:tcW w:w="0" w:type="auto"/>
            <w:shd w:val="clear" w:color="auto" w:fill="D9D9D9"/>
            <w:vAlign w:val="bottom"/>
            <w:hideMark/>
          </w:tcPr>
          <w:p w:rsidR="005023CA" w:rsidRPr="000E2797" w:rsidRDefault="005023CA" w:rsidP="005023CA">
            <w:pPr>
              <w:jc w:val="center"/>
              <w:rPr>
                <w:rFonts w:ascii="Arial" w:eastAsia="Times New Roman" w:hAnsi="Arial" w:cs="Arial"/>
                <w:b/>
                <w:bCs/>
                <w:sz w:val="18"/>
                <w:szCs w:val="18"/>
              </w:rPr>
            </w:pPr>
            <w:r w:rsidRPr="000E2797">
              <w:rPr>
                <w:rFonts w:ascii="Arial" w:eastAsia="Times New Roman" w:hAnsi="Arial" w:cs="Arial"/>
                <w:b/>
                <w:bCs/>
                <w:sz w:val="18"/>
                <w:szCs w:val="18"/>
              </w:rPr>
              <w:t>Study Design</w:t>
            </w:r>
          </w:p>
        </w:tc>
        <w:tc>
          <w:tcPr>
            <w:tcW w:w="0" w:type="auto"/>
            <w:shd w:val="clear" w:color="auto" w:fill="D9D9D9"/>
            <w:vAlign w:val="bottom"/>
            <w:hideMark/>
          </w:tcPr>
          <w:p w:rsidR="005023CA" w:rsidRPr="000E2797" w:rsidRDefault="005023CA" w:rsidP="005023CA">
            <w:pPr>
              <w:jc w:val="center"/>
              <w:rPr>
                <w:rFonts w:ascii="Arial" w:eastAsia="Times New Roman" w:hAnsi="Arial" w:cs="Arial"/>
                <w:b/>
                <w:bCs/>
                <w:sz w:val="18"/>
                <w:szCs w:val="18"/>
              </w:rPr>
            </w:pPr>
            <w:r w:rsidRPr="000E2797">
              <w:rPr>
                <w:rFonts w:ascii="Arial" w:eastAsia="Times New Roman" w:hAnsi="Arial" w:cs="Arial"/>
                <w:b/>
                <w:bCs/>
                <w:sz w:val="18"/>
                <w:szCs w:val="18"/>
              </w:rPr>
              <w:t>No. of Centers, Country</w:t>
            </w:r>
          </w:p>
        </w:tc>
        <w:tc>
          <w:tcPr>
            <w:tcW w:w="0" w:type="auto"/>
            <w:shd w:val="clear" w:color="auto" w:fill="D9D9D9"/>
            <w:vAlign w:val="bottom"/>
            <w:hideMark/>
          </w:tcPr>
          <w:p w:rsidR="005023CA" w:rsidRPr="000E2797" w:rsidRDefault="005023CA" w:rsidP="005023CA">
            <w:pPr>
              <w:jc w:val="center"/>
              <w:rPr>
                <w:rFonts w:ascii="Arial" w:eastAsia="Times New Roman" w:hAnsi="Arial" w:cs="Arial"/>
                <w:b/>
                <w:bCs/>
                <w:sz w:val="18"/>
                <w:szCs w:val="18"/>
              </w:rPr>
            </w:pPr>
            <w:r w:rsidRPr="000E2797">
              <w:rPr>
                <w:rFonts w:ascii="Arial" w:eastAsia="Times New Roman" w:hAnsi="Arial" w:cs="Arial"/>
                <w:b/>
                <w:bCs/>
                <w:sz w:val="18"/>
                <w:szCs w:val="18"/>
              </w:rPr>
              <w:t>Interventions</w:t>
            </w:r>
          </w:p>
        </w:tc>
        <w:tc>
          <w:tcPr>
            <w:tcW w:w="0" w:type="auto"/>
            <w:shd w:val="clear" w:color="auto" w:fill="D9D9D9"/>
            <w:vAlign w:val="bottom"/>
            <w:hideMark/>
          </w:tcPr>
          <w:p w:rsidR="005023CA" w:rsidRPr="000E2797" w:rsidRDefault="005023CA" w:rsidP="005023CA">
            <w:pPr>
              <w:jc w:val="center"/>
              <w:rPr>
                <w:rFonts w:ascii="Arial" w:eastAsia="Times New Roman" w:hAnsi="Arial" w:cs="Arial"/>
                <w:b/>
                <w:bCs/>
                <w:sz w:val="18"/>
                <w:szCs w:val="18"/>
              </w:rPr>
            </w:pPr>
            <w:r w:rsidRPr="000E2797">
              <w:rPr>
                <w:rFonts w:ascii="Arial" w:eastAsia="Times New Roman" w:hAnsi="Arial" w:cs="Arial"/>
                <w:b/>
                <w:bCs/>
                <w:sz w:val="18"/>
                <w:szCs w:val="18"/>
              </w:rPr>
              <w:t>Study Duration</w:t>
            </w:r>
            <w:r w:rsidRPr="000E2797">
              <w:rPr>
                <w:rFonts w:ascii="Arial" w:eastAsia="Times New Roman" w:hAnsi="Arial" w:cs="Arial"/>
                <w:b/>
                <w:bCs/>
                <w:sz w:val="18"/>
                <w:szCs w:val="18"/>
              </w:rPr>
              <w:br/>
              <w:t>Mean Followup</w:t>
            </w:r>
          </w:p>
        </w:tc>
        <w:tc>
          <w:tcPr>
            <w:tcW w:w="0" w:type="auto"/>
            <w:shd w:val="clear" w:color="auto" w:fill="D9D9D9"/>
            <w:vAlign w:val="bottom"/>
            <w:hideMark/>
          </w:tcPr>
          <w:p w:rsidR="005023CA" w:rsidRPr="000E2797" w:rsidRDefault="005023CA" w:rsidP="005023CA">
            <w:pPr>
              <w:jc w:val="center"/>
              <w:rPr>
                <w:rFonts w:ascii="Arial" w:eastAsia="Times New Roman" w:hAnsi="Arial" w:cs="Arial"/>
                <w:b/>
                <w:bCs/>
                <w:sz w:val="18"/>
                <w:szCs w:val="18"/>
              </w:rPr>
            </w:pPr>
            <w:r w:rsidRPr="000E2797">
              <w:rPr>
                <w:rFonts w:ascii="Arial" w:eastAsia="Times New Roman" w:hAnsi="Arial" w:cs="Arial"/>
                <w:b/>
                <w:bCs/>
                <w:sz w:val="18"/>
                <w:szCs w:val="18"/>
              </w:rPr>
              <w:t>Baseline Demographics</w:t>
            </w:r>
          </w:p>
        </w:tc>
        <w:tc>
          <w:tcPr>
            <w:tcW w:w="0" w:type="auto"/>
            <w:shd w:val="clear" w:color="auto" w:fill="D9D9D9"/>
            <w:vAlign w:val="bottom"/>
            <w:hideMark/>
          </w:tcPr>
          <w:p w:rsidR="005023CA" w:rsidRPr="000E2797" w:rsidRDefault="005023CA" w:rsidP="005023CA">
            <w:pPr>
              <w:jc w:val="center"/>
              <w:rPr>
                <w:rFonts w:ascii="Arial" w:eastAsia="Times New Roman" w:hAnsi="Arial" w:cs="Arial"/>
                <w:b/>
                <w:bCs/>
                <w:sz w:val="18"/>
                <w:szCs w:val="18"/>
              </w:rPr>
            </w:pPr>
            <w:r w:rsidRPr="000E2797">
              <w:rPr>
                <w:rFonts w:ascii="Arial" w:eastAsia="Times New Roman" w:hAnsi="Arial" w:cs="Arial"/>
                <w:b/>
                <w:bCs/>
                <w:sz w:val="18"/>
                <w:szCs w:val="18"/>
              </w:rPr>
              <w:t>Inclusion/Exclusion Criteria</w:t>
            </w:r>
          </w:p>
        </w:tc>
      </w:tr>
      <w:tr w:rsidR="005023CA" w:rsidRPr="000E2797" w:rsidTr="005023CA">
        <w:trPr>
          <w:cantSplit/>
        </w:trPr>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Andrews, 2013</w:t>
            </w:r>
            <w:r w:rsidRPr="000E2797">
              <w:rPr>
                <w:rFonts w:ascii="Arial" w:eastAsia="Times New Roman" w:hAnsi="Arial" w:cs="Arial"/>
                <w:sz w:val="18"/>
                <w:szCs w:val="18"/>
                <w:vertAlign w:val="superscript"/>
              </w:rPr>
              <w:t>95</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RCT</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217 centers</w:t>
            </w:r>
            <w:r w:rsidRPr="000E2797">
              <w:rPr>
                <w:rFonts w:ascii="Arial" w:eastAsia="Times New Roman" w:hAnsi="Arial" w:cs="Arial"/>
                <w:sz w:val="18"/>
                <w:szCs w:val="18"/>
              </w:rPr>
              <w:br/>
              <w:t>United Kingdom</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A. Intensive diet and exercise (n=246)</w:t>
            </w:r>
            <w:r w:rsidRPr="000E2797">
              <w:rPr>
                <w:rFonts w:ascii="Arial" w:eastAsia="Times New Roman" w:hAnsi="Arial" w:cs="Arial"/>
                <w:sz w:val="18"/>
                <w:szCs w:val="18"/>
              </w:rPr>
              <w:br/>
              <w:t>B. Intensive diet (n=248)</w:t>
            </w:r>
            <w:r w:rsidRPr="000E2797">
              <w:rPr>
                <w:rFonts w:ascii="Arial" w:eastAsia="Times New Roman" w:hAnsi="Arial" w:cs="Arial"/>
                <w:sz w:val="18"/>
                <w:szCs w:val="18"/>
              </w:rPr>
              <w:br/>
              <w:t>C. Usual care (n=99)</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Total followup: 1 year</w:t>
            </w:r>
          </w:p>
        </w:tc>
        <w:tc>
          <w:tcPr>
            <w:tcW w:w="0" w:type="auto"/>
            <w:shd w:val="clear" w:color="auto" w:fill="auto"/>
            <w:hideMark/>
          </w:tcPr>
          <w:p w:rsidR="005023CA" w:rsidRPr="000E2797" w:rsidRDefault="005023CA" w:rsidP="005023CA">
            <w:pPr>
              <w:rPr>
                <w:rFonts w:ascii="Arial" w:eastAsia="Times New Roman" w:hAnsi="Arial" w:cs="Arial"/>
                <w:b/>
                <w:bCs/>
                <w:sz w:val="18"/>
                <w:szCs w:val="18"/>
              </w:rPr>
            </w:pPr>
            <w:r w:rsidRPr="000E2797">
              <w:rPr>
                <w:rFonts w:ascii="Arial" w:eastAsia="Times New Roman" w:hAnsi="Arial" w:cs="Arial"/>
                <w:b/>
                <w:bCs/>
                <w:sz w:val="18"/>
                <w:szCs w:val="18"/>
              </w:rPr>
              <w:t>A vs B vs C</w:t>
            </w:r>
            <w:r w:rsidRPr="000E2797">
              <w:rPr>
                <w:rFonts w:ascii="Arial" w:eastAsia="Times New Roman" w:hAnsi="Arial" w:cs="Arial"/>
                <w:b/>
                <w:bCs/>
                <w:sz w:val="18"/>
                <w:szCs w:val="18"/>
              </w:rPr>
              <w:br/>
            </w:r>
            <w:r w:rsidRPr="000E2797">
              <w:rPr>
                <w:rFonts w:ascii="Arial" w:eastAsia="Times New Roman" w:hAnsi="Arial" w:cs="Arial"/>
                <w:sz w:val="18"/>
                <w:szCs w:val="18"/>
              </w:rPr>
              <w:t>Mean age: 60 vs 60 vs 60 years</w:t>
            </w:r>
            <w:r w:rsidRPr="000E2797">
              <w:rPr>
                <w:rFonts w:ascii="Arial" w:eastAsia="Times New Roman" w:hAnsi="Arial" w:cs="Arial"/>
                <w:sz w:val="18"/>
                <w:szCs w:val="18"/>
              </w:rPr>
              <w:br/>
              <w:t>Female sex: 36% vs 34% vs 37%</w:t>
            </w:r>
            <w:r w:rsidRPr="000E2797">
              <w:rPr>
                <w:rFonts w:ascii="Arial" w:eastAsia="Times New Roman" w:hAnsi="Arial" w:cs="Arial"/>
                <w:sz w:val="18"/>
                <w:szCs w:val="18"/>
              </w:rPr>
              <w:br/>
              <w:t>Race: 94% vs 96% vs 97% White; other races not reported</w:t>
            </w:r>
            <w:r w:rsidRPr="000E2797">
              <w:rPr>
                <w:rFonts w:ascii="Arial" w:eastAsia="Times New Roman" w:hAnsi="Arial" w:cs="Arial"/>
                <w:sz w:val="18"/>
                <w:szCs w:val="18"/>
              </w:rPr>
              <w:br/>
              <w:t>HbA1c: 6.7 vs 6.6 vs 6.7%</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Age 30 to 80 years with DM diagnosis 5-8 months prior to study enrollment and HbA1c &lt;10%, BP &lt;180/100</w:t>
            </w:r>
          </w:p>
        </w:tc>
      </w:tr>
      <w:tr w:rsidR="005023CA" w:rsidRPr="000E2797" w:rsidTr="005023CA">
        <w:trPr>
          <w:cantSplit/>
        </w:trPr>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Davies et al. 2008</w:t>
            </w:r>
            <w:r w:rsidRPr="000E2797">
              <w:rPr>
                <w:rFonts w:ascii="Arial" w:eastAsia="Times New Roman" w:hAnsi="Arial" w:cs="Arial"/>
                <w:sz w:val="18"/>
                <w:szCs w:val="18"/>
                <w:vertAlign w:val="superscript"/>
              </w:rPr>
              <w:t>96</w:t>
            </w:r>
            <w:r w:rsidRPr="000E2797">
              <w:rPr>
                <w:rFonts w:ascii="Arial" w:eastAsia="Times New Roman" w:hAnsi="Arial" w:cs="Arial"/>
                <w:sz w:val="18"/>
                <w:szCs w:val="18"/>
              </w:rPr>
              <w:t xml:space="preserve"> and Khunti 2012</w:t>
            </w:r>
            <w:r w:rsidRPr="000E2797">
              <w:rPr>
                <w:rFonts w:ascii="Arial" w:eastAsia="Times New Roman" w:hAnsi="Arial" w:cs="Arial"/>
                <w:sz w:val="18"/>
                <w:szCs w:val="18"/>
                <w:vertAlign w:val="superscript"/>
              </w:rPr>
              <w:t>97</w:t>
            </w:r>
            <w:r w:rsidRPr="000E2797">
              <w:rPr>
                <w:rFonts w:ascii="Arial" w:eastAsia="Times New Roman" w:hAnsi="Arial" w:cs="Arial"/>
                <w:sz w:val="18"/>
                <w:szCs w:val="18"/>
              </w:rPr>
              <w:br/>
              <w:t>DESMOND Trial</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Cluster RCT</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13 primary care centers England, Scotland</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A. Group intervention for 6 hrs within 12 weeks of diagnoses aimed at changing lifestyle (n=437)</w:t>
            </w:r>
            <w:r w:rsidRPr="000E2797">
              <w:rPr>
                <w:rFonts w:ascii="Arial" w:eastAsia="Times New Roman" w:hAnsi="Arial" w:cs="Arial"/>
                <w:sz w:val="18"/>
                <w:szCs w:val="18"/>
              </w:rPr>
              <w:br/>
              <w:t>B. Control group (n=387)</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Total followup: 3 years</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 xml:space="preserve">A vs B </w:t>
            </w:r>
            <w:r w:rsidRPr="000E2797">
              <w:rPr>
                <w:rFonts w:ascii="Arial" w:eastAsia="Times New Roman" w:hAnsi="Arial" w:cs="Arial"/>
                <w:sz w:val="18"/>
                <w:szCs w:val="18"/>
              </w:rPr>
              <w:br/>
              <w:t>Mean age: 59 vs 60</w:t>
            </w:r>
            <w:r w:rsidRPr="000E2797">
              <w:rPr>
                <w:rFonts w:ascii="Arial" w:eastAsia="Times New Roman" w:hAnsi="Arial" w:cs="Arial"/>
                <w:sz w:val="18"/>
                <w:szCs w:val="18"/>
              </w:rPr>
              <w:br/>
              <w:t>53% vs 57% male</w:t>
            </w:r>
            <w:r w:rsidRPr="000E2797">
              <w:rPr>
                <w:rFonts w:ascii="Arial" w:eastAsia="Times New Roman" w:hAnsi="Arial" w:cs="Arial"/>
                <w:sz w:val="18"/>
                <w:szCs w:val="18"/>
              </w:rPr>
              <w:br/>
              <w:t>94% vs 94% White</w:t>
            </w:r>
            <w:r w:rsidRPr="000E2797">
              <w:rPr>
                <w:rFonts w:ascii="Arial" w:eastAsia="Times New Roman" w:hAnsi="Arial" w:cs="Arial"/>
                <w:sz w:val="18"/>
                <w:szCs w:val="18"/>
              </w:rPr>
              <w:br/>
              <w:t>Mean BMI 32.3 vs 32.4 kg/m</w:t>
            </w:r>
            <w:r w:rsidRPr="000E2797">
              <w:rPr>
                <w:rFonts w:ascii="Arial" w:eastAsia="Times New Roman" w:hAnsi="Arial" w:cs="Arial"/>
                <w:sz w:val="18"/>
                <w:szCs w:val="18"/>
                <w:vertAlign w:val="superscript"/>
              </w:rPr>
              <w:t>2</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Diagnosis of DM within 4 weeks of study entry</w:t>
            </w:r>
            <w:r w:rsidRPr="000E2797">
              <w:rPr>
                <w:rFonts w:ascii="Arial" w:eastAsia="Times New Roman" w:hAnsi="Arial" w:cs="Arial"/>
                <w:sz w:val="18"/>
                <w:szCs w:val="18"/>
              </w:rPr>
              <w:br/>
              <w:t>Exclude: Age &lt;18 years, severe mental health problems; unable to participate in a group program, including due to language barrier; participation in another research study</w:t>
            </w:r>
          </w:p>
        </w:tc>
      </w:tr>
      <w:tr w:rsidR="005023CA" w:rsidRPr="000E2797" w:rsidTr="005023CA">
        <w:trPr>
          <w:cantSplit/>
        </w:trPr>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lastRenderedPageBreak/>
              <w:t>DeFronzo, 2011</w:t>
            </w:r>
            <w:r w:rsidRPr="000E2797">
              <w:rPr>
                <w:rFonts w:ascii="Arial" w:eastAsia="Times New Roman" w:hAnsi="Arial" w:cs="Arial"/>
                <w:sz w:val="18"/>
                <w:szCs w:val="18"/>
                <w:vertAlign w:val="superscript"/>
              </w:rPr>
              <w:t>98</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RCT</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8 centers</w:t>
            </w:r>
            <w:r w:rsidRPr="000E2797">
              <w:rPr>
                <w:rFonts w:ascii="Arial" w:eastAsia="Times New Roman" w:hAnsi="Arial" w:cs="Arial"/>
                <w:sz w:val="18"/>
                <w:szCs w:val="18"/>
              </w:rPr>
              <w:br/>
              <w:t>United States</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A. Pioglitazone 30 mg/day for one month, increased to 45 mg/day (n=303)</w:t>
            </w:r>
            <w:r w:rsidRPr="000E2797">
              <w:rPr>
                <w:rFonts w:ascii="Arial" w:eastAsia="Times New Roman" w:hAnsi="Arial" w:cs="Arial"/>
                <w:sz w:val="18"/>
                <w:szCs w:val="18"/>
              </w:rPr>
              <w:br/>
              <w:t>B. Placebo (n=299)</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Median followup: 2.4 years</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B</w:t>
            </w:r>
            <w:r w:rsidRPr="000E2797">
              <w:rPr>
                <w:rFonts w:ascii="Arial" w:eastAsia="Times New Roman" w:hAnsi="Arial" w:cs="Arial"/>
                <w:sz w:val="18"/>
                <w:szCs w:val="18"/>
              </w:rPr>
              <w:br/>
              <w:t>Mean age: 53 vs. 52 years</w:t>
            </w:r>
            <w:r w:rsidRPr="000E2797">
              <w:rPr>
                <w:rFonts w:ascii="Arial" w:eastAsia="Times New Roman" w:hAnsi="Arial" w:cs="Arial"/>
                <w:sz w:val="18"/>
                <w:szCs w:val="18"/>
              </w:rPr>
              <w:br/>
              <w:t>Female sex: 58% vs. 58%</w:t>
            </w:r>
            <w:r w:rsidRPr="000E2797">
              <w:rPr>
                <w:rFonts w:ascii="Arial" w:eastAsia="Times New Roman" w:hAnsi="Arial" w:cs="Arial"/>
                <w:sz w:val="18"/>
                <w:szCs w:val="18"/>
              </w:rPr>
              <w:br/>
              <w:t>Race: 51% White, 26% Hispanic, 19% Black, 3% other vs. 57% White, 25% Hispanic, 15% Black, 3% other</w:t>
            </w:r>
            <w:r w:rsidRPr="000E2797">
              <w:rPr>
                <w:rFonts w:ascii="Arial" w:eastAsia="Times New Roman" w:hAnsi="Arial" w:cs="Arial"/>
                <w:sz w:val="18"/>
                <w:szCs w:val="18"/>
              </w:rPr>
              <w:br/>
              <w:t>Mean BMI: 33.0 vs. 34.5</w:t>
            </w:r>
            <w:r w:rsidRPr="000E2797">
              <w:rPr>
                <w:rFonts w:ascii="Arial" w:eastAsia="Times New Roman" w:hAnsi="Arial" w:cs="Arial"/>
                <w:sz w:val="18"/>
                <w:szCs w:val="18"/>
              </w:rPr>
              <w:br/>
              <w:t>Mean HbA1c: 5.5 vs. 5.5</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 xml:space="preserve">Patients 18 years or older with impaired glucose tolerance (fasting plasma glucose between 95 and 125 mg/dL), BMI </w:t>
            </w:r>
            <w:r w:rsidRPr="000E2797">
              <w:rPr>
                <w:rFonts w:ascii="Arial" w:eastAsia="Times New Roman" w:hAnsi="Arial" w:cs="Arial"/>
                <w:sz w:val="18"/>
                <w:szCs w:val="18"/>
                <w:u w:val="single"/>
              </w:rPr>
              <w:t>&gt;</w:t>
            </w:r>
            <w:r w:rsidRPr="000E2797">
              <w:rPr>
                <w:rFonts w:ascii="Arial" w:eastAsia="Times New Roman" w:hAnsi="Arial" w:cs="Arial"/>
                <w:sz w:val="18"/>
                <w:szCs w:val="18"/>
              </w:rPr>
              <w:t>25, and at least one other risk factor for diabetes</w:t>
            </w:r>
            <w:r w:rsidRPr="000E2797">
              <w:rPr>
                <w:rFonts w:ascii="Arial" w:eastAsia="Times New Roman" w:hAnsi="Arial" w:cs="Arial"/>
                <w:sz w:val="18"/>
                <w:szCs w:val="18"/>
              </w:rPr>
              <w:br/>
              <w:t>Exclude: Diabetes; previous treatment with thiazolidinedione (ever), metformin (within one year prior to randomization), or sulfonylureas, meglitinide, alpha glucosidase inhibitors, or insulin for more than one week within the prior year or within 3 months prior to randomization; cardiovascular disease, hospitalization for treatment of heart disease or stroke in past 6 months; NYHA class &gt;2; left bundle branch block or third degree AV block; aortic stenosis; SBP &gt;180 mmHg or DBP &gt;105 mmHg; renal disease; anemia; hepatitis; gastrointestinal disease; recent or significant abdominal surgery; pulmonary disease with dependence on oxygen or daily use of bronchodilators; chronic infection; weight loss &gt;10% of body weight in past 6 months; currently pregnant or &lt;3 months postpartum; currently nursing or &gt;6 weeks of having completed nursing; anticipated pregnancy; major psychotic disorders; excessive alcohol intake; thyroid disease; other endocrine disorders; fasting plasma triglyceride &gt;400 mg/dL; history of bladder cancer; or hematuria at screening</w:t>
            </w:r>
          </w:p>
        </w:tc>
      </w:tr>
      <w:tr w:rsidR="005023CA" w:rsidRPr="000E2797" w:rsidTr="005023CA">
        <w:trPr>
          <w:cantSplit/>
        </w:trPr>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DREAM Trial Investigators 2008</w:t>
            </w:r>
            <w:r w:rsidRPr="000E2797">
              <w:rPr>
                <w:rFonts w:ascii="Arial" w:eastAsia="Times New Roman" w:hAnsi="Arial" w:cs="Arial"/>
                <w:sz w:val="18"/>
                <w:szCs w:val="18"/>
                <w:vertAlign w:val="superscript"/>
              </w:rPr>
              <w:t>99</w:t>
            </w:r>
            <w:r w:rsidRPr="000E2797">
              <w:rPr>
                <w:rFonts w:ascii="Arial" w:eastAsia="Times New Roman" w:hAnsi="Arial" w:cs="Arial"/>
                <w:sz w:val="18"/>
                <w:szCs w:val="18"/>
              </w:rPr>
              <w:br/>
              <w:t>See also: DREAM Trial Investigators, 2006a</w:t>
            </w:r>
            <w:r w:rsidRPr="000E2797">
              <w:rPr>
                <w:rFonts w:ascii="Arial" w:eastAsia="Times New Roman" w:hAnsi="Arial" w:cs="Arial"/>
                <w:sz w:val="18"/>
                <w:szCs w:val="18"/>
                <w:vertAlign w:val="superscript"/>
              </w:rPr>
              <w:t>14</w:t>
            </w:r>
            <w:r w:rsidRPr="000E2797">
              <w:rPr>
                <w:rFonts w:ascii="Arial" w:eastAsia="Times New Roman" w:hAnsi="Arial" w:cs="Arial"/>
                <w:sz w:val="18"/>
                <w:szCs w:val="18"/>
              </w:rPr>
              <w:t xml:space="preserve"> and DREAM Trial Investigators, 2006b</w:t>
            </w:r>
            <w:r w:rsidRPr="000E2797">
              <w:rPr>
                <w:rFonts w:ascii="Arial" w:eastAsia="Times New Roman" w:hAnsi="Arial" w:cs="Arial"/>
                <w:sz w:val="18"/>
                <w:szCs w:val="18"/>
                <w:vertAlign w:val="superscript"/>
              </w:rPr>
              <w:t>15</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RCT (2X2 factorial design)</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191 Centers</w:t>
            </w:r>
            <w:r w:rsidRPr="000E2797">
              <w:rPr>
                <w:rFonts w:ascii="Arial" w:eastAsia="Times New Roman" w:hAnsi="Arial" w:cs="Arial"/>
                <w:sz w:val="18"/>
                <w:szCs w:val="18"/>
              </w:rPr>
              <w:br/>
              <w:t>21 countries</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A. Ramapril 15 mg/day (n=2623)</w:t>
            </w:r>
            <w:r w:rsidRPr="000E2797">
              <w:rPr>
                <w:rFonts w:ascii="Arial" w:eastAsia="Times New Roman" w:hAnsi="Arial" w:cs="Arial"/>
                <w:sz w:val="18"/>
                <w:szCs w:val="18"/>
              </w:rPr>
              <w:br/>
              <w:t>B. Placebo (n=2646)</w:t>
            </w:r>
            <w:r w:rsidRPr="000E2797">
              <w:rPr>
                <w:rFonts w:ascii="Arial" w:eastAsia="Times New Roman" w:hAnsi="Arial" w:cs="Arial"/>
                <w:sz w:val="18"/>
                <w:szCs w:val="18"/>
              </w:rPr>
              <w:br/>
              <w:t>C. Rosiglitazone 0.8mg/day (n=2635)</w:t>
            </w:r>
            <w:r w:rsidRPr="000E2797">
              <w:rPr>
                <w:rFonts w:ascii="Arial" w:eastAsia="Times New Roman" w:hAnsi="Arial" w:cs="Arial"/>
                <w:sz w:val="18"/>
                <w:szCs w:val="18"/>
              </w:rPr>
              <w:br/>
              <w:t>D. Placebo (n=2634)</w:t>
            </w:r>
            <w:r w:rsidRPr="000E2797">
              <w:rPr>
                <w:rFonts w:ascii="Arial" w:eastAsia="Times New Roman" w:hAnsi="Arial" w:cs="Arial"/>
                <w:sz w:val="18"/>
                <w:szCs w:val="18"/>
              </w:rPr>
              <w:br/>
              <w:t>*Patients randomized twice, to Ramapril or placebo and Rosiglitazone or placebo</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Mean followup: 3 years</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B &amp; C vs. D</w:t>
            </w:r>
            <w:r w:rsidRPr="000E2797">
              <w:rPr>
                <w:rFonts w:ascii="Arial" w:eastAsia="Times New Roman" w:hAnsi="Arial" w:cs="Arial"/>
                <w:sz w:val="18"/>
                <w:szCs w:val="18"/>
              </w:rPr>
              <w:br/>
              <w:t>Mean age: 55 vs. 55 years &amp; 55 vs. 55 years</w:t>
            </w:r>
            <w:r w:rsidRPr="000E2797">
              <w:rPr>
                <w:rFonts w:ascii="Arial" w:eastAsia="Times New Roman" w:hAnsi="Arial" w:cs="Arial"/>
                <w:sz w:val="18"/>
                <w:szCs w:val="18"/>
              </w:rPr>
              <w:br/>
              <w:t>Female sex: 59.7% vs. 58.7% &amp; 58.3% vs. 60.1%</w:t>
            </w:r>
            <w:r w:rsidRPr="000E2797">
              <w:rPr>
                <w:rFonts w:ascii="Arial" w:eastAsia="Times New Roman" w:hAnsi="Arial" w:cs="Arial"/>
                <w:sz w:val="18"/>
                <w:szCs w:val="18"/>
              </w:rPr>
              <w:br/>
              <w:t>Race: NR</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Ages &gt;30 yrs with IFG(6.1-7.0 mmol/L) and/or IGT by 2hr OGTT 7.8-11.0 mmol/L</w:t>
            </w:r>
            <w:r w:rsidRPr="000E2797">
              <w:rPr>
                <w:rFonts w:ascii="Arial" w:eastAsia="Times New Roman" w:hAnsi="Arial" w:cs="Arial"/>
                <w:sz w:val="18"/>
                <w:szCs w:val="18"/>
              </w:rPr>
              <w:br/>
              <w:t>Exclude: LVEF &lt; 40%, CHF, Documented CVD: ischemic heart disease, intermittent claudication, stroke, Uncontrolled Htn requiring ACE or ARB, Renal artery stenosis, Serum creatinine &gt; 2.26 mg/dl, or creatinine clearance &lt; 0.6 ml/s, or clinical proteinuria.</w:t>
            </w:r>
          </w:p>
        </w:tc>
      </w:tr>
      <w:tr w:rsidR="005023CA" w:rsidRPr="000E2797" w:rsidTr="005023CA">
        <w:trPr>
          <w:cantSplit/>
        </w:trPr>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lastRenderedPageBreak/>
              <w:t>Florez, 2012</w:t>
            </w:r>
            <w:r w:rsidRPr="000E2797">
              <w:rPr>
                <w:rFonts w:ascii="Arial" w:eastAsia="Times New Roman" w:hAnsi="Arial" w:cs="Arial"/>
                <w:sz w:val="18"/>
                <w:szCs w:val="18"/>
                <w:vertAlign w:val="superscript"/>
              </w:rPr>
              <w:t>100</w:t>
            </w:r>
            <w:r w:rsidRPr="000E2797">
              <w:rPr>
                <w:rFonts w:ascii="Arial" w:eastAsia="Times New Roman" w:hAnsi="Arial" w:cs="Arial"/>
                <w:sz w:val="18"/>
                <w:szCs w:val="18"/>
              </w:rPr>
              <w:br/>
              <w:t>DPP</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RCT</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27 centers</w:t>
            </w:r>
            <w:r w:rsidRPr="000E2797">
              <w:rPr>
                <w:rFonts w:ascii="Arial" w:eastAsia="Times New Roman" w:hAnsi="Arial" w:cs="Arial"/>
                <w:sz w:val="18"/>
                <w:szCs w:val="18"/>
              </w:rPr>
              <w:br/>
              <w:t>United States</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A. Intensive lifestyle intervention, including diet and exercise to achieve modest weight reduction (n=1048)</w:t>
            </w:r>
            <w:r w:rsidRPr="000E2797">
              <w:rPr>
                <w:rFonts w:ascii="Arial" w:eastAsia="Times New Roman" w:hAnsi="Arial" w:cs="Arial"/>
                <w:sz w:val="18"/>
                <w:szCs w:val="18"/>
              </w:rPr>
              <w:br/>
              <w:t>B. Metformin 850 mg/twice daily (n=1043)</w:t>
            </w:r>
            <w:r w:rsidRPr="000E2797">
              <w:rPr>
                <w:rFonts w:ascii="Arial" w:eastAsia="Times New Roman" w:hAnsi="Arial" w:cs="Arial"/>
                <w:sz w:val="18"/>
                <w:szCs w:val="18"/>
              </w:rPr>
              <w:br/>
              <w:t>C. Placebo (n=1041)</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Study duration: 5 years</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B vs. C</w:t>
            </w:r>
            <w:r w:rsidRPr="000E2797">
              <w:rPr>
                <w:rFonts w:ascii="Arial" w:eastAsia="Times New Roman" w:hAnsi="Arial" w:cs="Arial"/>
                <w:sz w:val="18"/>
                <w:szCs w:val="18"/>
              </w:rPr>
              <w:br/>
              <w:t>Mean age: 51 vs. 51 vs. 50 years</w:t>
            </w:r>
            <w:r w:rsidRPr="000E2797">
              <w:rPr>
                <w:rFonts w:ascii="Arial" w:eastAsia="Times New Roman" w:hAnsi="Arial" w:cs="Arial"/>
                <w:sz w:val="18"/>
                <w:szCs w:val="18"/>
              </w:rPr>
              <w:br/>
              <w:t>Female sex: 68% vs. 66% vs. 69%</w:t>
            </w:r>
            <w:r w:rsidRPr="000E2797">
              <w:rPr>
                <w:rFonts w:ascii="Arial" w:eastAsia="Times New Roman" w:hAnsi="Arial" w:cs="Arial"/>
                <w:sz w:val="18"/>
                <w:szCs w:val="18"/>
              </w:rPr>
              <w:br/>
              <w:t>Race: 54% White, 19% Black, 17% Hispanic, 9% Other vs. 56% White, 21% Black, 15% Hispanic, 8% Other vs. 54% White, 20% Black, 16% Hispanic, 10% Other</w:t>
            </w:r>
            <w:r w:rsidRPr="000E2797">
              <w:rPr>
                <w:rFonts w:ascii="Arial" w:eastAsia="Times New Roman" w:hAnsi="Arial" w:cs="Arial"/>
                <w:sz w:val="18"/>
                <w:szCs w:val="18"/>
              </w:rPr>
              <w:br/>
              <w:t>Mean BMI: 33.9 vs. 33.9 vs. 34.2</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 xml:space="preserve">Age </w:t>
            </w:r>
            <w:r w:rsidRPr="000E2797">
              <w:rPr>
                <w:rFonts w:ascii="Arial" w:eastAsia="Times New Roman" w:hAnsi="Arial" w:cs="Arial"/>
                <w:sz w:val="18"/>
                <w:szCs w:val="18"/>
                <w:u w:val="single"/>
              </w:rPr>
              <w:t>&gt;</w:t>
            </w:r>
            <w:r w:rsidRPr="000E2797">
              <w:rPr>
                <w:rFonts w:ascii="Arial" w:eastAsia="Times New Roman" w:hAnsi="Arial" w:cs="Arial"/>
                <w:sz w:val="18"/>
                <w:szCs w:val="18"/>
              </w:rPr>
              <w:t xml:space="preserve">25 years, BMI </w:t>
            </w:r>
            <w:r w:rsidRPr="000E2797">
              <w:rPr>
                <w:rFonts w:ascii="Arial" w:eastAsia="Times New Roman" w:hAnsi="Arial" w:cs="Arial"/>
                <w:sz w:val="18"/>
                <w:szCs w:val="18"/>
                <w:u w:val="single"/>
              </w:rPr>
              <w:t>&gt;</w:t>
            </w:r>
            <w:r w:rsidRPr="000E2797">
              <w:rPr>
                <w:rFonts w:ascii="Arial" w:eastAsia="Times New Roman" w:hAnsi="Arial" w:cs="Arial"/>
                <w:sz w:val="18"/>
                <w:szCs w:val="18"/>
              </w:rPr>
              <w:t>24 (</w:t>
            </w:r>
            <w:r w:rsidRPr="000E2797">
              <w:rPr>
                <w:rFonts w:ascii="Arial" w:eastAsia="Times New Roman" w:hAnsi="Arial" w:cs="Arial"/>
                <w:sz w:val="18"/>
                <w:szCs w:val="18"/>
                <w:u w:val="single"/>
              </w:rPr>
              <w:t>&gt;</w:t>
            </w:r>
            <w:r w:rsidRPr="000E2797">
              <w:rPr>
                <w:rFonts w:ascii="Arial" w:eastAsia="Times New Roman" w:hAnsi="Arial" w:cs="Arial"/>
                <w:sz w:val="18"/>
                <w:szCs w:val="18"/>
              </w:rPr>
              <w:t>22 in Asian Americans), fasting plasma glucose between 95 and 125 mg/dL, and IGT</w:t>
            </w:r>
            <w:r w:rsidRPr="000E2797">
              <w:rPr>
                <w:rFonts w:ascii="Arial" w:eastAsia="Times New Roman" w:hAnsi="Arial" w:cs="Arial"/>
                <w:sz w:val="18"/>
                <w:szCs w:val="18"/>
              </w:rPr>
              <w:br/>
              <w:t>Exclude: Patients taking medication known to affect glucose tolerance or having illness likely to reduce life expectancy or ability to participate</w:t>
            </w:r>
          </w:p>
        </w:tc>
      </w:tr>
      <w:tr w:rsidR="005023CA" w:rsidRPr="000E2797" w:rsidTr="005023CA">
        <w:trPr>
          <w:cantSplit/>
        </w:trPr>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Kawamori,</w:t>
            </w:r>
            <w:r w:rsidRPr="000E2797">
              <w:rPr>
                <w:rFonts w:ascii="Arial" w:eastAsia="Times New Roman" w:hAnsi="Arial" w:cs="Arial"/>
                <w:sz w:val="18"/>
                <w:szCs w:val="18"/>
              </w:rPr>
              <w:br/>
              <w:t>2009</w:t>
            </w:r>
            <w:r w:rsidRPr="000E2797">
              <w:rPr>
                <w:rFonts w:ascii="Arial" w:eastAsia="Times New Roman" w:hAnsi="Arial" w:cs="Arial"/>
                <w:sz w:val="18"/>
                <w:szCs w:val="18"/>
                <w:vertAlign w:val="superscript"/>
              </w:rPr>
              <w:t>101</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RCT</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103 Japanese institutions</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A. Voglibose 0.2 mg/day (n=897)</w:t>
            </w:r>
            <w:r w:rsidRPr="000E2797">
              <w:rPr>
                <w:rFonts w:ascii="Arial" w:eastAsia="Times New Roman" w:hAnsi="Arial" w:cs="Arial"/>
                <w:sz w:val="18"/>
                <w:szCs w:val="18"/>
              </w:rPr>
              <w:br/>
              <w:t>B. Placebo (n=881)</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Study duration: 5 years</w:t>
            </w:r>
            <w:r w:rsidRPr="000E2797">
              <w:rPr>
                <w:rFonts w:ascii="Arial" w:eastAsia="Times New Roman" w:hAnsi="Arial" w:cs="Arial"/>
                <w:sz w:val="18"/>
                <w:szCs w:val="18"/>
              </w:rPr>
              <w:br/>
              <w:t>Mean followup: 3 years</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B</w:t>
            </w:r>
            <w:r w:rsidRPr="000E2797">
              <w:rPr>
                <w:rFonts w:ascii="Arial" w:eastAsia="Times New Roman" w:hAnsi="Arial" w:cs="Arial"/>
                <w:sz w:val="18"/>
                <w:szCs w:val="18"/>
              </w:rPr>
              <w:br/>
              <w:t>Mean age 55.7 vs. 55.7 years</w:t>
            </w:r>
            <w:r w:rsidRPr="000E2797">
              <w:rPr>
                <w:rFonts w:ascii="Arial" w:eastAsia="Times New Roman" w:hAnsi="Arial" w:cs="Arial"/>
                <w:sz w:val="18"/>
                <w:szCs w:val="18"/>
              </w:rPr>
              <w:br/>
              <w:t>Female sex: 40% vs. 40%</w:t>
            </w:r>
            <w:r w:rsidRPr="000E2797">
              <w:rPr>
                <w:rFonts w:ascii="Arial" w:eastAsia="Times New Roman" w:hAnsi="Arial" w:cs="Arial"/>
                <w:sz w:val="18"/>
                <w:szCs w:val="18"/>
              </w:rPr>
              <w:br/>
              <w:t>Race: NR</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Ages 30-70, FPG &lt;6.9 mmol/L, 2hr OGTT 7.8-11.0 mmol/L, hbA1c &lt;6.5, and one RF from metabolic syndrome or FHx</w:t>
            </w:r>
            <w:r w:rsidRPr="000E2797">
              <w:rPr>
                <w:rFonts w:ascii="Arial" w:eastAsia="Times New Roman" w:hAnsi="Arial" w:cs="Arial"/>
                <w:sz w:val="18"/>
                <w:szCs w:val="18"/>
              </w:rPr>
              <w:br/>
              <w:t>Exclude: diabetes and disease likely to impair GT</w:t>
            </w:r>
          </w:p>
        </w:tc>
      </w:tr>
      <w:tr w:rsidR="005023CA" w:rsidRPr="000E2797" w:rsidTr="005023CA">
        <w:trPr>
          <w:cantSplit/>
        </w:trPr>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Li, 2008</w:t>
            </w:r>
            <w:r w:rsidRPr="000E2797">
              <w:rPr>
                <w:rFonts w:ascii="Arial" w:eastAsia="Times New Roman" w:hAnsi="Arial" w:cs="Arial"/>
                <w:sz w:val="18"/>
                <w:szCs w:val="18"/>
                <w:vertAlign w:val="superscript"/>
              </w:rPr>
              <w:t xml:space="preserve">102 </w:t>
            </w:r>
            <w:r w:rsidRPr="000E2797">
              <w:rPr>
                <w:rFonts w:ascii="Arial" w:eastAsia="Times New Roman" w:hAnsi="Arial" w:cs="Arial"/>
                <w:sz w:val="18"/>
                <w:szCs w:val="18"/>
              </w:rPr>
              <w:t>and Li, 2014</w:t>
            </w:r>
            <w:r w:rsidRPr="000E2797">
              <w:rPr>
                <w:rFonts w:ascii="Arial" w:eastAsia="Times New Roman" w:hAnsi="Arial" w:cs="Arial"/>
                <w:sz w:val="18"/>
                <w:szCs w:val="18"/>
                <w:vertAlign w:val="superscript"/>
              </w:rPr>
              <w:t>110</w:t>
            </w:r>
            <w:r w:rsidRPr="000E2797">
              <w:rPr>
                <w:rFonts w:ascii="Arial" w:eastAsia="Times New Roman" w:hAnsi="Arial" w:cs="Arial"/>
                <w:sz w:val="18"/>
                <w:szCs w:val="18"/>
              </w:rPr>
              <w:br/>
              <w:t>Da Qing</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RCT (cluster)</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33 centers</w:t>
            </w:r>
            <w:r w:rsidRPr="000E2797">
              <w:rPr>
                <w:rFonts w:ascii="Arial" w:eastAsia="Times New Roman" w:hAnsi="Arial" w:cs="Arial"/>
                <w:sz w:val="18"/>
                <w:szCs w:val="18"/>
              </w:rPr>
              <w:br/>
              <w:t>China</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 xml:space="preserve">A. Combined lifestyle, diet, or lifestyle + diet </w:t>
            </w:r>
            <w:r w:rsidRPr="000E2797">
              <w:rPr>
                <w:rFonts w:ascii="Arial" w:eastAsia="Times New Roman" w:hAnsi="Arial" w:cs="Arial"/>
                <w:sz w:val="18"/>
                <w:szCs w:val="18"/>
              </w:rPr>
              <w:br/>
              <w:t>diet interventions: increase vegetable intake and lose weight by decreasing calories from sugar and alcohol; increase leisure time and physical activity (n=438)</w:t>
            </w:r>
            <w:r w:rsidRPr="000E2797">
              <w:rPr>
                <w:rFonts w:ascii="Arial" w:eastAsia="Times New Roman" w:hAnsi="Arial" w:cs="Arial"/>
                <w:sz w:val="18"/>
                <w:szCs w:val="18"/>
              </w:rPr>
              <w:br/>
              <w:t>B. Control (n=138)</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20 year followup of Da Qing study</w:t>
            </w:r>
            <w:r w:rsidRPr="000E2797">
              <w:rPr>
                <w:rFonts w:ascii="Arial" w:eastAsia="Times New Roman" w:hAnsi="Arial" w:cs="Arial"/>
                <w:sz w:val="18"/>
                <w:szCs w:val="18"/>
              </w:rPr>
              <w:br/>
              <w:t>Mean followup: 9.4 years</w:t>
            </w:r>
            <w:r w:rsidRPr="000E2797">
              <w:rPr>
                <w:rFonts w:ascii="Arial" w:eastAsia="Times New Roman" w:hAnsi="Arial" w:cs="Arial"/>
                <w:sz w:val="18"/>
                <w:szCs w:val="18"/>
              </w:rPr>
              <w:br/>
              <w:t>intervention weekly for 1m, monthly for 3 m and every 3months after that for remainder of the study (6 years)</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B</w:t>
            </w:r>
            <w:r w:rsidRPr="000E2797">
              <w:rPr>
                <w:rFonts w:ascii="Arial" w:eastAsia="Times New Roman" w:hAnsi="Arial" w:cs="Arial"/>
                <w:sz w:val="18"/>
                <w:szCs w:val="18"/>
              </w:rPr>
              <w:br/>
              <w:t>Mean age: 45 vs. 47 years</w:t>
            </w:r>
            <w:r w:rsidRPr="000E2797">
              <w:rPr>
                <w:rFonts w:ascii="Arial" w:eastAsia="Times New Roman" w:hAnsi="Arial" w:cs="Arial"/>
                <w:sz w:val="18"/>
                <w:szCs w:val="18"/>
              </w:rPr>
              <w:br/>
              <w:t>Female sex: 47% vs. 43%</w:t>
            </w:r>
            <w:r w:rsidRPr="000E2797">
              <w:rPr>
                <w:rFonts w:ascii="Arial" w:eastAsia="Times New Roman" w:hAnsi="Arial" w:cs="Arial"/>
                <w:sz w:val="18"/>
                <w:szCs w:val="18"/>
              </w:rPr>
              <w:br/>
              <w:t>Race: NR</w:t>
            </w:r>
            <w:r w:rsidRPr="000E2797">
              <w:rPr>
                <w:rFonts w:ascii="Arial" w:eastAsia="Times New Roman" w:hAnsi="Arial" w:cs="Arial"/>
                <w:sz w:val="18"/>
                <w:szCs w:val="18"/>
              </w:rPr>
              <w:br/>
              <w:t>Mean BMI: 25.7 vs. 26.2</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Patients aged &gt;25 years, with IGT</w:t>
            </w:r>
            <w:r w:rsidRPr="000E2797">
              <w:rPr>
                <w:rFonts w:ascii="Arial" w:eastAsia="Times New Roman" w:hAnsi="Arial" w:cs="Arial"/>
                <w:sz w:val="18"/>
                <w:szCs w:val="18"/>
              </w:rPr>
              <w:br/>
              <w:t>Exclude: Not reported</w:t>
            </w:r>
          </w:p>
        </w:tc>
      </w:tr>
      <w:tr w:rsidR="005023CA" w:rsidRPr="000E2797" w:rsidTr="005023CA">
        <w:trPr>
          <w:cantSplit/>
        </w:trPr>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lastRenderedPageBreak/>
              <w:t>NAVIGATOR, 2010</w:t>
            </w:r>
            <w:r w:rsidRPr="000E2797">
              <w:rPr>
                <w:rFonts w:ascii="Arial" w:eastAsia="Times New Roman" w:hAnsi="Arial" w:cs="Arial"/>
                <w:sz w:val="18"/>
                <w:szCs w:val="18"/>
                <w:vertAlign w:val="superscript"/>
              </w:rPr>
              <w:t>103</w:t>
            </w:r>
            <w:r w:rsidRPr="000E2797">
              <w:rPr>
                <w:rFonts w:ascii="Arial" w:eastAsia="Times New Roman" w:hAnsi="Arial" w:cs="Arial"/>
                <w:sz w:val="18"/>
                <w:szCs w:val="18"/>
              </w:rPr>
              <w:br/>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RCT</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806 centers</w:t>
            </w:r>
            <w:r w:rsidRPr="000E2797">
              <w:rPr>
                <w:rFonts w:ascii="Arial" w:eastAsia="Times New Roman" w:hAnsi="Arial" w:cs="Arial"/>
                <w:sz w:val="18"/>
                <w:szCs w:val="18"/>
              </w:rPr>
              <w:br/>
              <w:t>40 countries</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A. Nateglinide 60 mg/3 times daily (n=4645)</w:t>
            </w:r>
            <w:r w:rsidRPr="000E2797">
              <w:rPr>
                <w:rFonts w:ascii="Arial" w:eastAsia="Times New Roman" w:hAnsi="Arial" w:cs="Arial"/>
                <w:sz w:val="18"/>
                <w:szCs w:val="18"/>
              </w:rPr>
              <w:br/>
              <w:t>B. Placebo (n=4661)</w:t>
            </w:r>
            <w:r w:rsidRPr="000E2797">
              <w:rPr>
                <w:rFonts w:ascii="Arial" w:eastAsia="Times New Roman" w:hAnsi="Arial" w:cs="Arial"/>
                <w:sz w:val="18"/>
                <w:szCs w:val="18"/>
              </w:rPr>
              <w:br/>
              <w:t>*Patients also randomized in 2x2 factorial design to receive valsartan or placebo</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Median followup 5 years</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B</w:t>
            </w:r>
            <w:r w:rsidRPr="000E2797">
              <w:rPr>
                <w:rFonts w:ascii="Arial" w:eastAsia="Times New Roman" w:hAnsi="Arial" w:cs="Arial"/>
                <w:sz w:val="18"/>
                <w:szCs w:val="18"/>
              </w:rPr>
              <w:br/>
              <w:t>Mean age: 64 vs. 64 years</w:t>
            </w:r>
            <w:r w:rsidRPr="000E2797">
              <w:rPr>
                <w:rFonts w:ascii="Arial" w:eastAsia="Times New Roman" w:hAnsi="Arial" w:cs="Arial"/>
                <w:sz w:val="18"/>
                <w:szCs w:val="18"/>
              </w:rPr>
              <w:br/>
              <w:t>Female sex: 51% vs. 50%</w:t>
            </w:r>
            <w:r w:rsidRPr="000E2797">
              <w:rPr>
                <w:rFonts w:ascii="Arial" w:eastAsia="Times New Roman" w:hAnsi="Arial" w:cs="Arial"/>
                <w:sz w:val="18"/>
                <w:szCs w:val="18"/>
              </w:rPr>
              <w:br/>
              <w:t>Race: 83% White, 2.6% Black, 6.7% Asian, 7.8% other vs. 83.2% White, 2.5% Black, 6.5% Asian, 7.8% other</w:t>
            </w:r>
            <w:r w:rsidRPr="000E2797">
              <w:rPr>
                <w:rFonts w:ascii="Arial" w:eastAsia="Times New Roman" w:hAnsi="Arial" w:cs="Arial"/>
                <w:sz w:val="18"/>
                <w:szCs w:val="18"/>
              </w:rPr>
              <w:br/>
              <w:t>Mean BMI: 30.5 vs. 30.5</w:t>
            </w:r>
            <w:r w:rsidRPr="000E2797">
              <w:rPr>
                <w:rFonts w:ascii="Arial" w:eastAsia="Times New Roman" w:hAnsi="Arial" w:cs="Arial"/>
                <w:sz w:val="18"/>
                <w:szCs w:val="18"/>
              </w:rPr>
              <w:br/>
              <w:t>HbA1c: 5.8 vs. 5.8</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 xml:space="preserve">Patients with IGT, fasting plasma glucose between 95 and 126 mg/dL, and one or more cardiovascular risk factor or known cardiovascular disease (for subjects aged </w:t>
            </w:r>
            <w:r w:rsidRPr="000E2797">
              <w:rPr>
                <w:rFonts w:ascii="Arial" w:eastAsia="Times New Roman" w:hAnsi="Arial" w:cs="Arial"/>
                <w:sz w:val="18"/>
                <w:szCs w:val="18"/>
                <w:u w:val="single"/>
              </w:rPr>
              <w:t>&gt;</w:t>
            </w:r>
            <w:r w:rsidRPr="000E2797">
              <w:rPr>
                <w:rFonts w:ascii="Arial" w:eastAsia="Times New Roman" w:hAnsi="Arial" w:cs="Arial"/>
                <w:sz w:val="18"/>
                <w:szCs w:val="18"/>
              </w:rPr>
              <w:t>55 years)</w:t>
            </w:r>
            <w:r w:rsidRPr="000E2797">
              <w:rPr>
                <w:rFonts w:ascii="Arial" w:eastAsia="Times New Roman" w:hAnsi="Arial" w:cs="Arial"/>
                <w:sz w:val="18"/>
                <w:szCs w:val="18"/>
              </w:rPr>
              <w:br/>
              <w:t>Exclude: Patients who had taken antidiabetic medication in the prior 5 years, had abnormal laboratory test results, or had concomitant conditions that could interfere with assessment</w:t>
            </w:r>
          </w:p>
        </w:tc>
      </w:tr>
      <w:tr w:rsidR="005023CA" w:rsidRPr="000E2797" w:rsidTr="005023CA">
        <w:trPr>
          <w:cantSplit/>
        </w:trPr>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NAVIGATOR, 2010</w:t>
            </w:r>
            <w:r w:rsidRPr="000E2797">
              <w:rPr>
                <w:rFonts w:ascii="Arial" w:eastAsia="Times New Roman" w:hAnsi="Arial" w:cs="Arial"/>
                <w:sz w:val="18"/>
                <w:szCs w:val="18"/>
                <w:vertAlign w:val="superscript"/>
              </w:rPr>
              <w:t>104</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RCT</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806 centers</w:t>
            </w:r>
            <w:r w:rsidRPr="000E2797">
              <w:rPr>
                <w:rFonts w:ascii="Arial" w:eastAsia="Times New Roman" w:hAnsi="Arial" w:cs="Arial"/>
                <w:sz w:val="18"/>
                <w:szCs w:val="18"/>
              </w:rPr>
              <w:br/>
              <w:t>40 countries</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A. Valsartan 160 mg/once daily (n=4631)</w:t>
            </w:r>
            <w:r w:rsidRPr="000E2797">
              <w:rPr>
                <w:rFonts w:ascii="Arial" w:eastAsia="Times New Roman" w:hAnsi="Arial" w:cs="Arial"/>
                <w:sz w:val="18"/>
                <w:szCs w:val="18"/>
              </w:rPr>
              <w:br/>
              <w:t>B. Placebo (n=4675)</w:t>
            </w:r>
            <w:r w:rsidRPr="000E2797">
              <w:rPr>
                <w:rFonts w:ascii="Arial" w:eastAsia="Times New Roman" w:hAnsi="Arial" w:cs="Arial"/>
                <w:sz w:val="18"/>
                <w:szCs w:val="18"/>
              </w:rPr>
              <w:br/>
              <w:t>*Patients also randomized in 2x2 factorial design to receive nateglinide or placebo</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Median followup 5 years</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B</w:t>
            </w:r>
            <w:r w:rsidRPr="000E2797">
              <w:rPr>
                <w:rFonts w:ascii="Arial" w:eastAsia="Times New Roman" w:hAnsi="Arial" w:cs="Arial"/>
                <w:sz w:val="18"/>
                <w:szCs w:val="18"/>
              </w:rPr>
              <w:br/>
              <w:t>Mean age: 64 vs. 64 years</w:t>
            </w:r>
            <w:r w:rsidRPr="000E2797">
              <w:rPr>
                <w:rFonts w:ascii="Arial" w:eastAsia="Times New Roman" w:hAnsi="Arial" w:cs="Arial"/>
                <w:sz w:val="18"/>
                <w:szCs w:val="18"/>
              </w:rPr>
              <w:br/>
              <w:t>Female sex: 50% vs. 51%</w:t>
            </w:r>
            <w:r w:rsidRPr="000E2797">
              <w:rPr>
                <w:rFonts w:ascii="Arial" w:eastAsia="Times New Roman" w:hAnsi="Arial" w:cs="Arial"/>
                <w:sz w:val="18"/>
                <w:szCs w:val="18"/>
              </w:rPr>
              <w:br/>
              <w:t>Race: 83.1% White, 2.4% Black, 6.4% Asian, 8.0% other vs. 83.1% White, 2.6% Black, 6.7% Asian, 7.5% other</w:t>
            </w:r>
            <w:r w:rsidRPr="000E2797">
              <w:rPr>
                <w:rFonts w:ascii="Arial" w:eastAsia="Times New Roman" w:hAnsi="Arial" w:cs="Arial"/>
                <w:sz w:val="18"/>
                <w:szCs w:val="18"/>
              </w:rPr>
              <w:br/>
              <w:t>Mean BMI: 30.4 vs. 30.6</w:t>
            </w:r>
            <w:r w:rsidRPr="000E2797">
              <w:rPr>
                <w:rFonts w:ascii="Arial" w:eastAsia="Times New Roman" w:hAnsi="Arial" w:cs="Arial"/>
                <w:sz w:val="18"/>
                <w:szCs w:val="18"/>
              </w:rPr>
              <w:br/>
              <w:t>HbA1c: 5.8 vs. 5.8</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Patients with IGT, fasting plasma glucose between 95 and 126 mg/dL, and one or more cardiovascular risk factor or known cardiovascular disease (for subjects aged &gt;55 years)</w:t>
            </w:r>
            <w:r w:rsidRPr="000E2797">
              <w:rPr>
                <w:rFonts w:ascii="Arial" w:eastAsia="Times New Roman" w:hAnsi="Arial" w:cs="Arial"/>
                <w:sz w:val="18"/>
                <w:szCs w:val="18"/>
              </w:rPr>
              <w:br/>
              <w:t>Exclude: Patients who had taken antidiabetic medication in the prior 5 years, had abnormal laboratory test results, or had concomitant conditions that could interfere with assessment</w:t>
            </w:r>
          </w:p>
        </w:tc>
      </w:tr>
      <w:tr w:rsidR="005023CA" w:rsidRPr="000E2797" w:rsidTr="005023CA">
        <w:trPr>
          <w:cantSplit/>
        </w:trPr>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Nijpels, 2008</w:t>
            </w:r>
            <w:r w:rsidRPr="000E2797">
              <w:rPr>
                <w:rFonts w:ascii="Arial" w:eastAsia="Times New Roman" w:hAnsi="Arial" w:cs="Arial"/>
                <w:sz w:val="18"/>
                <w:szCs w:val="18"/>
                <w:vertAlign w:val="superscript"/>
              </w:rPr>
              <w:t>105</w:t>
            </w:r>
            <w:r w:rsidRPr="000E2797">
              <w:rPr>
                <w:rFonts w:ascii="Arial" w:eastAsia="Times New Roman" w:hAnsi="Arial" w:cs="Arial"/>
                <w:sz w:val="18"/>
                <w:szCs w:val="18"/>
              </w:rPr>
              <w:br/>
              <w:t>DAISI</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RCT</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Single center</w:t>
            </w:r>
            <w:r w:rsidRPr="000E2797">
              <w:rPr>
                <w:rFonts w:ascii="Arial" w:eastAsia="Times New Roman" w:hAnsi="Arial" w:cs="Arial"/>
                <w:sz w:val="18"/>
                <w:szCs w:val="18"/>
              </w:rPr>
              <w:br/>
              <w:t>The Netherlands</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A. Acarbose 50 mg/3 times daily (n=60)</w:t>
            </w:r>
            <w:r w:rsidRPr="000E2797">
              <w:rPr>
                <w:rFonts w:ascii="Arial" w:eastAsia="Times New Roman" w:hAnsi="Arial" w:cs="Arial"/>
                <w:sz w:val="18"/>
                <w:szCs w:val="18"/>
              </w:rPr>
              <w:br/>
              <w:t>B. Placebo (n=58)</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3 years</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B</w:t>
            </w:r>
            <w:r w:rsidRPr="000E2797">
              <w:rPr>
                <w:rFonts w:ascii="Arial" w:eastAsia="Times New Roman" w:hAnsi="Arial" w:cs="Arial"/>
                <w:sz w:val="18"/>
                <w:szCs w:val="18"/>
              </w:rPr>
              <w:br/>
              <w:t>Mean age: 59 vs. 57 years</w:t>
            </w:r>
            <w:r w:rsidRPr="000E2797">
              <w:rPr>
                <w:rFonts w:ascii="Arial" w:eastAsia="Times New Roman" w:hAnsi="Arial" w:cs="Arial"/>
                <w:sz w:val="18"/>
                <w:szCs w:val="18"/>
              </w:rPr>
              <w:br/>
              <w:t>Female sex: 49% vs. 50%</w:t>
            </w:r>
            <w:r w:rsidRPr="000E2797">
              <w:rPr>
                <w:rFonts w:ascii="Arial" w:eastAsia="Times New Roman" w:hAnsi="Arial" w:cs="Arial"/>
                <w:sz w:val="18"/>
                <w:szCs w:val="18"/>
              </w:rPr>
              <w:br/>
              <w:t>Race: NR</w:t>
            </w:r>
            <w:r w:rsidRPr="000E2797">
              <w:rPr>
                <w:rFonts w:ascii="Arial" w:eastAsia="Times New Roman" w:hAnsi="Arial" w:cs="Arial"/>
                <w:sz w:val="18"/>
                <w:szCs w:val="18"/>
              </w:rPr>
              <w:br/>
              <w:t>Mean BMI: 28.4 vs. 29.5</w:t>
            </w:r>
            <w:r w:rsidRPr="000E2797">
              <w:rPr>
                <w:rFonts w:ascii="Arial" w:eastAsia="Times New Roman" w:hAnsi="Arial" w:cs="Arial"/>
                <w:sz w:val="18"/>
                <w:szCs w:val="18"/>
              </w:rPr>
              <w:br/>
              <w:t>HbA1c: 5.9 vs. 5.6</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 xml:space="preserve">Patients aged 45 to 70 years, with fasting plasma glucose </w:t>
            </w:r>
            <w:r w:rsidRPr="000E2797">
              <w:rPr>
                <w:rFonts w:ascii="Arial" w:eastAsia="Times New Roman" w:hAnsi="Arial" w:cs="Arial"/>
                <w:sz w:val="18"/>
                <w:szCs w:val="18"/>
                <w:u w:val="single"/>
              </w:rPr>
              <w:t>&gt;</w:t>
            </w:r>
            <w:r w:rsidRPr="000E2797">
              <w:rPr>
                <w:rFonts w:ascii="Arial" w:eastAsia="Times New Roman" w:hAnsi="Arial" w:cs="Arial"/>
                <w:sz w:val="18"/>
                <w:szCs w:val="18"/>
              </w:rPr>
              <w:t>7.8 mmol/L, a 2-hour plasma glucose of 8.6-11.1 mmol/L, and HbA1c</w:t>
            </w:r>
            <w:r w:rsidRPr="000E2797">
              <w:rPr>
                <w:rFonts w:ascii="Arial" w:eastAsia="Times New Roman" w:hAnsi="Arial" w:cs="Arial"/>
                <w:sz w:val="18"/>
                <w:szCs w:val="18"/>
                <w:u w:val="single"/>
              </w:rPr>
              <w:t>&lt;</w:t>
            </w:r>
            <w:r w:rsidRPr="000E2797">
              <w:rPr>
                <w:rFonts w:ascii="Arial" w:eastAsia="Times New Roman" w:hAnsi="Arial" w:cs="Arial"/>
                <w:sz w:val="18"/>
                <w:szCs w:val="18"/>
              </w:rPr>
              <w:t>7.0</w:t>
            </w:r>
            <w:r w:rsidRPr="000E2797">
              <w:rPr>
                <w:rFonts w:ascii="Arial" w:eastAsia="Times New Roman" w:hAnsi="Arial" w:cs="Arial"/>
                <w:sz w:val="18"/>
                <w:szCs w:val="18"/>
              </w:rPr>
              <w:br/>
              <w:t>Exclude: Patients who failed to complete the 6-week qualification period, in which acarbose doses were up-titrated over three weeks to 50 mg/three times daily and maintained for three weeks</w:t>
            </w:r>
          </w:p>
        </w:tc>
      </w:tr>
      <w:tr w:rsidR="005023CA" w:rsidRPr="000E2797" w:rsidTr="005023CA">
        <w:trPr>
          <w:cantSplit/>
        </w:trPr>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Ramachandran, 2009</w:t>
            </w:r>
            <w:r w:rsidRPr="000E2797">
              <w:rPr>
                <w:rFonts w:ascii="Arial" w:eastAsia="Times New Roman" w:hAnsi="Arial" w:cs="Arial"/>
                <w:sz w:val="18"/>
                <w:szCs w:val="18"/>
                <w:vertAlign w:val="superscript"/>
              </w:rPr>
              <w:t>106</w:t>
            </w:r>
            <w:r w:rsidRPr="000E2797">
              <w:rPr>
                <w:rFonts w:ascii="Arial" w:eastAsia="Times New Roman" w:hAnsi="Arial" w:cs="Arial"/>
                <w:sz w:val="18"/>
                <w:szCs w:val="18"/>
              </w:rPr>
              <w:br/>
              <w:t>IDPP-2</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RCT</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Clinics in India enrolled patient from railway and electric industry</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A. Pioglitazone (n=181)</w:t>
            </w:r>
            <w:r w:rsidRPr="000E2797">
              <w:rPr>
                <w:rFonts w:ascii="Arial" w:eastAsia="Times New Roman" w:hAnsi="Arial" w:cs="Arial"/>
                <w:sz w:val="18"/>
                <w:szCs w:val="18"/>
              </w:rPr>
              <w:br/>
              <w:t>B. Placebo (n=186)</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Mean follow up 3 years</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B</w:t>
            </w:r>
            <w:r w:rsidRPr="000E2797">
              <w:rPr>
                <w:rFonts w:ascii="Arial" w:eastAsia="Times New Roman" w:hAnsi="Arial" w:cs="Arial"/>
                <w:sz w:val="18"/>
                <w:szCs w:val="18"/>
              </w:rPr>
              <w:br/>
              <w:t>Mean age 45.1 vs. 45.5</w:t>
            </w:r>
            <w:r w:rsidRPr="000E2797">
              <w:rPr>
                <w:rFonts w:ascii="Arial" w:eastAsia="Times New Roman" w:hAnsi="Arial" w:cs="Arial"/>
                <w:sz w:val="18"/>
                <w:szCs w:val="18"/>
              </w:rPr>
              <w:br/>
              <w:t>Female sex: 13% vs. 14%</w:t>
            </w:r>
            <w:r w:rsidRPr="000E2797">
              <w:rPr>
                <w:rFonts w:ascii="Arial" w:eastAsia="Times New Roman" w:hAnsi="Arial" w:cs="Arial"/>
                <w:sz w:val="18"/>
                <w:szCs w:val="18"/>
              </w:rPr>
              <w:br/>
              <w:t>Race: NR</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Ages 35-55, IGT 7.8-11.1 mmol/L</w:t>
            </w:r>
            <w:r w:rsidRPr="000E2797">
              <w:rPr>
                <w:rFonts w:ascii="Arial" w:eastAsia="Times New Roman" w:hAnsi="Arial" w:cs="Arial"/>
                <w:sz w:val="18"/>
                <w:szCs w:val="18"/>
              </w:rPr>
              <w:br/>
              <w:t>Exclude: coronary artery disease, stroke history, major Q wave abnormality, liver disorders, kidney disorders</w:t>
            </w:r>
          </w:p>
        </w:tc>
      </w:tr>
      <w:tr w:rsidR="005023CA" w:rsidRPr="000E2797" w:rsidTr="005023CA">
        <w:trPr>
          <w:cantSplit/>
        </w:trPr>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lastRenderedPageBreak/>
              <w:t>Uusitupa, 2009</w:t>
            </w:r>
            <w:r w:rsidRPr="000E2797">
              <w:rPr>
                <w:rFonts w:ascii="Arial" w:eastAsia="Times New Roman" w:hAnsi="Arial" w:cs="Arial"/>
                <w:sz w:val="18"/>
                <w:szCs w:val="18"/>
                <w:vertAlign w:val="superscript"/>
              </w:rPr>
              <w:t>108</w:t>
            </w:r>
            <w:r w:rsidRPr="000E2797">
              <w:rPr>
                <w:rFonts w:ascii="Arial" w:eastAsia="Times New Roman" w:hAnsi="Arial" w:cs="Arial"/>
                <w:sz w:val="18"/>
                <w:szCs w:val="18"/>
              </w:rPr>
              <w:br/>
              <w:t>Finnish DPS</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RCT</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5 centers Finland</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A. Intensive diet and counseling group (n=257)</w:t>
            </w:r>
            <w:r w:rsidRPr="000E2797">
              <w:rPr>
                <w:rFonts w:ascii="Arial" w:eastAsia="Times New Roman" w:hAnsi="Arial" w:cs="Arial"/>
                <w:sz w:val="18"/>
                <w:szCs w:val="18"/>
              </w:rPr>
              <w:br/>
              <w:t>B. Control group (n=248)</w:t>
            </w:r>
            <w:r w:rsidRPr="000E2797">
              <w:rPr>
                <w:rFonts w:ascii="Arial" w:eastAsia="Times New Roman" w:hAnsi="Arial" w:cs="Arial"/>
                <w:sz w:val="18"/>
                <w:szCs w:val="18"/>
              </w:rPr>
              <w:br/>
              <w:t>C. Normal FINDRISK Cohort (n=1570)</w:t>
            </w:r>
            <w:r w:rsidRPr="000E2797">
              <w:rPr>
                <w:rFonts w:ascii="Arial" w:eastAsia="Times New Roman" w:hAnsi="Arial" w:cs="Arial"/>
                <w:sz w:val="18"/>
                <w:szCs w:val="18"/>
              </w:rPr>
              <w:br/>
              <w:t>D. IGT FINDRISK Cohort (n=183)</w:t>
            </w:r>
            <w:r w:rsidRPr="000E2797">
              <w:rPr>
                <w:rFonts w:ascii="Arial" w:eastAsia="Times New Roman" w:hAnsi="Arial" w:cs="Arial"/>
                <w:sz w:val="18"/>
                <w:szCs w:val="18"/>
              </w:rPr>
              <w:br/>
              <w:t>E. Screen-detected FINDRISK Cohort (n=59)</w:t>
            </w:r>
            <w:r w:rsidRPr="000E2797">
              <w:rPr>
                <w:rFonts w:ascii="Arial" w:eastAsia="Times New Roman" w:hAnsi="Arial" w:cs="Arial"/>
                <w:sz w:val="18"/>
                <w:szCs w:val="18"/>
              </w:rPr>
              <w:br/>
              <w:t>F. Previously diagnosed FINDRISK Cohort (n=69)</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and B</w:t>
            </w:r>
            <w:r w:rsidRPr="000E2797">
              <w:rPr>
                <w:rFonts w:ascii="Arial" w:eastAsia="Times New Roman" w:hAnsi="Arial" w:cs="Arial"/>
                <w:sz w:val="18"/>
                <w:szCs w:val="18"/>
              </w:rPr>
              <w:t>: 10.6 yrs</w:t>
            </w:r>
            <w:r w:rsidRPr="000E2797">
              <w:rPr>
                <w:rFonts w:ascii="Arial" w:eastAsia="Times New Roman" w:hAnsi="Arial" w:cs="Arial"/>
                <w:sz w:val="18"/>
                <w:szCs w:val="18"/>
              </w:rPr>
              <w:br/>
            </w:r>
            <w:r w:rsidRPr="000E2797">
              <w:rPr>
                <w:rFonts w:ascii="Arial" w:eastAsia="Times New Roman" w:hAnsi="Arial" w:cs="Arial"/>
                <w:b/>
                <w:bCs/>
                <w:sz w:val="18"/>
                <w:szCs w:val="18"/>
              </w:rPr>
              <w:t>C-F</w:t>
            </w:r>
            <w:r w:rsidRPr="000E2797">
              <w:rPr>
                <w:rFonts w:ascii="Arial" w:eastAsia="Times New Roman" w:hAnsi="Arial" w:cs="Arial"/>
                <w:sz w:val="18"/>
                <w:szCs w:val="18"/>
              </w:rPr>
              <w:t>: 13.8 yrs</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B vs. C vs. D vs. E vs. F</w:t>
            </w:r>
            <w:r w:rsidRPr="000E2797">
              <w:rPr>
                <w:rFonts w:ascii="Arial" w:eastAsia="Times New Roman" w:hAnsi="Arial" w:cs="Arial"/>
                <w:sz w:val="18"/>
                <w:szCs w:val="18"/>
              </w:rPr>
              <w:br/>
              <w:t>Mean age:55.4 vs. 55.0 vs. 53.7 vs. 55.8 vs. 55.9 vs. 55.6</w:t>
            </w:r>
            <w:r w:rsidRPr="000E2797">
              <w:rPr>
                <w:rFonts w:ascii="Arial" w:eastAsia="Times New Roman" w:hAnsi="Arial" w:cs="Arial"/>
                <w:sz w:val="18"/>
                <w:szCs w:val="18"/>
              </w:rPr>
              <w:br/>
              <w:t>Female sex: 66% vs. 68% vs. 59% vs. 49% vs. 45% vs. 49%</w:t>
            </w:r>
            <w:r w:rsidRPr="000E2797">
              <w:rPr>
                <w:rFonts w:ascii="Arial" w:eastAsia="Times New Roman" w:hAnsi="Arial" w:cs="Arial"/>
                <w:sz w:val="18"/>
                <w:szCs w:val="18"/>
              </w:rPr>
              <w:br/>
              <w:t>Race: NR</w:t>
            </w:r>
            <w:r w:rsidRPr="000E2797">
              <w:rPr>
                <w:rFonts w:ascii="Arial" w:eastAsia="Times New Roman" w:hAnsi="Arial" w:cs="Arial"/>
                <w:sz w:val="18"/>
                <w:szCs w:val="18"/>
              </w:rPr>
              <w:br/>
              <w:t>BMI: 31.4 vs. 31.2 vs. 26.8 vs. 29.8 vs. 31.7 vs. 30.5</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Age 40-64, BMI &gt;25, 2 -2hr OGTT with IGT result according to WHO 1985 criteria</w:t>
            </w:r>
            <w:r w:rsidRPr="000E2797">
              <w:rPr>
                <w:rFonts w:ascii="Arial" w:eastAsia="Times New Roman" w:hAnsi="Arial" w:cs="Arial"/>
                <w:sz w:val="18"/>
                <w:szCs w:val="18"/>
              </w:rPr>
              <w:br/>
              <w:t>Exclude: Recent within 6 m CVD event</w:t>
            </w:r>
          </w:p>
        </w:tc>
      </w:tr>
      <w:tr w:rsidR="005023CA" w:rsidRPr="000E2797" w:rsidTr="005023CA">
        <w:trPr>
          <w:cantSplit/>
        </w:trPr>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Zinman, 2010</w:t>
            </w:r>
            <w:r w:rsidRPr="000E2797">
              <w:rPr>
                <w:rFonts w:ascii="Arial" w:eastAsia="Times New Roman" w:hAnsi="Arial" w:cs="Arial"/>
                <w:sz w:val="18"/>
                <w:szCs w:val="18"/>
                <w:vertAlign w:val="superscript"/>
              </w:rPr>
              <w:t>109</w:t>
            </w:r>
            <w:r w:rsidRPr="000E2797">
              <w:rPr>
                <w:rFonts w:ascii="Arial" w:eastAsia="Times New Roman" w:hAnsi="Arial" w:cs="Arial"/>
                <w:sz w:val="18"/>
                <w:szCs w:val="18"/>
              </w:rPr>
              <w:br/>
              <w:t>CANOE</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RCT</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2 centers</w:t>
            </w:r>
            <w:r w:rsidRPr="000E2797">
              <w:rPr>
                <w:rFonts w:ascii="Arial" w:eastAsia="Times New Roman" w:hAnsi="Arial" w:cs="Arial"/>
                <w:sz w:val="18"/>
                <w:szCs w:val="18"/>
              </w:rPr>
              <w:br/>
              <w:t>Canada</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A. Metformin 500 mg plus rosiglitazone 2 mg/twice daily as a fixed dose combination (n=103)</w:t>
            </w:r>
            <w:r w:rsidRPr="000E2797">
              <w:rPr>
                <w:rFonts w:ascii="Arial" w:eastAsia="Times New Roman" w:hAnsi="Arial" w:cs="Arial"/>
                <w:sz w:val="18"/>
                <w:szCs w:val="18"/>
              </w:rPr>
              <w:br/>
              <w:t>B. Placebo (n=104)</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Median followup: 3.9 years</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B</w:t>
            </w:r>
            <w:r w:rsidRPr="000E2797">
              <w:rPr>
                <w:rFonts w:ascii="Arial" w:eastAsia="Times New Roman" w:hAnsi="Arial" w:cs="Arial"/>
                <w:sz w:val="18"/>
                <w:szCs w:val="18"/>
              </w:rPr>
              <w:br/>
              <w:t>Mean age: 50 vs. 55 years</w:t>
            </w:r>
            <w:r w:rsidRPr="000E2797">
              <w:rPr>
                <w:rFonts w:ascii="Arial" w:eastAsia="Times New Roman" w:hAnsi="Arial" w:cs="Arial"/>
                <w:sz w:val="18"/>
                <w:szCs w:val="18"/>
              </w:rPr>
              <w:br/>
              <w:t>Female sex: 65% vs. 68%</w:t>
            </w:r>
            <w:r w:rsidRPr="000E2797">
              <w:rPr>
                <w:rFonts w:ascii="Arial" w:eastAsia="Times New Roman" w:hAnsi="Arial" w:cs="Arial"/>
                <w:sz w:val="18"/>
                <w:szCs w:val="18"/>
              </w:rPr>
              <w:br/>
              <w:t>Race: 74.8% White, 7.8% South Asian, 6.8% Latino, 10.7% other vs. 74% White, 6.8% South Asian, 6.7% Latino, 12.5% other</w:t>
            </w:r>
            <w:r w:rsidRPr="000E2797">
              <w:rPr>
                <w:rFonts w:ascii="Arial" w:eastAsia="Times New Roman" w:hAnsi="Arial" w:cs="Arial"/>
                <w:sz w:val="18"/>
                <w:szCs w:val="18"/>
              </w:rPr>
              <w:br/>
              <w:t>Mean BMI: 31.3 vs. 32.0</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 xml:space="preserve">Residents of Ontario, Canada, aged 30 to 75 years (18 to 75 years for those of Canadian native ancestry), with at least one risk factor </w:t>
            </w:r>
          </w:p>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for diabetes, diagnosed with IGT based on fasting plasma glucose test and OGTT</w:t>
            </w:r>
            <w:r w:rsidRPr="000E2797">
              <w:rPr>
                <w:rFonts w:ascii="Arial" w:eastAsia="Times New Roman" w:hAnsi="Arial" w:cs="Arial"/>
                <w:sz w:val="18"/>
                <w:szCs w:val="18"/>
              </w:rPr>
              <w:br/>
              <w:t>Exclude: Current use of metformin or rosiglitazone, previous use of an anti-diabetes medication (except to treat gestational diabetes), significant hepatic disease, or renal dysfunction</w:t>
            </w:r>
          </w:p>
        </w:tc>
      </w:tr>
    </w:tbl>
    <w:p w:rsidR="005023CA" w:rsidRDefault="005023CA" w:rsidP="005023C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920"/>
        <w:gridCol w:w="1834"/>
        <w:gridCol w:w="3206"/>
        <w:gridCol w:w="1996"/>
        <w:gridCol w:w="732"/>
        <w:gridCol w:w="3330"/>
      </w:tblGrid>
      <w:tr w:rsidR="005023CA" w:rsidRPr="000E2797" w:rsidTr="005023CA">
        <w:trPr>
          <w:cantSplit/>
          <w:tblHeader/>
        </w:trPr>
        <w:tc>
          <w:tcPr>
            <w:tcW w:w="0" w:type="auto"/>
            <w:shd w:val="clear" w:color="auto" w:fill="D9D9D9"/>
            <w:vAlign w:val="bottom"/>
            <w:hideMark/>
          </w:tcPr>
          <w:p w:rsidR="005023CA" w:rsidRPr="000E2797" w:rsidRDefault="005023CA" w:rsidP="005023CA">
            <w:pPr>
              <w:rPr>
                <w:rFonts w:ascii="Arial" w:eastAsia="Times New Roman" w:hAnsi="Arial" w:cs="Arial"/>
                <w:b/>
                <w:bCs/>
                <w:sz w:val="18"/>
                <w:szCs w:val="18"/>
              </w:rPr>
            </w:pPr>
            <w:r w:rsidRPr="000E2797">
              <w:rPr>
                <w:rFonts w:ascii="Arial" w:eastAsia="Times New Roman" w:hAnsi="Arial" w:cs="Arial"/>
                <w:b/>
                <w:bCs/>
                <w:sz w:val="18"/>
                <w:szCs w:val="18"/>
              </w:rPr>
              <w:t>Author,</w:t>
            </w:r>
            <w:r>
              <w:rPr>
                <w:rFonts w:ascii="Arial" w:eastAsia="Times New Roman" w:hAnsi="Arial" w:cs="Arial"/>
                <w:b/>
                <w:bCs/>
                <w:sz w:val="18"/>
                <w:szCs w:val="18"/>
              </w:rPr>
              <w:t xml:space="preserve"> </w:t>
            </w:r>
            <w:r w:rsidRPr="000E2797">
              <w:rPr>
                <w:rFonts w:ascii="Arial" w:eastAsia="Times New Roman" w:hAnsi="Arial" w:cs="Arial"/>
                <w:b/>
                <w:bCs/>
                <w:sz w:val="18"/>
                <w:szCs w:val="18"/>
              </w:rPr>
              <w:t>Year</w:t>
            </w:r>
          </w:p>
        </w:tc>
        <w:tc>
          <w:tcPr>
            <w:tcW w:w="0" w:type="auto"/>
            <w:shd w:val="clear" w:color="auto" w:fill="D9D9D9"/>
            <w:vAlign w:val="bottom"/>
            <w:hideMark/>
          </w:tcPr>
          <w:p w:rsidR="005023CA" w:rsidRPr="000E2797" w:rsidRDefault="005023CA" w:rsidP="005023CA">
            <w:pPr>
              <w:ind w:right="35"/>
              <w:jc w:val="center"/>
              <w:rPr>
                <w:rFonts w:ascii="Arial" w:eastAsia="Times New Roman" w:hAnsi="Arial" w:cs="Arial"/>
                <w:b/>
                <w:bCs/>
                <w:sz w:val="18"/>
                <w:szCs w:val="18"/>
              </w:rPr>
            </w:pPr>
            <w:r w:rsidRPr="000E2797">
              <w:rPr>
                <w:rFonts w:ascii="Arial" w:eastAsia="Times New Roman" w:hAnsi="Arial" w:cs="Arial"/>
                <w:b/>
                <w:bCs/>
                <w:sz w:val="18"/>
                <w:szCs w:val="18"/>
              </w:rPr>
              <w:t>Number Screened, Eligible, Enrolled, and Analyzed; Withdrawals; Loss to Followup</w:t>
            </w:r>
          </w:p>
        </w:tc>
        <w:tc>
          <w:tcPr>
            <w:tcW w:w="0" w:type="auto"/>
            <w:shd w:val="clear" w:color="auto" w:fill="D9D9D9"/>
            <w:vAlign w:val="bottom"/>
            <w:hideMark/>
          </w:tcPr>
          <w:p w:rsidR="005023CA" w:rsidRPr="000E2797" w:rsidRDefault="005023CA" w:rsidP="005023CA">
            <w:pPr>
              <w:jc w:val="center"/>
              <w:rPr>
                <w:rFonts w:ascii="Arial" w:eastAsia="Times New Roman" w:hAnsi="Arial" w:cs="Arial"/>
                <w:b/>
                <w:bCs/>
                <w:sz w:val="18"/>
                <w:szCs w:val="18"/>
              </w:rPr>
            </w:pPr>
            <w:r w:rsidRPr="000E2797">
              <w:rPr>
                <w:rFonts w:ascii="Arial" w:eastAsia="Times New Roman" w:hAnsi="Arial" w:cs="Arial"/>
                <w:b/>
                <w:bCs/>
                <w:sz w:val="18"/>
                <w:szCs w:val="18"/>
              </w:rPr>
              <w:t>Clinical Health Outcomes</w:t>
            </w:r>
          </w:p>
        </w:tc>
        <w:tc>
          <w:tcPr>
            <w:tcW w:w="0" w:type="auto"/>
            <w:shd w:val="clear" w:color="auto" w:fill="D9D9D9"/>
            <w:vAlign w:val="bottom"/>
            <w:hideMark/>
          </w:tcPr>
          <w:p w:rsidR="005023CA" w:rsidRPr="000E2797" w:rsidRDefault="005023CA" w:rsidP="005023CA">
            <w:pPr>
              <w:jc w:val="center"/>
              <w:rPr>
                <w:rFonts w:ascii="Arial" w:eastAsia="Times New Roman" w:hAnsi="Arial" w:cs="Arial"/>
                <w:b/>
                <w:bCs/>
                <w:sz w:val="18"/>
                <w:szCs w:val="18"/>
              </w:rPr>
            </w:pPr>
            <w:r w:rsidRPr="000E2797">
              <w:rPr>
                <w:rFonts w:ascii="Arial" w:eastAsia="Times New Roman" w:hAnsi="Arial" w:cs="Arial"/>
                <w:b/>
                <w:bCs/>
                <w:sz w:val="18"/>
                <w:szCs w:val="18"/>
              </w:rPr>
              <w:t>Adverse Events</w:t>
            </w:r>
          </w:p>
        </w:tc>
        <w:tc>
          <w:tcPr>
            <w:tcW w:w="0" w:type="auto"/>
            <w:shd w:val="clear" w:color="auto" w:fill="D9D9D9"/>
            <w:vAlign w:val="bottom"/>
            <w:hideMark/>
          </w:tcPr>
          <w:p w:rsidR="005023CA" w:rsidRPr="000E2797" w:rsidRDefault="005023CA" w:rsidP="005023CA">
            <w:pPr>
              <w:jc w:val="center"/>
              <w:rPr>
                <w:rFonts w:ascii="Arial" w:eastAsia="Times New Roman" w:hAnsi="Arial" w:cs="Arial"/>
                <w:b/>
                <w:bCs/>
                <w:sz w:val="18"/>
                <w:szCs w:val="18"/>
              </w:rPr>
            </w:pPr>
            <w:r w:rsidRPr="000E2797">
              <w:rPr>
                <w:rFonts w:ascii="Arial" w:eastAsia="Times New Roman" w:hAnsi="Arial" w:cs="Arial"/>
                <w:b/>
                <w:bCs/>
                <w:sz w:val="18"/>
                <w:szCs w:val="18"/>
              </w:rPr>
              <w:t>Quality Rating</w:t>
            </w:r>
          </w:p>
        </w:tc>
        <w:tc>
          <w:tcPr>
            <w:tcW w:w="0" w:type="auto"/>
            <w:shd w:val="clear" w:color="auto" w:fill="D9D9D9"/>
            <w:vAlign w:val="bottom"/>
            <w:hideMark/>
          </w:tcPr>
          <w:p w:rsidR="005023CA" w:rsidRPr="000E2797" w:rsidRDefault="005023CA" w:rsidP="005023CA">
            <w:pPr>
              <w:jc w:val="center"/>
              <w:rPr>
                <w:rFonts w:ascii="Arial" w:eastAsia="Times New Roman" w:hAnsi="Arial" w:cs="Arial"/>
                <w:b/>
                <w:bCs/>
                <w:sz w:val="18"/>
                <w:szCs w:val="18"/>
              </w:rPr>
            </w:pPr>
            <w:r w:rsidRPr="000E2797">
              <w:rPr>
                <w:rFonts w:ascii="Arial" w:eastAsia="Times New Roman" w:hAnsi="Arial" w:cs="Arial"/>
                <w:b/>
                <w:bCs/>
                <w:sz w:val="18"/>
                <w:szCs w:val="18"/>
              </w:rPr>
              <w:t>Funding Source</w:t>
            </w:r>
          </w:p>
        </w:tc>
      </w:tr>
      <w:tr w:rsidR="005023CA" w:rsidRPr="000E2797" w:rsidTr="005023CA">
        <w:trPr>
          <w:cantSplit/>
        </w:trPr>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Andrews, 2013</w:t>
            </w:r>
            <w:r w:rsidRPr="000E2797">
              <w:rPr>
                <w:rFonts w:ascii="Arial" w:eastAsia="Times New Roman" w:hAnsi="Arial" w:cs="Arial"/>
                <w:sz w:val="18"/>
                <w:szCs w:val="18"/>
                <w:vertAlign w:val="superscript"/>
              </w:rPr>
              <w:t>95</w:t>
            </w:r>
          </w:p>
        </w:tc>
        <w:tc>
          <w:tcPr>
            <w:tcW w:w="0" w:type="auto"/>
            <w:shd w:val="clear" w:color="auto" w:fill="auto"/>
            <w:hideMark/>
          </w:tcPr>
          <w:p w:rsidR="005023CA" w:rsidRPr="000E2797" w:rsidRDefault="005023CA" w:rsidP="005023CA">
            <w:pPr>
              <w:ind w:right="35"/>
              <w:rPr>
                <w:rFonts w:ascii="Arial" w:eastAsia="Times New Roman" w:hAnsi="Arial" w:cs="Arial"/>
                <w:sz w:val="18"/>
                <w:szCs w:val="18"/>
              </w:rPr>
            </w:pPr>
            <w:r w:rsidRPr="000E2797">
              <w:rPr>
                <w:rFonts w:ascii="Arial" w:eastAsia="Times New Roman" w:hAnsi="Arial" w:cs="Arial"/>
                <w:sz w:val="18"/>
                <w:szCs w:val="18"/>
              </w:rPr>
              <w:t>Screened: 1,634</w:t>
            </w:r>
            <w:r w:rsidRPr="000E2797">
              <w:rPr>
                <w:rFonts w:ascii="Arial" w:eastAsia="Times New Roman" w:hAnsi="Arial" w:cs="Arial"/>
                <w:sz w:val="18"/>
                <w:szCs w:val="18"/>
              </w:rPr>
              <w:br/>
              <w:t>Eligible: 712</w:t>
            </w:r>
            <w:r w:rsidRPr="000E2797">
              <w:rPr>
                <w:rFonts w:ascii="Arial" w:eastAsia="Times New Roman" w:hAnsi="Arial" w:cs="Arial"/>
                <w:sz w:val="18"/>
                <w:szCs w:val="18"/>
              </w:rPr>
              <w:br/>
              <w:t>Enrolled: 593</w:t>
            </w:r>
            <w:r w:rsidRPr="000E2797">
              <w:rPr>
                <w:rFonts w:ascii="Arial" w:eastAsia="Times New Roman" w:hAnsi="Arial" w:cs="Arial"/>
                <w:sz w:val="18"/>
                <w:szCs w:val="18"/>
              </w:rPr>
              <w:br/>
              <w:t>Analyzed: 593</w:t>
            </w:r>
            <w:r w:rsidRPr="000E2797">
              <w:rPr>
                <w:rFonts w:ascii="Arial" w:eastAsia="Times New Roman" w:hAnsi="Arial" w:cs="Arial"/>
                <w:sz w:val="18"/>
                <w:szCs w:val="18"/>
              </w:rPr>
              <w:br/>
              <w:t>Withdrawals: 0.3% (2/593)</w:t>
            </w:r>
            <w:r w:rsidRPr="000E2797">
              <w:rPr>
                <w:rFonts w:ascii="Arial" w:eastAsia="Times New Roman" w:hAnsi="Arial" w:cs="Arial"/>
                <w:sz w:val="18"/>
                <w:szCs w:val="18"/>
              </w:rPr>
              <w:br/>
              <w:t>Loss to followup: 11% (66/593)</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B vs C</w:t>
            </w:r>
            <w:r w:rsidRPr="000E2797">
              <w:rPr>
                <w:rFonts w:ascii="Arial" w:eastAsia="Times New Roman" w:hAnsi="Arial" w:cs="Arial"/>
                <w:sz w:val="18"/>
                <w:szCs w:val="18"/>
              </w:rPr>
              <w:br/>
              <w:t>Mortality: 0% (0/246) vs 0% (0/248) vs 1%(1/99); A vs C: RR 0.14 (95% CI 0.01 to 3.31); B vs C: RR 0.14 (95% CI 0.01 to 3.29)</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NR</w:t>
            </w:r>
          </w:p>
        </w:tc>
        <w:tc>
          <w:tcPr>
            <w:tcW w:w="0" w:type="auto"/>
            <w:shd w:val="clear" w:color="auto" w:fill="auto"/>
            <w:hideMark/>
          </w:tcPr>
          <w:p w:rsidR="005023CA" w:rsidRPr="000E2797" w:rsidRDefault="005023CA" w:rsidP="005023CA">
            <w:pPr>
              <w:jc w:val="center"/>
              <w:rPr>
                <w:rFonts w:ascii="Arial" w:eastAsia="Times New Roman" w:hAnsi="Arial" w:cs="Arial"/>
                <w:sz w:val="18"/>
                <w:szCs w:val="18"/>
              </w:rPr>
            </w:pPr>
            <w:r w:rsidRPr="000E2797">
              <w:rPr>
                <w:rFonts w:ascii="Arial" w:eastAsia="Times New Roman" w:hAnsi="Arial" w:cs="Arial"/>
                <w:sz w:val="18"/>
                <w:szCs w:val="18"/>
              </w:rPr>
              <w:t>Good</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Diabetes UK and UK Department of Health</w:t>
            </w:r>
          </w:p>
        </w:tc>
      </w:tr>
      <w:tr w:rsidR="005023CA" w:rsidRPr="000E2797" w:rsidTr="005023CA">
        <w:trPr>
          <w:cantSplit/>
        </w:trPr>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Davies et al. 2008</w:t>
            </w:r>
            <w:r w:rsidRPr="000E2797">
              <w:rPr>
                <w:rFonts w:ascii="Arial" w:eastAsia="Times New Roman" w:hAnsi="Arial" w:cs="Arial"/>
                <w:sz w:val="18"/>
                <w:szCs w:val="18"/>
                <w:vertAlign w:val="superscript"/>
              </w:rPr>
              <w:t>96</w:t>
            </w:r>
            <w:r w:rsidRPr="000E2797">
              <w:rPr>
                <w:rFonts w:ascii="Arial" w:eastAsia="Times New Roman" w:hAnsi="Arial" w:cs="Arial"/>
                <w:sz w:val="18"/>
                <w:szCs w:val="18"/>
              </w:rPr>
              <w:t xml:space="preserve"> and Khunti 2012</w:t>
            </w:r>
            <w:r w:rsidRPr="000E2797">
              <w:rPr>
                <w:rFonts w:ascii="Arial" w:eastAsia="Times New Roman" w:hAnsi="Arial" w:cs="Arial"/>
                <w:sz w:val="18"/>
                <w:szCs w:val="18"/>
                <w:vertAlign w:val="superscript"/>
              </w:rPr>
              <w:t>97</w:t>
            </w:r>
            <w:r w:rsidRPr="000E2797">
              <w:rPr>
                <w:rFonts w:ascii="Arial" w:eastAsia="Times New Roman" w:hAnsi="Arial" w:cs="Arial"/>
                <w:sz w:val="18"/>
                <w:szCs w:val="18"/>
              </w:rPr>
              <w:br/>
              <w:t>DESMOND Trial</w:t>
            </w:r>
          </w:p>
        </w:tc>
        <w:tc>
          <w:tcPr>
            <w:tcW w:w="0" w:type="auto"/>
            <w:shd w:val="clear" w:color="auto" w:fill="auto"/>
            <w:hideMark/>
          </w:tcPr>
          <w:p w:rsidR="005023CA" w:rsidRPr="000E2797" w:rsidRDefault="005023CA" w:rsidP="005023CA">
            <w:pPr>
              <w:ind w:right="35"/>
              <w:rPr>
                <w:rFonts w:ascii="Arial" w:eastAsia="Times New Roman" w:hAnsi="Arial" w:cs="Arial"/>
                <w:sz w:val="18"/>
                <w:szCs w:val="18"/>
              </w:rPr>
            </w:pPr>
            <w:r w:rsidRPr="000E2797">
              <w:rPr>
                <w:rFonts w:ascii="Arial" w:eastAsia="Times New Roman" w:hAnsi="Arial" w:cs="Arial"/>
                <w:sz w:val="18"/>
                <w:szCs w:val="18"/>
              </w:rPr>
              <w:t>Screened: 1,109</w:t>
            </w:r>
            <w:r w:rsidRPr="000E2797">
              <w:rPr>
                <w:rFonts w:ascii="Arial" w:eastAsia="Times New Roman" w:hAnsi="Arial" w:cs="Arial"/>
                <w:sz w:val="18"/>
                <w:szCs w:val="18"/>
              </w:rPr>
              <w:br/>
              <w:t>Eligible: 1,053</w:t>
            </w:r>
            <w:r w:rsidRPr="000E2797">
              <w:rPr>
                <w:rFonts w:ascii="Arial" w:eastAsia="Times New Roman" w:hAnsi="Arial" w:cs="Arial"/>
                <w:sz w:val="18"/>
                <w:szCs w:val="18"/>
              </w:rPr>
              <w:br/>
              <w:t>Enrolled: 824</w:t>
            </w:r>
            <w:r w:rsidRPr="000E2797">
              <w:rPr>
                <w:rFonts w:ascii="Arial" w:eastAsia="Times New Roman" w:hAnsi="Arial" w:cs="Arial"/>
                <w:sz w:val="18"/>
                <w:szCs w:val="18"/>
              </w:rPr>
              <w:br/>
              <w:t>Analyzed: 604 (3 years)</w:t>
            </w:r>
            <w:r w:rsidRPr="000E2797">
              <w:rPr>
                <w:rFonts w:ascii="Arial" w:eastAsia="Times New Roman" w:hAnsi="Arial" w:cs="Arial"/>
                <w:sz w:val="18"/>
                <w:szCs w:val="18"/>
              </w:rPr>
              <w:br/>
              <w:t>Withdrawals: 5% (44/824)</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B</w:t>
            </w:r>
            <w:r w:rsidRPr="000E2797">
              <w:rPr>
                <w:rFonts w:ascii="Arial" w:eastAsia="Times New Roman" w:hAnsi="Arial" w:cs="Arial"/>
                <w:sz w:val="18"/>
                <w:szCs w:val="18"/>
              </w:rPr>
              <w:br/>
              <w:t>Quality of life, WHOQOL-BREF –</w:t>
            </w:r>
            <w:r w:rsidRPr="000E2797">
              <w:rPr>
                <w:rFonts w:ascii="Arial" w:eastAsia="Times New Roman" w:hAnsi="Arial" w:cs="Arial"/>
                <w:sz w:val="18"/>
                <w:szCs w:val="18"/>
              </w:rPr>
              <w:br/>
              <w:t>Overall satisfaction with quality of life: 4.0 vs. 4.0; p=0.48</w:t>
            </w:r>
            <w:r w:rsidRPr="000E2797">
              <w:rPr>
                <w:rFonts w:ascii="Arial" w:eastAsia="Times New Roman" w:hAnsi="Arial" w:cs="Arial"/>
                <w:sz w:val="18"/>
                <w:szCs w:val="18"/>
              </w:rPr>
              <w:br/>
              <w:t>Overall satisfaction with health: 4.0 vs. 4.0; p=0.94</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B</w:t>
            </w:r>
            <w:r w:rsidRPr="000E2797">
              <w:rPr>
                <w:rFonts w:ascii="Arial" w:eastAsia="Times New Roman" w:hAnsi="Arial" w:cs="Arial"/>
                <w:sz w:val="18"/>
                <w:szCs w:val="18"/>
              </w:rPr>
              <w:br/>
              <w:t>All-cause withdrawals: 21/437 (5%) vs 23/387 (6%); RR 0.81 (95% CI 0.45 to 1.44)</w:t>
            </w:r>
          </w:p>
        </w:tc>
        <w:tc>
          <w:tcPr>
            <w:tcW w:w="0" w:type="auto"/>
            <w:shd w:val="clear" w:color="auto" w:fill="auto"/>
            <w:hideMark/>
          </w:tcPr>
          <w:p w:rsidR="005023CA" w:rsidRPr="000E2797" w:rsidRDefault="005023CA" w:rsidP="005023CA">
            <w:pPr>
              <w:jc w:val="center"/>
              <w:rPr>
                <w:rFonts w:ascii="Arial" w:eastAsia="Times New Roman" w:hAnsi="Arial" w:cs="Arial"/>
                <w:sz w:val="18"/>
                <w:szCs w:val="18"/>
              </w:rPr>
            </w:pPr>
            <w:r w:rsidRPr="000E2797">
              <w:rPr>
                <w:rFonts w:ascii="Arial" w:eastAsia="Times New Roman" w:hAnsi="Arial" w:cs="Arial"/>
                <w:sz w:val="18"/>
                <w:szCs w:val="18"/>
              </w:rPr>
              <w:t>Fair</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Diabetes UK</w:t>
            </w:r>
          </w:p>
        </w:tc>
      </w:tr>
      <w:tr w:rsidR="005023CA" w:rsidRPr="000E2797" w:rsidTr="005023CA">
        <w:trPr>
          <w:cantSplit/>
        </w:trPr>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DeFronzo, 2011</w:t>
            </w:r>
            <w:r w:rsidRPr="000E2797">
              <w:rPr>
                <w:rFonts w:ascii="Arial" w:eastAsia="Times New Roman" w:hAnsi="Arial" w:cs="Arial"/>
                <w:sz w:val="18"/>
                <w:szCs w:val="18"/>
                <w:vertAlign w:val="superscript"/>
              </w:rPr>
              <w:t>98</w:t>
            </w:r>
          </w:p>
        </w:tc>
        <w:tc>
          <w:tcPr>
            <w:tcW w:w="0" w:type="auto"/>
            <w:shd w:val="clear" w:color="auto" w:fill="auto"/>
            <w:hideMark/>
          </w:tcPr>
          <w:p w:rsidR="005023CA" w:rsidRPr="000E2797" w:rsidRDefault="005023CA" w:rsidP="005023CA">
            <w:pPr>
              <w:ind w:right="35"/>
              <w:rPr>
                <w:rFonts w:ascii="Arial" w:eastAsia="Times New Roman" w:hAnsi="Arial" w:cs="Arial"/>
                <w:sz w:val="18"/>
                <w:szCs w:val="18"/>
              </w:rPr>
            </w:pPr>
            <w:r w:rsidRPr="000E2797">
              <w:rPr>
                <w:rFonts w:ascii="Arial" w:eastAsia="Times New Roman" w:hAnsi="Arial" w:cs="Arial"/>
                <w:sz w:val="18"/>
                <w:szCs w:val="18"/>
              </w:rPr>
              <w:t>Screened: 1827</w:t>
            </w:r>
            <w:r w:rsidRPr="000E2797">
              <w:rPr>
                <w:rFonts w:ascii="Arial" w:eastAsia="Times New Roman" w:hAnsi="Arial" w:cs="Arial"/>
                <w:sz w:val="18"/>
                <w:szCs w:val="18"/>
              </w:rPr>
              <w:br/>
              <w:t>Eligible: NR</w:t>
            </w:r>
            <w:r w:rsidRPr="000E2797">
              <w:rPr>
                <w:rFonts w:ascii="Arial" w:eastAsia="Times New Roman" w:hAnsi="Arial" w:cs="Arial"/>
                <w:sz w:val="18"/>
                <w:szCs w:val="18"/>
              </w:rPr>
              <w:br/>
              <w:t>Enrolled: 602</w:t>
            </w:r>
            <w:r w:rsidRPr="000E2797">
              <w:rPr>
                <w:rFonts w:ascii="Arial" w:eastAsia="Times New Roman" w:hAnsi="Arial" w:cs="Arial"/>
                <w:sz w:val="18"/>
                <w:szCs w:val="18"/>
              </w:rPr>
              <w:br/>
              <w:t>Analyzed: 602</w:t>
            </w:r>
            <w:r w:rsidRPr="000E2797">
              <w:rPr>
                <w:rFonts w:ascii="Arial" w:eastAsia="Times New Roman" w:hAnsi="Arial" w:cs="Arial"/>
                <w:sz w:val="18"/>
                <w:szCs w:val="18"/>
              </w:rPr>
              <w:br/>
            </w:r>
            <w:r w:rsidRPr="000E2797">
              <w:rPr>
                <w:rFonts w:ascii="Arial" w:eastAsia="Times New Roman" w:hAnsi="Arial" w:cs="Arial"/>
                <w:b/>
                <w:bCs/>
                <w:sz w:val="18"/>
                <w:szCs w:val="18"/>
              </w:rPr>
              <w:t xml:space="preserve">A vs. B </w:t>
            </w:r>
            <w:r w:rsidRPr="000E2797">
              <w:rPr>
                <w:rFonts w:ascii="Arial" w:eastAsia="Times New Roman" w:hAnsi="Arial" w:cs="Arial"/>
                <w:sz w:val="18"/>
                <w:szCs w:val="18"/>
              </w:rPr>
              <w:br/>
              <w:t>Withdrawal: 29.7% (90/303) vs. 23.7% (71/299)</w:t>
            </w:r>
            <w:r w:rsidRPr="000E2797">
              <w:rPr>
                <w:rFonts w:ascii="Arial" w:eastAsia="Times New Roman" w:hAnsi="Arial" w:cs="Arial"/>
                <w:sz w:val="18"/>
                <w:szCs w:val="18"/>
              </w:rPr>
              <w:br/>
              <w:t>Loss to followup: 9.2% (28/303) vs. 7.4% (22/299)</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B</w:t>
            </w:r>
            <w:r w:rsidRPr="000E2797">
              <w:rPr>
                <w:rFonts w:ascii="Arial" w:eastAsia="Times New Roman" w:hAnsi="Arial" w:cs="Arial"/>
                <w:sz w:val="18"/>
                <w:szCs w:val="18"/>
              </w:rPr>
              <w:br/>
              <w:t>Mortality: 1.0% (3/303) vs. 0.3% (1/299); RR 2.96, 95% CI 0.31 to 28.30</w:t>
            </w:r>
            <w:r w:rsidRPr="000E2797">
              <w:rPr>
                <w:rFonts w:ascii="Arial" w:eastAsia="Times New Roman" w:hAnsi="Arial" w:cs="Arial"/>
                <w:sz w:val="18"/>
                <w:szCs w:val="18"/>
              </w:rPr>
              <w:br/>
              <w:t xml:space="preserve">Cardiovascular events: 26 vs. 23 </w:t>
            </w:r>
            <w:r w:rsidRPr="000E2797">
              <w:rPr>
                <w:rFonts w:ascii="Arial" w:eastAsia="Times New Roman" w:hAnsi="Arial" w:cs="Arial"/>
                <w:sz w:val="18"/>
                <w:szCs w:val="18"/>
              </w:rPr>
              <w:br/>
              <w:t>Nonfatal MI: 2 vs. 1</w:t>
            </w:r>
            <w:r w:rsidRPr="000E2797">
              <w:rPr>
                <w:rFonts w:ascii="Arial" w:eastAsia="Times New Roman" w:hAnsi="Arial" w:cs="Arial"/>
                <w:sz w:val="18"/>
                <w:szCs w:val="18"/>
              </w:rPr>
              <w:br/>
              <w:t>TIA: 1 vs. 1</w:t>
            </w:r>
            <w:r w:rsidRPr="000E2797">
              <w:rPr>
                <w:rFonts w:ascii="Arial" w:eastAsia="Times New Roman" w:hAnsi="Arial" w:cs="Arial"/>
                <w:sz w:val="18"/>
                <w:szCs w:val="18"/>
              </w:rPr>
              <w:br/>
              <w:t>CAD w/o revascularization: 2 vs. 1</w:t>
            </w:r>
            <w:r w:rsidRPr="000E2797">
              <w:rPr>
                <w:rFonts w:ascii="Arial" w:eastAsia="Times New Roman" w:hAnsi="Arial" w:cs="Arial"/>
                <w:sz w:val="18"/>
                <w:szCs w:val="18"/>
              </w:rPr>
              <w:br/>
              <w:t>CABG : 2 vs. 6</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B</w:t>
            </w:r>
            <w:r w:rsidRPr="000E2797">
              <w:rPr>
                <w:rFonts w:ascii="Arial" w:eastAsia="Times New Roman" w:hAnsi="Arial" w:cs="Arial"/>
                <w:sz w:val="18"/>
                <w:szCs w:val="18"/>
              </w:rPr>
              <w:br/>
              <w:t>Any adverse event: 49.8% (151/303) vs. 40.5% (121/299); RR 1.23, 95% CI 1.03 to 1.47</w:t>
            </w:r>
          </w:p>
        </w:tc>
        <w:tc>
          <w:tcPr>
            <w:tcW w:w="0" w:type="auto"/>
            <w:shd w:val="clear" w:color="auto" w:fill="auto"/>
            <w:hideMark/>
          </w:tcPr>
          <w:p w:rsidR="005023CA" w:rsidRPr="000E2797" w:rsidRDefault="005023CA" w:rsidP="005023CA">
            <w:pPr>
              <w:jc w:val="center"/>
              <w:rPr>
                <w:rFonts w:ascii="Arial" w:eastAsia="Times New Roman" w:hAnsi="Arial" w:cs="Arial"/>
                <w:sz w:val="18"/>
                <w:szCs w:val="18"/>
              </w:rPr>
            </w:pPr>
            <w:r w:rsidRPr="000E2797">
              <w:rPr>
                <w:rFonts w:ascii="Arial" w:eastAsia="Times New Roman" w:hAnsi="Arial" w:cs="Arial"/>
                <w:sz w:val="18"/>
                <w:szCs w:val="18"/>
              </w:rPr>
              <w:t>Fair</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Takeda Pharmaceuticals</w:t>
            </w:r>
          </w:p>
        </w:tc>
      </w:tr>
      <w:tr w:rsidR="005023CA" w:rsidRPr="000E2797" w:rsidTr="005023CA">
        <w:trPr>
          <w:cantSplit/>
        </w:trPr>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lastRenderedPageBreak/>
              <w:t>DREAM Trial Investigators 2008</w:t>
            </w:r>
            <w:r w:rsidRPr="000E2797">
              <w:rPr>
                <w:rFonts w:ascii="Arial" w:eastAsia="Times New Roman" w:hAnsi="Arial" w:cs="Arial"/>
                <w:sz w:val="18"/>
                <w:szCs w:val="18"/>
                <w:vertAlign w:val="superscript"/>
              </w:rPr>
              <w:t>99</w:t>
            </w:r>
            <w:r w:rsidRPr="000E2797">
              <w:rPr>
                <w:rFonts w:ascii="Arial" w:eastAsia="Times New Roman" w:hAnsi="Arial" w:cs="Arial"/>
                <w:sz w:val="18"/>
                <w:szCs w:val="18"/>
              </w:rPr>
              <w:br/>
              <w:t>See also: DREAM Trial Investigators, 2006a</w:t>
            </w:r>
            <w:r w:rsidRPr="000E2797">
              <w:rPr>
                <w:rFonts w:ascii="Arial" w:eastAsia="Times New Roman" w:hAnsi="Arial" w:cs="Arial"/>
                <w:sz w:val="18"/>
                <w:szCs w:val="18"/>
                <w:vertAlign w:val="superscript"/>
              </w:rPr>
              <w:t>14</w:t>
            </w:r>
            <w:r w:rsidRPr="000E2797">
              <w:rPr>
                <w:rFonts w:ascii="Arial" w:eastAsia="Times New Roman" w:hAnsi="Arial" w:cs="Arial"/>
                <w:sz w:val="18"/>
                <w:szCs w:val="18"/>
              </w:rPr>
              <w:t xml:space="preserve"> and DREAM Trial Investigators, 2006b</w:t>
            </w:r>
            <w:r w:rsidRPr="000E2797">
              <w:rPr>
                <w:rFonts w:ascii="Arial" w:eastAsia="Times New Roman" w:hAnsi="Arial" w:cs="Arial"/>
                <w:sz w:val="18"/>
                <w:szCs w:val="18"/>
                <w:vertAlign w:val="superscript"/>
              </w:rPr>
              <w:t>15</w:t>
            </w:r>
          </w:p>
        </w:tc>
        <w:tc>
          <w:tcPr>
            <w:tcW w:w="0" w:type="auto"/>
            <w:shd w:val="clear" w:color="auto" w:fill="auto"/>
            <w:hideMark/>
          </w:tcPr>
          <w:p w:rsidR="005023CA" w:rsidRPr="000E2797" w:rsidRDefault="005023CA" w:rsidP="005023CA">
            <w:pPr>
              <w:ind w:right="35"/>
              <w:rPr>
                <w:rFonts w:ascii="Arial" w:eastAsia="Times New Roman" w:hAnsi="Arial" w:cs="Arial"/>
                <w:sz w:val="18"/>
                <w:szCs w:val="18"/>
              </w:rPr>
            </w:pPr>
            <w:r w:rsidRPr="000E2797">
              <w:rPr>
                <w:rFonts w:ascii="Arial" w:eastAsia="Times New Roman" w:hAnsi="Arial" w:cs="Arial"/>
                <w:sz w:val="18"/>
                <w:szCs w:val="18"/>
              </w:rPr>
              <w:t>Screened: 24872</w:t>
            </w:r>
            <w:r w:rsidRPr="000E2797">
              <w:rPr>
                <w:rFonts w:ascii="Arial" w:eastAsia="Times New Roman" w:hAnsi="Arial" w:cs="Arial"/>
                <w:sz w:val="18"/>
                <w:szCs w:val="18"/>
              </w:rPr>
              <w:br/>
              <w:t>Randomized: 5269</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B &amp; C vs. D</w:t>
            </w:r>
            <w:r w:rsidRPr="000E2797">
              <w:rPr>
                <w:rFonts w:ascii="Arial" w:eastAsia="Times New Roman" w:hAnsi="Arial" w:cs="Arial"/>
                <w:sz w:val="18"/>
                <w:szCs w:val="18"/>
              </w:rPr>
              <w:t xml:space="preserve"> </w:t>
            </w:r>
            <w:r w:rsidRPr="000E2797">
              <w:rPr>
                <w:rFonts w:ascii="Arial" w:eastAsia="Times New Roman" w:hAnsi="Arial" w:cs="Arial"/>
                <w:sz w:val="18"/>
                <w:szCs w:val="18"/>
              </w:rPr>
              <w:br/>
              <w:t>Cardiovascular composite events incidence: 2.6% (69/2623) vs. 2.4% (64/2646); HR 1.09, 95% CI 0.78 to 1.53 &amp; 2.9% (77/2635) vs. 2.1% (56/2634); HR 1.38, 95% CI 0.98 to 1.95</w:t>
            </w:r>
            <w:r w:rsidRPr="000E2797">
              <w:rPr>
                <w:rFonts w:ascii="Arial" w:eastAsia="Times New Roman" w:hAnsi="Arial" w:cs="Arial"/>
                <w:sz w:val="18"/>
                <w:szCs w:val="18"/>
              </w:rPr>
              <w:br/>
              <w:t>Cardiovascular death: 0.5% (12/2623) vs. 0.4% (10/2646); HR 1.21, 95% CI 0.52 to 2.80 &amp; 0.5% (12/2635) vs. 0.4% (10/2634); HR 1.20, 95% CI 0.52 to 2.77</w:t>
            </w:r>
            <w:r w:rsidRPr="000E2797">
              <w:rPr>
                <w:rFonts w:ascii="Arial" w:eastAsia="Times New Roman" w:hAnsi="Arial" w:cs="Arial"/>
                <w:sz w:val="18"/>
                <w:szCs w:val="18"/>
              </w:rPr>
              <w:br/>
              <w:t>MI: 0.5% (14/2623) vs. 0.4% (11/2646); HR 1.29, 95% CI 0.59 to 2.84 &amp; 0.6% (16/2635) vs. 0.3% (9/2634); HR 1.78, 95% CI 0.79 to 4.03</w:t>
            </w:r>
            <w:r w:rsidRPr="000E2797">
              <w:rPr>
                <w:rFonts w:ascii="Arial" w:eastAsia="Times New Roman" w:hAnsi="Arial" w:cs="Arial"/>
                <w:sz w:val="18"/>
                <w:szCs w:val="18"/>
              </w:rPr>
              <w:br/>
              <w:t>Stroke: 0.2% (4/2623) vs. 0.3% (8/2646); HR 0.50, 95% CI 0.15 to 1.66 &amp; 0.3% (7/2635) vs. 0.2% (5/2634); HR 1.40, 95% CI 0.44 to 4.40</w:t>
            </w:r>
            <w:r w:rsidRPr="000E2797">
              <w:rPr>
                <w:rFonts w:ascii="Arial" w:eastAsia="Times New Roman" w:hAnsi="Arial" w:cs="Arial"/>
                <w:sz w:val="18"/>
                <w:szCs w:val="18"/>
              </w:rPr>
              <w:br/>
              <w:t>Congestive heart failure: 0.5% (12/2623) vs. 0.2% (4/2646); HR 3.06, 95% CI 0.99 to 9.48 &amp; 0.5% (14/2635) vs. 0.1% (2/2634); HR 7.04, 95% CI 1.60 to 31.0</w:t>
            </w:r>
            <w:r w:rsidRPr="000E2797">
              <w:rPr>
                <w:rFonts w:ascii="Arial" w:eastAsia="Times New Roman" w:hAnsi="Arial" w:cs="Arial"/>
                <w:sz w:val="18"/>
                <w:szCs w:val="18"/>
              </w:rPr>
              <w:br/>
              <w:t>Revascularization: 1.1% (28/2623) vs. 1.4% (38/2646); HR 0.74, 95% CI 0.46 to 1.21 &amp; 1.4% (37/2635) vs. 1.1% (29/2634); HR 1.27, 95% CI 0.78 to 2.07</w:t>
            </w:r>
            <w:r w:rsidRPr="000E2797">
              <w:rPr>
                <w:rFonts w:ascii="Arial" w:eastAsia="Times New Roman" w:hAnsi="Arial" w:cs="Arial"/>
                <w:sz w:val="18"/>
                <w:szCs w:val="18"/>
              </w:rPr>
              <w:br/>
              <w:t>Cardiovascular death, MI, stroke: 1% (27/2623) vs. 1.1% (29/2646); HR 0.94, 95% CI 0.56 to 1.59 &amp; 1.3% (33/2635) vs. 0.9% (23/2634); HR 1.43, 95% CI 0.84 to 2.44</w:t>
            </w:r>
            <w:r w:rsidRPr="000E2797">
              <w:rPr>
                <w:rFonts w:ascii="Arial" w:eastAsia="Times New Roman" w:hAnsi="Arial" w:cs="Arial"/>
                <w:sz w:val="18"/>
                <w:szCs w:val="18"/>
              </w:rPr>
              <w:br/>
              <w:t>Total Mortality: 1.2% (31/2623) vs. 1.2% (32/2646); HR 0.98, 95% CI 0.60 to 1.61 &amp; 1.1% (30/2635) vs. 1.3% (33/2634); HR 0.91, 95% CI 0.56 to 1.49</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NR</w:t>
            </w:r>
          </w:p>
        </w:tc>
        <w:tc>
          <w:tcPr>
            <w:tcW w:w="0" w:type="auto"/>
            <w:shd w:val="clear" w:color="auto" w:fill="auto"/>
            <w:hideMark/>
          </w:tcPr>
          <w:p w:rsidR="005023CA" w:rsidRPr="000E2797" w:rsidRDefault="005023CA" w:rsidP="005023CA">
            <w:pPr>
              <w:jc w:val="center"/>
              <w:rPr>
                <w:rFonts w:ascii="Arial" w:eastAsia="Times New Roman" w:hAnsi="Arial" w:cs="Arial"/>
                <w:sz w:val="18"/>
                <w:szCs w:val="18"/>
              </w:rPr>
            </w:pPr>
            <w:r w:rsidRPr="000E2797">
              <w:rPr>
                <w:rFonts w:ascii="Arial" w:eastAsia="Times New Roman" w:hAnsi="Arial" w:cs="Arial"/>
                <w:sz w:val="18"/>
                <w:szCs w:val="18"/>
              </w:rPr>
              <w:t>Good</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Canadian Institute of Health Research; Aventis Pharma; GalaxoSmithKline; King Pharmacuticals; Wyeth Ayerst</w:t>
            </w:r>
          </w:p>
        </w:tc>
      </w:tr>
      <w:tr w:rsidR="005023CA" w:rsidRPr="000E2797" w:rsidTr="005023CA">
        <w:trPr>
          <w:cantSplit/>
        </w:trPr>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lastRenderedPageBreak/>
              <w:t>Florez, 2012</w:t>
            </w:r>
            <w:r w:rsidRPr="000E2797">
              <w:rPr>
                <w:rFonts w:ascii="Arial" w:eastAsia="Times New Roman" w:hAnsi="Arial" w:cs="Arial"/>
                <w:sz w:val="18"/>
                <w:szCs w:val="18"/>
                <w:vertAlign w:val="superscript"/>
              </w:rPr>
              <w:t>100</w:t>
            </w:r>
            <w:r w:rsidRPr="000E2797">
              <w:rPr>
                <w:rFonts w:ascii="Arial" w:eastAsia="Times New Roman" w:hAnsi="Arial" w:cs="Arial"/>
                <w:sz w:val="18"/>
                <w:szCs w:val="18"/>
              </w:rPr>
              <w:br/>
              <w:t>DPP</w:t>
            </w:r>
          </w:p>
        </w:tc>
        <w:tc>
          <w:tcPr>
            <w:tcW w:w="0" w:type="auto"/>
            <w:shd w:val="clear" w:color="auto" w:fill="auto"/>
            <w:hideMark/>
          </w:tcPr>
          <w:p w:rsidR="005023CA" w:rsidRPr="000E2797" w:rsidRDefault="005023CA" w:rsidP="005023CA">
            <w:pPr>
              <w:ind w:right="35"/>
              <w:rPr>
                <w:rFonts w:ascii="Arial" w:eastAsia="Times New Roman" w:hAnsi="Arial" w:cs="Arial"/>
                <w:sz w:val="18"/>
                <w:szCs w:val="18"/>
              </w:rPr>
            </w:pPr>
            <w:r w:rsidRPr="000E2797">
              <w:rPr>
                <w:rFonts w:ascii="Arial" w:eastAsia="Times New Roman" w:hAnsi="Arial" w:cs="Arial"/>
                <w:sz w:val="18"/>
                <w:szCs w:val="18"/>
              </w:rPr>
              <w:t>Screened: NR</w:t>
            </w:r>
            <w:r w:rsidRPr="000E2797">
              <w:rPr>
                <w:rFonts w:ascii="Arial" w:eastAsia="Times New Roman" w:hAnsi="Arial" w:cs="Arial"/>
                <w:sz w:val="18"/>
                <w:szCs w:val="18"/>
              </w:rPr>
              <w:br/>
              <w:t>Eligible: NR</w:t>
            </w:r>
            <w:r w:rsidRPr="000E2797">
              <w:rPr>
                <w:rFonts w:ascii="Arial" w:eastAsia="Times New Roman" w:hAnsi="Arial" w:cs="Arial"/>
                <w:sz w:val="18"/>
                <w:szCs w:val="18"/>
              </w:rPr>
              <w:br/>
              <w:t>Enrolled: 3,234</w:t>
            </w:r>
            <w:r w:rsidRPr="000E2797">
              <w:rPr>
                <w:rFonts w:ascii="Arial" w:eastAsia="Times New Roman" w:hAnsi="Arial" w:cs="Arial"/>
                <w:sz w:val="18"/>
                <w:szCs w:val="18"/>
              </w:rPr>
              <w:br/>
              <w:t>Analyzed: 3,132</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C</w:t>
            </w:r>
            <w:r w:rsidRPr="000E2797">
              <w:rPr>
                <w:rFonts w:ascii="Arial" w:eastAsia="Times New Roman" w:hAnsi="Arial" w:cs="Arial"/>
                <w:sz w:val="18"/>
                <w:szCs w:val="18"/>
              </w:rPr>
              <w:br/>
              <w:t>Quality of life, SF-36 score changes from baseline, mean between-group difference:</w:t>
            </w:r>
            <w:r w:rsidRPr="000E2797">
              <w:rPr>
                <w:rFonts w:ascii="Arial" w:eastAsia="Times New Roman" w:hAnsi="Arial" w:cs="Arial"/>
                <w:sz w:val="18"/>
                <w:szCs w:val="18"/>
              </w:rPr>
              <w:br/>
              <w:t xml:space="preserve"> SF-6D: 0.0084 (SD 0.0041; p&lt;0.05)</w:t>
            </w:r>
            <w:r w:rsidRPr="000E2797">
              <w:rPr>
                <w:rFonts w:ascii="Arial" w:eastAsia="Times New Roman" w:hAnsi="Arial" w:cs="Arial"/>
                <w:sz w:val="18"/>
                <w:szCs w:val="18"/>
              </w:rPr>
              <w:br/>
              <w:t xml:space="preserve"> PCS: 1.57 (SD 0.30; p&lt;0.01)</w:t>
            </w:r>
            <w:r w:rsidRPr="000E2797">
              <w:rPr>
                <w:rFonts w:ascii="Arial" w:eastAsia="Times New Roman" w:hAnsi="Arial" w:cs="Arial"/>
                <w:sz w:val="18"/>
                <w:szCs w:val="18"/>
              </w:rPr>
              <w:br/>
              <w:t xml:space="preserve"> MCS: -0.29 (SD 0.32; p=NS)</w:t>
            </w:r>
            <w:r w:rsidRPr="000E2797">
              <w:rPr>
                <w:rFonts w:ascii="Arial" w:eastAsia="Times New Roman" w:hAnsi="Arial" w:cs="Arial"/>
                <w:sz w:val="18"/>
                <w:szCs w:val="18"/>
              </w:rPr>
              <w:br/>
              <w:t xml:space="preserve"> Physical function: 3.58 (SD 0.66; p&lt;0.01)</w:t>
            </w:r>
            <w:r w:rsidRPr="000E2797">
              <w:rPr>
                <w:rFonts w:ascii="Arial" w:eastAsia="Times New Roman" w:hAnsi="Arial" w:cs="Arial"/>
                <w:sz w:val="18"/>
                <w:szCs w:val="18"/>
              </w:rPr>
              <w:br/>
              <w:t xml:space="preserve"> Body pain: 1.93 (SD 0.78; p&lt;0.01)</w:t>
            </w:r>
            <w:r w:rsidRPr="000E2797">
              <w:rPr>
                <w:rFonts w:ascii="Arial" w:eastAsia="Times New Roman" w:hAnsi="Arial" w:cs="Arial"/>
                <w:sz w:val="18"/>
                <w:szCs w:val="18"/>
              </w:rPr>
              <w:br/>
              <w:t xml:space="preserve"> General health: 3.23 (SD 0.66; p&lt;0.01)</w:t>
            </w:r>
            <w:r w:rsidRPr="000E2797">
              <w:rPr>
                <w:rFonts w:ascii="Arial" w:eastAsia="Times New Roman" w:hAnsi="Arial" w:cs="Arial"/>
                <w:sz w:val="18"/>
                <w:szCs w:val="18"/>
              </w:rPr>
              <w:br/>
              <w:t xml:space="preserve"> Vitality: 2.05 (SD 0.77; p&lt;0.01)</w:t>
            </w:r>
            <w:r w:rsidRPr="000E2797">
              <w:rPr>
                <w:rFonts w:ascii="Arial" w:eastAsia="Times New Roman" w:hAnsi="Arial" w:cs="Arial"/>
                <w:sz w:val="18"/>
                <w:szCs w:val="18"/>
              </w:rPr>
              <w:br/>
            </w:r>
            <w:r w:rsidRPr="000E2797">
              <w:rPr>
                <w:rFonts w:ascii="Arial" w:eastAsia="Times New Roman" w:hAnsi="Arial" w:cs="Arial"/>
                <w:b/>
                <w:bCs/>
                <w:sz w:val="18"/>
                <w:szCs w:val="18"/>
              </w:rPr>
              <w:t>B vs. C</w:t>
            </w:r>
            <w:r w:rsidRPr="000E2797">
              <w:rPr>
                <w:rFonts w:ascii="Arial" w:eastAsia="Times New Roman" w:hAnsi="Arial" w:cs="Arial"/>
                <w:sz w:val="18"/>
                <w:szCs w:val="18"/>
              </w:rPr>
              <w:br/>
              <w:t>Quality of life, SF-36 score changes from baseline, mean between-group difference:</w:t>
            </w:r>
            <w:r w:rsidRPr="000E2797">
              <w:rPr>
                <w:rFonts w:ascii="Arial" w:eastAsia="Times New Roman" w:hAnsi="Arial" w:cs="Arial"/>
                <w:sz w:val="18"/>
                <w:szCs w:val="18"/>
              </w:rPr>
              <w:br/>
              <w:t xml:space="preserve"> SF-6D: 0.0019 (SD 0.0041; p=NS)</w:t>
            </w:r>
            <w:r w:rsidRPr="000E2797">
              <w:rPr>
                <w:rFonts w:ascii="Arial" w:eastAsia="Times New Roman" w:hAnsi="Arial" w:cs="Arial"/>
                <w:sz w:val="18"/>
                <w:szCs w:val="18"/>
              </w:rPr>
              <w:br/>
              <w:t xml:space="preserve"> PCS: 0.15 (SD 0.30; p=NS)</w:t>
            </w:r>
            <w:r w:rsidRPr="000E2797">
              <w:rPr>
                <w:rFonts w:ascii="Arial" w:eastAsia="Times New Roman" w:hAnsi="Arial" w:cs="Arial"/>
                <w:sz w:val="18"/>
                <w:szCs w:val="18"/>
              </w:rPr>
              <w:br/>
              <w:t xml:space="preserve"> MCS: 0.22 (SD 0.32; p=NS)</w:t>
            </w:r>
            <w:r w:rsidRPr="000E2797">
              <w:rPr>
                <w:rFonts w:ascii="Arial" w:eastAsia="Times New Roman" w:hAnsi="Arial" w:cs="Arial"/>
                <w:sz w:val="18"/>
                <w:szCs w:val="18"/>
              </w:rPr>
              <w:br/>
              <w:t xml:space="preserve"> Physical function: 0.13 (SD 0.71; p=NS)</w:t>
            </w:r>
            <w:r w:rsidRPr="000E2797">
              <w:rPr>
                <w:rFonts w:ascii="Arial" w:eastAsia="Times New Roman" w:hAnsi="Arial" w:cs="Arial"/>
                <w:sz w:val="18"/>
                <w:szCs w:val="18"/>
              </w:rPr>
              <w:br/>
              <w:t xml:space="preserve"> Body pain: 0.50 (SD 0.78; p=NS)</w:t>
            </w:r>
            <w:r w:rsidRPr="000E2797">
              <w:rPr>
                <w:rFonts w:ascii="Arial" w:eastAsia="Times New Roman" w:hAnsi="Arial" w:cs="Arial"/>
                <w:sz w:val="18"/>
                <w:szCs w:val="18"/>
              </w:rPr>
              <w:br/>
              <w:t xml:space="preserve"> General health: 0.06 (SD 0.66; p=NS)</w:t>
            </w:r>
            <w:r w:rsidRPr="000E2797">
              <w:rPr>
                <w:rFonts w:ascii="Arial" w:eastAsia="Times New Roman" w:hAnsi="Arial" w:cs="Arial"/>
                <w:sz w:val="18"/>
                <w:szCs w:val="18"/>
              </w:rPr>
              <w:br/>
              <w:t xml:space="preserve"> Vitality: 0.09 (SD 0.76; p=NS)</w:t>
            </w:r>
            <w:r w:rsidRPr="000E2797">
              <w:rPr>
                <w:rFonts w:ascii="Arial" w:eastAsia="Times New Roman" w:hAnsi="Arial" w:cs="Arial"/>
                <w:sz w:val="18"/>
                <w:szCs w:val="18"/>
              </w:rPr>
              <w:br/>
            </w:r>
            <w:r w:rsidRPr="000E2797">
              <w:rPr>
                <w:rFonts w:ascii="Arial" w:eastAsia="Times New Roman" w:hAnsi="Arial" w:cs="Arial"/>
                <w:iCs/>
                <w:sz w:val="18"/>
                <w:szCs w:val="18"/>
              </w:rPr>
              <w:t>No measure in either group reached clinically meaningful difference of 3%</w:t>
            </w:r>
          </w:p>
        </w:tc>
        <w:tc>
          <w:tcPr>
            <w:tcW w:w="0" w:type="auto"/>
            <w:shd w:val="clear" w:color="auto" w:fill="auto"/>
            <w:hideMark/>
          </w:tcPr>
          <w:p w:rsidR="005023CA" w:rsidRPr="000E2797" w:rsidRDefault="005023CA" w:rsidP="005023CA">
            <w:pPr>
              <w:rPr>
                <w:rFonts w:ascii="Arial" w:eastAsia="Times New Roman" w:hAnsi="Arial" w:cs="Arial"/>
                <w:sz w:val="18"/>
                <w:szCs w:val="18"/>
              </w:rPr>
            </w:pPr>
          </w:p>
        </w:tc>
        <w:tc>
          <w:tcPr>
            <w:tcW w:w="0" w:type="auto"/>
            <w:shd w:val="clear" w:color="auto" w:fill="auto"/>
            <w:hideMark/>
          </w:tcPr>
          <w:p w:rsidR="005023CA" w:rsidRPr="000E2797" w:rsidRDefault="005023CA" w:rsidP="005023CA">
            <w:pPr>
              <w:jc w:val="center"/>
              <w:rPr>
                <w:rFonts w:ascii="Arial" w:eastAsia="Times New Roman" w:hAnsi="Arial" w:cs="Arial"/>
                <w:sz w:val="18"/>
                <w:szCs w:val="18"/>
              </w:rPr>
            </w:pPr>
            <w:r w:rsidRPr="000E2797">
              <w:rPr>
                <w:rFonts w:ascii="Arial" w:eastAsia="Times New Roman" w:hAnsi="Arial" w:cs="Arial"/>
                <w:sz w:val="18"/>
                <w:szCs w:val="18"/>
              </w:rPr>
              <w:t>Good</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National Institute of Diabetes and Digestive and Kidney Diseases; Office of Research on Minority Health; National Institute of Child Health and Human Development; National Institute on Aging; Centers for Disease Control and Prevention</w:t>
            </w:r>
          </w:p>
        </w:tc>
      </w:tr>
      <w:tr w:rsidR="005023CA" w:rsidRPr="000E2797" w:rsidTr="005023CA">
        <w:trPr>
          <w:cantSplit/>
        </w:trPr>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Kawamori,</w:t>
            </w:r>
            <w:r w:rsidRPr="000E2797">
              <w:rPr>
                <w:rFonts w:ascii="Arial" w:eastAsia="Times New Roman" w:hAnsi="Arial" w:cs="Arial"/>
                <w:sz w:val="18"/>
                <w:szCs w:val="18"/>
              </w:rPr>
              <w:br/>
              <w:t>2009</w:t>
            </w:r>
            <w:r w:rsidRPr="000E2797">
              <w:rPr>
                <w:rFonts w:ascii="Arial" w:eastAsia="Times New Roman" w:hAnsi="Arial" w:cs="Arial"/>
                <w:sz w:val="18"/>
                <w:szCs w:val="18"/>
                <w:vertAlign w:val="superscript"/>
              </w:rPr>
              <w:t>101</w:t>
            </w:r>
          </w:p>
        </w:tc>
        <w:tc>
          <w:tcPr>
            <w:tcW w:w="0" w:type="auto"/>
            <w:shd w:val="clear" w:color="auto" w:fill="auto"/>
            <w:hideMark/>
          </w:tcPr>
          <w:p w:rsidR="005023CA" w:rsidRPr="000E2797" w:rsidRDefault="005023CA" w:rsidP="005023CA">
            <w:pPr>
              <w:ind w:right="35"/>
              <w:rPr>
                <w:rFonts w:ascii="Arial" w:eastAsia="Times New Roman" w:hAnsi="Arial" w:cs="Arial"/>
                <w:sz w:val="18"/>
                <w:szCs w:val="18"/>
              </w:rPr>
            </w:pPr>
            <w:r w:rsidRPr="000E2797">
              <w:rPr>
                <w:rFonts w:ascii="Arial" w:eastAsia="Times New Roman" w:hAnsi="Arial" w:cs="Arial"/>
                <w:sz w:val="18"/>
                <w:szCs w:val="18"/>
              </w:rPr>
              <w:t xml:space="preserve"> Screened: 4582</w:t>
            </w:r>
            <w:r w:rsidRPr="000E2797">
              <w:rPr>
                <w:rFonts w:ascii="Arial" w:eastAsia="Times New Roman" w:hAnsi="Arial" w:cs="Arial"/>
                <w:sz w:val="18"/>
                <w:szCs w:val="18"/>
              </w:rPr>
              <w:br/>
              <w:t>Eligible: NR</w:t>
            </w:r>
            <w:r w:rsidRPr="000E2797">
              <w:rPr>
                <w:rFonts w:ascii="Arial" w:eastAsia="Times New Roman" w:hAnsi="Arial" w:cs="Arial"/>
                <w:sz w:val="18"/>
                <w:szCs w:val="18"/>
              </w:rPr>
              <w:br/>
              <w:t xml:space="preserve">Enrolled: 1780 </w:t>
            </w:r>
            <w:r w:rsidRPr="000E2797">
              <w:rPr>
                <w:rFonts w:ascii="Arial" w:eastAsia="Times New Roman" w:hAnsi="Arial" w:cs="Arial"/>
                <w:sz w:val="18"/>
                <w:szCs w:val="18"/>
              </w:rPr>
              <w:br/>
              <w:t>Analyzed: 1778</w:t>
            </w:r>
            <w:r w:rsidRPr="000E2797">
              <w:rPr>
                <w:rFonts w:ascii="Arial" w:eastAsia="Times New Roman" w:hAnsi="Arial" w:cs="Arial"/>
                <w:sz w:val="18"/>
                <w:szCs w:val="18"/>
              </w:rPr>
              <w:br/>
            </w:r>
            <w:r w:rsidRPr="000E2797">
              <w:rPr>
                <w:rFonts w:ascii="Arial" w:eastAsia="Times New Roman" w:hAnsi="Arial" w:cs="Arial"/>
                <w:sz w:val="18"/>
                <w:szCs w:val="18"/>
              </w:rPr>
              <w:br/>
            </w:r>
            <w:r w:rsidRPr="000E2797">
              <w:rPr>
                <w:rFonts w:ascii="Arial" w:eastAsia="Times New Roman" w:hAnsi="Arial" w:cs="Arial"/>
                <w:b/>
                <w:bCs/>
                <w:sz w:val="18"/>
                <w:szCs w:val="18"/>
              </w:rPr>
              <w:t>A vs. B</w:t>
            </w:r>
            <w:r w:rsidRPr="000E2797">
              <w:rPr>
                <w:rFonts w:ascii="Arial" w:eastAsia="Times New Roman" w:hAnsi="Arial" w:cs="Arial"/>
                <w:sz w:val="18"/>
                <w:szCs w:val="18"/>
              </w:rPr>
              <w:br/>
              <w:t xml:space="preserve">Withdrawal: 14.4% (129/897) vs. 16.5% (146/883) </w:t>
            </w:r>
          </w:p>
        </w:tc>
        <w:tc>
          <w:tcPr>
            <w:tcW w:w="0" w:type="auto"/>
            <w:shd w:val="clear" w:color="auto" w:fill="auto"/>
            <w:hideMark/>
          </w:tcPr>
          <w:p w:rsidR="005023CA" w:rsidRPr="000E2797" w:rsidRDefault="005023CA" w:rsidP="005023CA">
            <w:pPr>
              <w:rPr>
                <w:rFonts w:ascii="Arial" w:eastAsia="Times New Roman" w:hAnsi="Arial" w:cs="Arial"/>
                <w:b/>
                <w:bCs/>
                <w:sz w:val="18"/>
                <w:szCs w:val="18"/>
              </w:rPr>
            </w:pPr>
            <w:r w:rsidRPr="000E2797">
              <w:rPr>
                <w:rFonts w:ascii="Arial" w:eastAsia="Times New Roman" w:hAnsi="Arial" w:cs="Arial"/>
                <w:b/>
                <w:bCs/>
                <w:sz w:val="18"/>
                <w:szCs w:val="18"/>
              </w:rPr>
              <w:t>A vs. B</w:t>
            </w:r>
            <w:r w:rsidRPr="000E2797">
              <w:rPr>
                <w:rFonts w:ascii="Arial" w:eastAsia="Times New Roman" w:hAnsi="Arial" w:cs="Arial"/>
                <w:b/>
                <w:bCs/>
                <w:sz w:val="18"/>
                <w:szCs w:val="18"/>
              </w:rPr>
              <w:br/>
            </w:r>
            <w:r w:rsidRPr="000E2797">
              <w:rPr>
                <w:rFonts w:ascii="Arial" w:eastAsia="Times New Roman" w:hAnsi="Arial" w:cs="Arial"/>
                <w:sz w:val="18"/>
                <w:szCs w:val="18"/>
              </w:rPr>
              <w:t>Death 0.7% (6/897) including 1 MI vs. 0% (0/881); RR 12.77, 95% CI 0.72 to 226.32</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B</w:t>
            </w:r>
            <w:r w:rsidRPr="000E2797">
              <w:rPr>
                <w:rFonts w:ascii="Arial" w:eastAsia="Times New Roman" w:hAnsi="Arial" w:cs="Arial"/>
                <w:sz w:val="18"/>
                <w:szCs w:val="18"/>
              </w:rPr>
              <w:br/>
              <w:t>Withdrawal due to adverse events: 7.4% (66/897) vs. 6.2% (55/883)</w:t>
            </w:r>
            <w:r w:rsidRPr="000E2797">
              <w:rPr>
                <w:rFonts w:ascii="Arial" w:eastAsia="Times New Roman" w:hAnsi="Arial" w:cs="Arial"/>
                <w:sz w:val="18"/>
                <w:szCs w:val="18"/>
              </w:rPr>
              <w:br/>
              <w:t>Any adverse event: 90% (810/897) vs. 85% (750/881</w:t>
            </w:r>
            <w:r w:rsidRPr="000E2797">
              <w:rPr>
                <w:rFonts w:ascii="Arial" w:eastAsia="Times New Roman" w:hAnsi="Arial" w:cs="Arial"/>
                <w:sz w:val="18"/>
                <w:szCs w:val="18"/>
              </w:rPr>
              <w:br/>
              <w:t xml:space="preserve">Serious adverse event: 0.6% (5/897) vs. 0.2% (2/881) </w:t>
            </w:r>
          </w:p>
        </w:tc>
        <w:tc>
          <w:tcPr>
            <w:tcW w:w="0" w:type="auto"/>
            <w:shd w:val="clear" w:color="auto" w:fill="auto"/>
            <w:hideMark/>
          </w:tcPr>
          <w:p w:rsidR="005023CA" w:rsidRPr="000E2797" w:rsidRDefault="005023CA" w:rsidP="005023CA">
            <w:pPr>
              <w:jc w:val="center"/>
              <w:rPr>
                <w:rFonts w:ascii="Arial" w:eastAsia="Times New Roman" w:hAnsi="Arial" w:cs="Arial"/>
                <w:sz w:val="18"/>
                <w:szCs w:val="18"/>
              </w:rPr>
            </w:pPr>
            <w:r w:rsidRPr="000E2797">
              <w:rPr>
                <w:rFonts w:ascii="Arial" w:eastAsia="Times New Roman" w:hAnsi="Arial" w:cs="Arial"/>
                <w:sz w:val="18"/>
                <w:szCs w:val="18"/>
              </w:rPr>
              <w:t>Good</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Takeda Pharmaceuticals</w:t>
            </w:r>
          </w:p>
        </w:tc>
      </w:tr>
      <w:tr w:rsidR="005023CA" w:rsidRPr="000E2797" w:rsidTr="005023CA">
        <w:trPr>
          <w:cantSplit/>
        </w:trPr>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lastRenderedPageBreak/>
              <w:t>Li, 2008</w:t>
            </w:r>
            <w:r w:rsidRPr="000E2797">
              <w:rPr>
                <w:rFonts w:ascii="Arial" w:eastAsia="Times New Roman" w:hAnsi="Arial" w:cs="Arial"/>
                <w:sz w:val="18"/>
                <w:szCs w:val="18"/>
                <w:vertAlign w:val="superscript"/>
              </w:rPr>
              <w:t xml:space="preserve">102 </w:t>
            </w:r>
            <w:r w:rsidRPr="000E2797">
              <w:rPr>
                <w:rFonts w:ascii="Arial" w:eastAsia="Times New Roman" w:hAnsi="Arial" w:cs="Arial"/>
                <w:sz w:val="18"/>
                <w:szCs w:val="18"/>
              </w:rPr>
              <w:t>and Li, 2014</w:t>
            </w:r>
            <w:r w:rsidRPr="000E2797">
              <w:rPr>
                <w:rFonts w:ascii="Arial" w:eastAsia="Times New Roman" w:hAnsi="Arial" w:cs="Arial"/>
                <w:sz w:val="18"/>
                <w:szCs w:val="18"/>
                <w:vertAlign w:val="superscript"/>
              </w:rPr>
              <w:t>110</w:t>
            </w:r>
            <w:r w:rsidRPr="000E2797">
              <w:rPr>
                <w:rFonts w:ascii="Arial" w:eastAsia="Times New Roman" w:hAnsi="Arial" w:cs="Arial"/>
                <w:sz w:val="18"/>
                <w:szCs w:val="18"/>
              </w:rPr>
              <w:br/>
              <w:t>Da Qing</w:t>
            </w:r>
          </w:p>
        </w:tc>
        <w:tc>
          <w:tcPr>
            <w:tcW w:w="0" w:type="auto"/>
            <w:shd w:val="clear" w:color="auto" w:fill="auto"/>
            <w:hideMark/>
          </w:tcPr>
          <w:p w:rsidR="005023CA" w:rsidRPr="000E2797" w:rsidRDefault="005023CA" w:rsidP="005023CA">
            <w:pPr>
              <w:ind w:right="35"/>
              <w:rPr>
                <w:rFonts w:ascii="Arial" w:eastAsia="Times New Roman" w:hAnsi="Arial" w:cs="Arial"/>
                <w:sz w:val="18"/>
                <w:szCs w:val="18"/>
              </w:rPr>
            </w:pPr>
            <w:r w:rsidRPr="000E2797">
              <w:rPr>
                <w:rFonts w:ascii="Arial" w:eastAsia="Times New Roman" w:hAnsi="Arial" w:cs="Arial"/>
                <w:sz w:val="18"/>
                <w:szCs w:val="18"/>
              </w:rPr>
              <w:t>Screened: 110,660</w:t>
            </w:r>
            <w:r w:rsidRPr="000E2797">
              <w:rPr>
                <w:rFonts w:ascii="Arial" w:eastAsia="Times New Roman" w:hAnsi="Arial" w:cs="Arial"/>
                <w:sz w:val="18"/>
                <w:szCs w:val="18"/>
              </w:rPr>
              <w:br/>
              <w:t>Eligible: NR</w:t>
            </w:r>
            <w:r w:rsidRPr="000E2797">
              <w:rPr>
                <w:rFonts w:ascii="Arial" w:eastAsia="Times New Roman" w:hAnsi="Arial" w:cs="Arial"/>
                <w:sz w:val="18"/>
                <w:szCs w:val="18"/>
              </w:rPr>
              <w:br/>
              <w:t>Enrolled: 577</w:t>
            </w:r>
            <w:r w:rsidRPr="000E2797">
              <w:rPr>
                <w:rFonts w:ascii="Arial" w:eastAsia="Times New Roman" w:hAnsi="Arial" w:cs="Arial"/>
                <w:sz w:val="18"/>
                <w:szCs w:val="18"/>
              </w:rPr>
              <w:br/>
              <w:t>Analyzed: 530</w:t>
            </w:r>
            <w:r w:rsidRPr="000E2797">
              <w:rPr>
                <w:rFonts w:ascii="Arial" w:eastAsia="Times New Roman" w:hAnsi="Arial" w:cs="Arial"/>
                <w:sz w:val="18"/>
                <w:szCs w:val="18"/>
              </w:rPr>
              <w:br/>
              <w:t>Withdrawal: 7</w:t>
            </w:r>
            <w:r w:rsidRPr="000E2797">
              <w:rPr>
                <w:rFonts w:ascii="Arial" w:eastAsia="Times New Roman" w:hAnsi="Arial" w:cs="Arial"/>
                <w:sz w:val="18"/>
                <w:szCs w:val="18"/>
              </w:rPr>
              <w:br/>
              <w:t>Loss to followup: 40</w:t>
            </w:r>
          </w:p>
        </w:tc>
        <w:tc>
          <w:tcPr>
            <w:tcW w:w="0" w:type="auto"/>
            <w:shd w:val="clear" w:color="auto" w:fill="auto"/>
            <w:hideMark/>
          </w:tcPr>
          <w:p w:rsidR="00B80D8C" w:rsidRPr="00B80D8C" w:rsidRDefault="005023CA" w:rsidP="00B80D8C">
            <w:pPr>
              <w:rPr>
                <w:rFonts w:ascii="Arial" w:eastAsia="Times New Roman" w:hAnsi="Arial" w:cs="Arial"/>
                <w:sz w:val="18"/>
                <w:szCs w:val="18"/>
              </w:rPr>
            </w:pPr>
            <w:r w:rsidRPr="000E2797">
              <w:rPr>
                <w:rFonts w:ascii="Arial" w:eastAsia="Times New Roman" w:hAnsi="Arial" w:cs="Arial"/>
                <w:b/>
                <w:bCs/>
                <w:sz w:val="18"/>
                <w:szCs w:val="18"/>
              </w:rPr>
              <w:t>A vs. B</w:t>
            </w:r>
            <w:r w:rsidRPr="000E2797">
              <w:rPr>
                <w:rFonts w:ascii="Arial" w:eastAsia="Times New Roman" w:hAnsi="Arial" w:cs="Arial"/>
                <w:sz w:val="18"/>
                <w:szCs w:val="18"/>
              </w:rPr>
              <w:br/>
            </w:r>
            <w:r w:rsidRPr="000E2797">
              <w:rPr>
                <w:rFonts w:ascii="Arial" w:eastAsia="Times New Roman" w:hAnsi="Arial" w:cs="Arial"/>
                <w:sz w:val="18"/>
                <w:szCs w:val="18"/>
                <w:u w:val="single"/>
              </w:rPr>
              <w:t>20-year followup</w:t>
            </w:r>
            <w:r w:rsidRPr="000E2797">
              <w:rPr>
                <w:rFonts w:ascii="Arial" w:eastAsia="Times New Roman" w:hAnsi="Arial" w:cs="Arial"/>
                <w:sz w:val="18"/>
                <w:szCs w:val="18"/>
              </w:rPr>
              <w:br/>
            </w:r>
            <w:r w:rsidR="00B80D8C" w:rsidRPr="00B80D8C">
              <w:rPr>
                <w:rFonts w:ascii="Arial" w:eastAsia="Times New Roman" w:hAnsi="Arial" w:cs="Arial"/>
                <w:sz w:val="18"/>
                <w:szCs w:val="18"/>
              </w:rPr>
              <w:t>All-cause mortality: 25% vs. 29%; HR 0.96, 95% CI 0.65</w:t>
            </w:r>
            <w:r w:rsidR="00B80D8C">
              <w:rPr>
                <w:rFonts w:ascii="Arial" w:eastAsia="Times New Roman" w:hAnsi="Arial" w:cs="Arial"/>
                <w:sz w:val="18"/>
                <w:szCs w:val="18"/>
              </w:rPr>
              <w:t xml:space="preserve"> </w:t>
            </w:r>
            <w:r w:rsidR="00B80D8C" w:rsidRPr="00B80D8C">
              <w:rPr>
                <w:rFonts w:ascii="Arial" w:eastAsia="Times New Roman" w:hAnsi="Arial" w:cs="Arial"/>
                <w:sz w:val="18"/>
                <w:szCs w:val="18"/>
              </w:rPr>
              <w:t>to 1.41</w:t>
            </w:r>
          </w:p>
          <w:p w:rsidR="00B80D8C" w:rsidRPr="00B80D8C" w:rsidRDefault="00B80D8C" w:rsidP="00B80D8C">
            <w:pPr>
              <w:rPr>
                <w:rFonts w:ascii="Arial" w:eastAsia="Times New Roman" w:hAnsi="Arial" w:cs="Arial"/>
                <w:sz w:val="18"/>
                <w:szCs w:val="18"/>
              </w:rPr>
            </w:pPr>
            <w:r w:rsidRPr="00B80D8C">
              <w:rPr>
                <w:rFonts w:ascii="Arial" w:eastAsia="Times New Roman" w:hAnsi="Arial" w:cs="Arial"/>
                <w:sz w:val="18"/>
                <w:szCs w:val="18"/>
              </w:rPr>
              <w:t>CVD mortality: 12% vs 17%; HR 0.83, 95% CI 0.48 to 1.40</w:t>
            </w:r>
          </w:p>
          <w:p w:rsidR="005023CA" w:rsidRPr="000E2797" w:rsidRDefault="00B80D8C" w:rsidP="00B80D8C">
            <w:pPr>
              <w:rPr>
                <w:rFonts w:ascii="Arial" w:eastAsia="Times New Roman" w:hAnsi="Arial" w:cs="Arial"/>
                <w:sz w:val="18"/>
                <w:szCs w:val="18"/>
              </w:rPr>
            </w:pPr>
            <w:r w:rsidRPr="00B80D8C">
              <w:rPr>
                <w:rFonts w:ascii="Arial" w:eastAsia="Times New Roman" w:hAnsi="Arial" w:cs="Arial"/>
                <w:sz w:val="18"/>
                <w:szCs w:val="18"/>
              </w:rPr>
              <w:t>CVD event incidence: 41%  vs 44%; HR 0.98, 95% CI 0.71 to 1.37</w:t>
            </w:r>
            <w:r w:rsidR="005023CA" w:rsidRPr="000E2797">
              <w:rPr>
                <w:rFonts w:ascii="Arial" w:eastAsia="Times New Roman" w:hAnsi="Arial" w:cs="Arial"/>
                <w:sz w:val="18"/>
                <w:szCs w:val="18"/>
              </w:rPr>
              <w:t xml:space="preserve"> </w:t>
            </w:r>
            <w:r w:rsidR="005023CA" w:rsidRPr="000E2797">
              <w:rPr>
                <w:rFonts w:ascii="Arial" w:eastAsia="Times New Roman" w:hAnsi="Arial" w:cs="Arial"/>
                <w:sz w:val="18"/>
                <w:szCs w:val="18"/>
              </w:rPr>
              <w:br/>
            </w:r>
            <w:r w:rsidR="005023CA" w:rsidRPr="000E2797">
              <w:rPr>
                <w:rFonts w:ascii="Arial" w:eastAsia="Times New Roman" w:hAnsi="Arial" w:cs="Arial"/>
                <w:sz w:val="18"/>
                <w:szCs w:val="18"/>
                <w:u w:val="single"/>
              </w:rPr>
              <w:t>23-year followup</w:t>
            </w:r>
            <w:r w:rsidR="005023CA" w:rsidRPr="000E2797">
              <w:rPr>
                <w:rFonts w:ascii="Arial" w:eastAsia="Times New Roman" w:hAnsi="Arial" w:cs="Arial"/>
                <w:sz w:val="18"/>
                <w:szCs w:val="18"/>
              </w:rPr>
              <w:br/>
              <w:t>All-cause mortality: 28% (121/430) vs. 38% (53/138); HR 0.71 (95% CI 0.51 to 0.99)</w:t>
            </w:r>
            <w:r w:rsidR="005023CA" w:rsidRPr="000E2797">
              <w:rPr>
                <w:rFonts w:ascii="Arial" w:eastAsia="Times New Roman" w:hAnsi="Arial" w:cs="Arial"/>
                <w:sz w:val="18"/>
                <w:szCs w:val="18"/>
              </w:rPr>
              <w:br/>
              <w:t xml:space="preserve"> -Women: 15% (31/205) vs 29% (17/59); HR 0.46 (95% CI 0.24 to 0.87)</w:t>
            </w:r>
            <w:r w:rsidR="005023CA" w:rsidRPr="000E2797">
              <w:rPr>
                <w:rFonts w:ascii="Arial" w:eastAsia="Times New Roman" w:hAnsi="Arial" w:cs="Arial"/>
                <w:sz w:val="18"/>
                <w:szCs w:val="18"/>
              </w:rPr>
              <w:br/>
              <w:t xml:space="preserve"> -Men: 40% (93/233) vs 46% (36/79); HR 0.97 (95% CI 0.65 to 1.46)</w:t>
            </w:r>
            <w:r w:rsidR="005023CA" w:rsidRPr="000E2797">
              <w:rPr>
                <w:rFonts w:ascii="Arial" w:eastAsia="Times New Roman" w:hAnsi="Arial" w:cs="Arial"/>
                <w:sz w:val="18"/>
                <w:szCs w:val="18"/>
              </w:rPr>
              <w:br/>
              <w:t>CVD mortality: 12% (51/430) vs. 20% (27/138); HR 0.59 (95% CI 0.36 to 0.96)</w:t>
            </w:r>
            <w:r w:rsidR="005023CA" w:rsidRPr="000E2797">
              <w:rPr>
                <w:rFonts w:ascii="Arial" w:eastAsia="Times New Roman" w:hAnsi="Arial" w:cs="Arial"/>
                <w:sz w:val="18"/>
                <w:szCs w:val="18"/>
              </w:rPr>
              <w:br/>
              <w:t xml:space="preserve"> -Women: 6% (12/206) vs 17% (10/59); HR 0.28 (95% CI 0.11 to 0.71)</w:t>
            </w:r>
            <w:r w:rsidR="005023CA" w:rsidRPr="000E2797">
              <w:rPr>
                <w:rFonts w:ascii="Arial" w:eastAsia="Times New Roman" w:hAnsi="Arial" w:cs="Arial"/>
                <w:sz w:val="18"/>
                <w:szCs w:val="18"/>
              </w:rPr>
              <w:br/>
              <w:t xml:space="preserve"> -Men: 17% (40/233) vs 22% (17/79); HR 0.91 (95% CI 0.50 to 1.65)</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NR</w:t>
            </w:r>
          </w:p>
        </w:tc>
        <w:tc>
          <w:tcPr>
            <w:tcW w:w="0" w:type="auto"/>
            <w:shd w:val="clear" w:color="auto" w:fill="auto"/>
            <w:hideMark/>
          </w:tcPr>
          <w:p w:rsidR="005023CA" w:rsidRPr="000E2797" w:rsidRDefault="005023CA" w:rsidP="005023CA">
            <w:pPr>
              <w:jc w:val="center"/>
              <w:rPr>
                <w:rFonts w:ascii="Arial" w:eastAsia="Times New Roman" w:hAnsi="Arial" w:cs="Arial"/>
                <w:sz w:val="18"/>
                <w:szCs w:val="18"/>
              </w:rPr>
            </w:pPr>
            <w:r w:rsidRPr="000E2797">
              <w:rPr>
                <w:rFonts w:ascii="Arial" w:eastAsia="Times New Roman" w:hAnsi="Arial" w:cs="Arial"/>
                <w:sz w:val="18"/>
                <w:szCs w:val="18"/>
              </w:rPr>
              <w:t>Fair</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World Health Organization, Centers for Disease Control and Prevention, China-Japan Friendship Hospital, and Da Qing First Hospital</w:t>
            </w:r>
          </w:p>
        </w:tc>
      </w:tr>
      <w:tr w:rsidR="005023CA" w:rsidRPr="000E2797" w:rsidTr="005023CA">
        <w:trPr>
          <w:cantSplit/>
        </w:trPr>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NAVIGATOR, 2010</w:t>
            </w:r>
            <w:r w:rsidRPr="000E2797">
              <w:rPr>
                <w:rFonts w:ascii="Arial" w:eastAsia="Times New Roman" w:hAnsi="Arial" w:cs="Arial"/>
                <w:sz w:val="18"/>
                <w:szCs w:val="18"/>
                <w:vertAlign w:val="superscript"/>
              </w:rPr>
              <w:t>103</w:t>
            </w:r>
            <w:r w:rsidRPr="000E2797">
              <w:rPr>
                <w:rFonts w:ascii="Arial" w:eastAsia="Times New Roman" w:hAnsi="Arial" w:cs="Arial"/>
                <w:sz w:val="18"/>
                <w:szCs w:val="18"/>
              </w:rPr>
              <w:br/>
            </w:r>
          </w:p>
        </w:tc>
        <w:tc>
          <w:tcPr>
            <w:tcW w:w="0" w:type="auto"/>
            <w:shd w:val="clear" w:color="auto" w:fill="auto"/>
            <w:hideMark/>
          </w:tcPr>
          <w:p w:rsidR="005023CA" w:rsidRPr="000E2797" w:rsidRDefault="005023CA" w:rsidP="005023CA">
            <w:pPr>
              <w:ind w:right="35"/>
              <w:rPr>
                <w:rFonts w:ascii="Arial" w:eastAsia="Times New Roman" w:hAnsi="Arial" w:cs="Arial"/>
                <w:sz w:val="18"/>
                <w:szCs w:val="18"/>
              </w:rPr>
            </w:pPr>
            <w:r w:rsidRPr="000E2797">
              <w:rPr>
                <w:rFonts w:ascii="Arial" w:eastAsia="Times New Roman" w:hAnsi="Arial" w:cs="Arial"/>
                <w:sz w:val="18"/>
                <w:szCs w:val="18"/>
              </w:rPr>
              <w:t>Screened: 43502</w:t>
            </w:r>
            <w:r w:rsidRPr="000E2797">
              <w:rPr>
                <w:rFonts w:ascii="Arial" w:eastAsia="Times New Roman" w:hAnsi="Arial" w:cs="Arial"/>
                <w:sz w:val="18"/>
                <w:szCs w:val="18"/>
              </w:rPr>
              <w:br/>
              <w:t>Eligible: 9518</w:t>
            </w:r>
            <w:r w:rsidRPr="000E2797">
              <w:rPr>
                <w:rFonts w:ascii="Arial" w:eastAsia="Times New Roman" w:hAnsi="Arial" w:cs="Arial"/>
                <w:sz w:val="18"/>
                <w:szCs w:val="18"/>
              </w:rPr>
              <w:br/>
              <w:t>Enrolled: 9518</w:t>
            </w:r>
            <w:r w:rsidRPr="000E2797">
              <w:rPr>
                <w:rFonts w:ascii="Arial" w:eastAsia="Times New Roman" w:hAnsi="Arial" w:cs="Arial"/>
                <w:sz w:val="18"/>
                <w:szCs w:val="18"/>
              </w:rPr>
              <w:br/>
              <w:t>Analyzed: 9306</w:t>
            </w:r>
            <w:r w:rsidRPr="000E2797">
              <w:rPr>
                <w:rFonts w:ascii="Arial" w:eastAsia="Times New Roman" w:hAnsi="Arial" w:cs="Arial"/>
                <w:sz w:val="18"/>
                <w:szCs w:val="18"/>
              </w:rPr>
              <w:br/>
            </w:r>
            <w:r w:rsidRPr="000E2797">
              <w:rPr>
                <w:rFonts w:ascii="Arial" w:eastAsia="Times New Roman" w:hAnsi="Arial" w:cs="Arial"/>
                <w:b/>
                <w:bCs/>
                <w:sz w:val="18"/>
                <w:szCs w:val="18"/>
              </w:rPr>
              <w:t>A vs. B</w:t>
            </w:r>
            <w:r w:rsidRPr="000E2797">
              <w:rPr>
                <w:rFonts w:ascii="Arial" w:eastAsia="Times New Roman" w:hAnsi="Arial" w:cs="Arial"/>
                <w:sz w:val="18"/>
                <w:szCs w:val="18"/>
              </w:rPr>
              <w:br/>
              <w:t>Withdrawal: 3.5% (163/4645) vs. 3.1% (143/4661)</w:t>
            </w:r>
            <w:r w:rsidRPr="000E2797">
              <w:rPr>
                <w:rFonts w:ascii="Arial" w:eastAsia="Times New Roman" w:hAnsi="Arial" w:cs="Arial"/>
                <w:sz w:val="18"/>
                <w:szCs w:val="18"/>
              </w:rPr>
              <w:br/>
              <w:t>Loss to followup: 9.6% (446/4645) vs. 9.8% (459/4661)</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B</w:t>
            </w:r>
            <w:r w:rsidRPr="000E2797">
              <w:rPr>
                <w:rFonts w:ascii="Arial" w:eastAsia="Times New Roman" w:hAnsi="Arial" w:cs="Arial"/>
                <w:sz w:val="18"/>
                <w:szCs w:val="18"/>
              </w:rPr>
              <w:br/>
              <w:t>Extended cardiovascular events: 25.6 vs. 27.5 cases/1000 person-years; HR 0.93, 95% CI 0.83 to 1.03</w:t>
            </w:r>
            <w:r w:rsidRPr="000E2797">
              <w:rPr>
                <w:rFonts w:ascii="Arial" w:eastAsia="Times New Roman" w:hAnsi="Arial" w:cs="Arial"/>
                <w:sz w:val="18"/>
                <w:szCs w:val="18"/>
              </w:rPr>
              <w:br/>
              <w:t>CVD death: 4.4 vs. 4.1 cases/1000 person-years; HR 1.07, 95% CI 0.83 to 1.38</w:t>
            </w:r>
            <w:r w:rsidRPr="000E2797">
              <w:rPr>
                <w:rFonts w:ascii="Arial" w:eastAsia="Times New Roman" w:hAnsi="Arial" w:cs="Arial"/>
                <w:sz w:val="18"/>
                <w:szCs w:val="18"/>
              </w:rPr>
              <w:br/>
              <w:t>All-cause mortality: 10.9 vs. 11 cases/1000 person-years; HR 1.00, 95% CI 0.85 to 1.17</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B</w:t>
            </w:r>
            <w:r w:rsidRPr="000E2797">
              <w:rPr>
                <w:rFonts w:ascii="Arial" w:eastAsia="Times New Roman" w:hAnsi="Arial" w:cs="Arial"/>
                <w:sz w:val="18"/>
                <w:szCs w:val="18"/>
              </w:rPr>
              <w:br/>
              <w:t>Discontinued due to adverse event: 11.2% (520/4645) vs. 10.4% (485/4661); RR 1.08, 95% CI 0.96 to 1.21</w:t>
            </w:r>
            <w:r w:rsidRPr="000E2797">
              <w:rPr>
                <w:rFonts w:ascii="Arial" w:eastAsia="Times New Roman" w:hAnsi="Arial" w:cs="Arial"/>
                <w:sz w:val="18"/>
                <w:szCs w:val="18"/>
              </w:rPr>
              <w:br/>
              <w:t>Hypoglycemia: 19.6% (911/4645) vs. 11.3% (527/4661); RR 1.73, 95% CI 1.57 to 1.92</w:t>
            </w:r>
          </w:p>
        </w:tc>
        <w:tc>
          <w:tcPr>
            <w:tcW w:w="0" w:type="auto"/>
            <w:shd w:val="clear" w:color="auto" w:fill="auto"/>
            <w:hideMark/>
          </w:tcPr>
          <w:p w:rsidR="005023CA" w:rsidRPr="000E2797" w:rsidRDefault="005023CA" w:rsidP="005023CA">
            <w:pPr>
              <w:jc w:val="center"/>
              <w:rPr>
                <w:rFonts w:ascii="Arial" w:eastAsia="Times New Roman" w:hAnsi="Arial" w:cs="Arial"/>
                <w:sz w:val="18"/>
                <w:szCs w:val="18"/>
              </w:rPr>
            </w:pPr>
            <w:r w:rsidRPr="000E2797">
              <w:rPr>
                <w:rFonts w:ascii="Arial" w:eastAsia="Times New Roman" w:hAnsi="Arial" w:cs="Arial"/>
                <w:sz w:val="18"/>
                <w:szCs w:val="18"/>
              </w:rPr>
              <w:t>Good</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Novartis Pharma</w:t>
            </w:r>
          </w:p>
        </w:tc>
      </w:tr>
      <w:tr w:rsidR="005023CA" w:rsidRPr="000E2797" w:rsidTr="005023CA">
        <w:trPr>
          <w:cantSplit/>
        </w:trPr>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lastRenderedPageBreak/>
              <w:t>NAVIGATOR, 2010</w:t>
            </w:r>
            <w:r w:rsidRPr="000E2797">
              <w:rPr>
                <w:rFonts w:ascii="Arial" w:eastAsia="Times New Roman" w:hAnsi="Arial" w:cs="Arial"/>
                <w:sz w:val="18"/>
                <w:szCs w:val="18"/>
                <w:vertAlign w:val="superscript"/>
              </w:rPr>
              <w:t>104</w:t>
            </w:r>
          </w:p>
        </w:tc>
        <w:tc>
          <w:tcPr>
            <w:tcW w:w="0" w:type="auto"/>
            <w:shd w:val="clear" w:color="auto" w:fill="auto"/>
            <w:hideMark/>
          </w:tcPr>
          <w:p w:rsidR="005023CA" w:rsidRPr="000E2797" w:rsidRDefault="005023CA" w:rsidP="005023CA">
            <w:pPr>
              <w:ind w:right="35"/>
              <w:rPr>
                <w:rFonts w:ascii="Arial" w:eastAsia="Times New Roman" w:hAnsi="Arial" w:cs="Arial"/>
                <w:sz w:val="18"/>
                <w:szCs w:val="18"/>
              </w:rPr>
            </w:pPr>
            <w:r w:rsidRPr="000E2797">
              <w:rPr>
                <w:rFonts w:ascii="Arial" w:eastAsia="Times New Roman" w:hAnsi="Arial" w:cs="Arial"/>
                <w:sz w:val="18"/>
                <w:szCs w:val="18"/>
              </w:rPr>
              <w:t>Screened: 43502</w:t>
            </w:r>
            <w:r w:rsidRPr="000E2797">
              <w:rPr>
                <w:rFonts w:ascii="Arial" w:eastAsia="Times New Roman" w:hAnsi="Arial" w:cs="Arial"/>
                <w:sz w:val="18"/>
                <w:szCs w:val="18"/>
              </w:rPr>
              <w:br/>
              <w:t>Eligible: 9518</w:t>
            </w:r>
            <w:r w:rsidRPr="000E2797">
              <w:rPr>
                <w:rFonts w:ascii="Arial" w:eastAsia="Times New Roman" w:hAnsi="Arial" w:cs="Arial"/>
                <w:sz w:val="18"/>
                <w:szCs w:val="18"/>
              </w:rPr>
              <w:br/>
              <w:t>Enrolled: 9518</w:t>
            </w:r>
            <w:r w:rsidRPr="000E2797">
              <w:rPr>
                <w:rFonts w:ascii="Arial" w:eastAsia="Times New Roman" w:hAnsi="Arial" w:cs="Arial"/>
                <w:sz w:val="18"/>
                <w:szCs w:val="18"/>
              </w:rPr>
              <w:br/>
              <w:t>Analyzed: 9306</w:t>
            </w:r>
            <w:r w:rsidRPr="000E2797">
              <w:rPr>
                <w:rFonts w:ascii="Arial" w:eastAsia="Times New Roman" w:hAnsi="Arial" w:cs="Arial"/>
                <w:sz w:val="18"/>
                <w:szCs w:val="18"/>
              </w:rPr>
              <w:br/>
            </w:r>
            <w:r w:rsidRPr="000E2797">
              <w:rPr>
                <w:rFonts w:ascii="Arial" w:eastAsia="Times New Roman" w:hAnsi="Arial" w:cs="Arial"/>
                <w:b/>
                <w:bCs/>
                <w:sz w:val="18"/>
                <w:szCs w:val="18"/>
              </w:rPr>
              <w:t>A vs. B</w:t>
            </w:r>
            <w:r w:rsidRPr="000E2797">
              <w:rPr>
                <w:rFonts w:ascii="Arial" w:eastAsia="Times New Roman" w:hAnsi="Arial" w:cs="Arial"/>
                <w:sz w:val="18"/>
                <w:szCs w:val="18"/>
              </w:rPr>
              <w:br/>
              <w:t>Withdrawal: 3.3% (151/4631) vs. 3.3% (155/4675)</w:t>
            </w:r>
            <w:r w:rsidRPr="000E2797">
              <w:rPr>
                <w:rFonts w:ascii="Arial" w:eastAsia="Times New Roman" w:hAnsi="Arial" w:cs="Arial"/>
                <w:sz w:val="18"/>
                <w:szCs w:val="18"/>
              </w:rPr>
              <w:br/>
              <w:t>Loss to followup: 9.4% (437/4631) vs. 10.0% (468/4675)</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B</w:t>
            </w:r>
            <w:r w:rsidRPr="000E2797">
              <w:rPr>
                <w:rFonts w:ascii="Arial" w:eastAsia="Times New Roman" w:hAnsi="Arial" w:cs="Arial"/>
                <w:sz w:val="18"/>
                <w:szCs w:val="18"/>
              </w:rPr>
              <w:br/>
              <w:t>Extended cardiovascular events: 26.2 vs. 26.9 cases/1000 person-years; HR 0.96, 95% CI 0.86 to 1.07</w:t>
            </w:r>
            <w:r w:rsidRPr="000E2797">
              <w:rPr>
                <w:rFonts w:ascii="Arial" w:eastAsia="Times New Roman" w:hAnsi="Arial" w:cs="Arial"/>
                <w:sz w:val="18"/>
                <w:szCs w:val="18"/>
              </w:rPr>
              <w:br/>
              <w:t>CVD death: 4.5 vs. 4.1 cases/1000 person-years; HR 1.09, 95% CI 0.85 to 1.40</w:t>
            </w:r>
            <w:r w:rsidRPr="000E2797">
              <w:rPr>
                <w:rFonts w:ascii="Arial" w:eastAsia="Times New Roman" w:hAnsi="Arial" w:cs="Arial"/>
                <w:sz w:val="18"/>
                <w:szCs w:val="18"/>
              </w:rPr>
              <w:br/>
              <w:t>All-cause mortality: 10.4 vs. 11.5 cases/1000 person-years; HR 0.90, 95% CI 0.77 to 1.05</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B</w:t>
            </w:r>
            <w:r w:rsidRPr="000E2797">
              <w:rPr>
                <w:rFonts w:ascii="Arial" w:eastAsia="Times New Roman" w:hAnsi="Arial" w:cs="Arial"/>
                <w:sz w:val="18"/>
                <w:szCs w:val="18"/>
              </w:rPr>
              <w:br/>
              <w:t>Discontinued due to adverse event: 12.0% (556/4631) vs. 11.4% (531/4675); RR 1.06, 95% CI 0.95 to 1.18</w:t>
            </w:r>
            <w:r w:rsidRPr="000E2797">
              <w:rPr>
                <w:rFonts w:ascii="Arial" w:eastAsia="Times New Roman" w:hAnsi="Arial" w:cs="Arial"/>
                <w:sz w:val="18"/>
                <w:szCs w:val="18"/>
              </w:rPr>
              <w:br/>
              <w:t>Hypoglycemia: 42.4% (1936/4631) vs. 35.9% (1678/4675); RR 1.16, 95% CI 1.11 to 1.23</w:t>
            </w:r>
            <w:r w:rsidRPr="000E2797">
              <w:rPr>
                <w:rFonts w:ascii="Arial" w:eastAsia="Times New Roman" w:hAnsi="Arial" w:cs="Arial"/>
                <w:color w:val="DD0806"/>
                <w:sz w:val="18"/>
                <w:szCs w:val="18"/>
              </w:rPr>
              <w:t xml:space="preserve"> </w:t>
            </w:r>
          </w:p>
        </w:tc>
        <w:tc>
          <w:tcPr>
            <w:tcW w:w="0" w:type="auto"/>
            <w:shd w:val="clear" w:color="auto" w:fill="auto"/>
            <w:hideMark/>
          </w:tcPr>
          <w:p w:rsidR="005023CA" w:rsidRPr="000E2797" w:rsidRDefault="005023CA" w:rsidP="005023CA">
            <w:pPr>
              <w:jc w:val="center"/>
              <w:rPr>
                <w:rFonts w:ascii="Arial" w:eastAsia="Times New Roman" w:hAnsi="Arial" w:cs="Arial"/>
                <w:sz w:val="18"/>
                <w:szCs w:val="18"/>
              </w:rPr>
            </w:pPr>
            <w:r w:rsidRPr="000E2797">
              <w:rPr>
                <w:rFonts w:ascii="Arial" w:eastAsia="Times New Roman" w:hAnsi="Arial" w:cs="Arial"/>
                <w:sz w:val="18"/>
                <w:szCs w:val="18"/>
              </w:rPr>
              <w:t>Good</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Novartis Pharma</w:t>
            </w:r>
          </w:p>
        </w:tc>
      </w:tr>
      <w:tr w:rsidR="005023CA" w:rsidRPr="000E2797" w:rsidTr="005023CA">
        <w:trPr>
          <w:cantSplit/>
        </w:trPr>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Nijpels, 2008</w:t>
            </w:r>
            <w:r w:rsidRPr="000E2797">
              <w:rPr>
                <w:rFonts w:ascii="Arial" w:eastAsia="Times New Roman" w:hAnsi="Arial" w:cs="Arial"/>
                <w:sz w:val="18"/>
                <w:szCs w:val="18"/>
                <w:vertAlign w:val="superscript"/>
              </w:rPr>
              <w:t>105</w:t>
            </w:r>
            <w:r w:rsidRPr="000E2797">
              <w:rPr>
                <w:rFonts w:ascii="Arial" w:eastAsia="Times New Roman" w:hAnsi="Arial" w:cs="Arial"/>
                <w:sz w:val="18"/>
                <w:szCs w:val="18"/>
              </w:rPr>
              <w:br/>
              <w:t>DAISI</w:t>
            </w:r>
          </w:p>
        </w:tc>
        <w:tc>
          <w:tcPr>
            <w:tcW w:w="0" w:type="auto"/>
            <w:shd w:val="clear" w:color="auto" w:fill="auto"/>
            <w:hideMark/>
          </w:tcPr>
          <w:p w:rsidR="005023CA" w:rsidRPr="000E2797" w:rsidRDefault="005023CA" w:rsidP="005023CA">
            <w:pPr>
              <w:ind w:right="35"/>
              <w:rPr>
                <w:rFonts w:ascii="Arial" w:eastAsia="Times New Roman" w:hAnsi="Arial" w:cs="Arial"/>
                <w:sz w:val="18"/>
                <w:szCs w:val="18"/>
              </w:rPr>
            </w:pPr>
            <w:r w:rsidRPr="000E2797">
              <w:rPr>
                <w:rFonts w:ascii="Arial" w:eastAsia="Times New Roman" w:hAnsi="Arial" w:cs="Arial"/>
                <w:sz w:val="18"/>
                <w:szCs w:val="18"/>
              </w:rPr>
              <w:t>Screened: 6651</w:t>
            </w:r>
            <w:r w:rsidRPr="000E2797">
              <w:rPr>
                <w:rFonts w:ascii="Arial" w:eastAsia="Times New Roman" w:hAnsi="Arial" w:cs="Arial"/>
                <w:sz w:val="18"/>
                <w:szCs w:val="18"/>
              </w:rPr>
              <w:br/>
              <w:t>Eligible: 171</w:t>
            </w:r>
            <w:r w:rsidRPr="000E2797">
              <w:rPr>
                <w:rFonts w:ascii="Arial" w:eastAsia="Times New Roman" w:hAnsi="Arial" w:cs="Arial"/>
                <w:sz w:val="18"/>
                <w:szCs w:val="18"/>
              </w:rPr>
              <w:br/>
              <w:t>Enrolled: 118 (53 failed qualification period)</w:t>
            </w:r>
            <w:r w:rsidRPr="000E2797">
              <w:rPr>
                <w:rFonts w:ascii="Arial" w:eastAsia="Times New Roman" w:hAnsi="Arial" w:cs="Arial"/>
                <w:sz w:val="18"/>
                <w:szCs w:val="18"/>
              </w:rPr>
              <w:br/>
              <w:t>Analyzed: 118</w:t>
            </w:r>
            <w:r w:rsidRPr="000E2797">
              <w:rPr>
                <w:rFonts w:ascii="Arial" w:eastAsia="Times New Roman" w:hAnsi="Arial" w:cs="Arial"/>
                <w:sz w:val="18"/>
                <w:szCs w:val="18"/>
              </w:rPr>
              <w:br/>
            </w:r>
            <w:r w:rsidRPr="000E2797">
              <w:rPr>
                <w:rFonts w:ascii="Arial" w:eastAsia="Times New Roman" w:hAnsi="Arial" w:cs="Arial"/>
                <w:b/>
                <w:bCs/>
                <w:sz w:val="18"/>
                <w:szCs w:val="18"/>
              </w:rPr>
              <w:t>A vs. B</w:t>
            </w:r>
            <w:r w:rsidRPr="000E2797">
              <w:rPr>
                <w:rFonts w:ascii="Arial" w:eastAsia="Times New Roman" w:hAnsi="Arial" w:cs="Arial"/>
                <w:sz w:val="18"/>
                <w:szCs w:val="18"/>
              </w:rPr>
              <w:br/>
              <w:t>Loss to followup: 0% vs. 1.7% (1/58)</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B</w:t>
            </w:r>
            <w:r w:rsidRPr="000E2797">
              <w:rPr>
                <w:rFonts w:ascii="Arial" w:eastAsia="Times New Roman" w:hAnsi="Arial" w:cs="Arial"/>
                <w:sz w:val="18"/>
                <w:szCs w:val="18"/>
              </w:rPr>
              <w:br/>
              <w:t>Death: 1.7% (1/60) vs. 5.2% (3/58); RR 0.32, 95% CI 0.03 to 3.01</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B</w:t>
            </w:r>
            <w:r w:rsidRPr="000E2797">
              <w:rPr>
                <w:rFonts w:ascii="Arial" w:eastAsia="Times New Roman" w:hAnsi="Arial" w:cs="Arial"/>
                <w:sz w:val="18"/>
                <w:szCs w:val="18"/>
              </w:rPr>
              <w:br/>
              <w:t>Withdrawal due to adverse events: 36.7% (22/60) vs. 13.8% (8/58); RR 2.66, 95% CI 1.29 to 5.48</w:t>
            </w:r>
          </w:p>
        </w:tc>
        <w:tc>
          <w:tcPr>
            <w:tcW w:w="0" w:type="auto"/>
            <w:shd w:val="clear" w:color="auto" w:fill="auto"/>
            <w:hideMark/>
          </w:tcPr>
          <w:p w:rsidR="005023CA" w:rsidRPr="000E2797" w:rsidRDefault="005023CA" w:rsidP="005023CA">
            <w:pPr>
              <w:jc w:val="center"/>
              <w:rPr>
                <w:rFonts w:ascii="Arial" w:eastAsia="Times New Roman" w:hAnsi="Arial" w:cs="Arial"/>
                <w:sz w:val="18"/>
                <w:szCs w:val="18"/>
              </w:rPr>
            </w:pPr>
            <w:r w:rsidRPr="000E2797">
              <w:rPr>
                <w:rFonts w:ascii="Arial" w:eastAsia="Times New Roman" w:hAnsi="Arial" w:cs="Arial"/>
                <w:sz w:val="18"/>
                <w:szCs w:val="18"/>
              </w:rPr>
              <w:t>Fair</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Bayer Healthcare AG</w:t>
            </w:r>
          </w:p>
        </w:tc>
      </w:tr>
      <w:tr w:rsidR="005023CA" w:rsidRPr="000E2797" w:rsidTr="005023CA">
        <w:trPr>
          <w:cantSplit/>
        </w:trPr>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Ramachandran, 2009</w:t>
            </w:r>
            <w:r w:rsidRPr="000E2797">
              <w:rPr>
                <w:rFonts w:ascii="Arial" w:eastAsia="Times New Roman" w:hAnsi="Arial" w:cs="Arial"/>
                <w:sz w:val="18"/>
                <w:szCs w:val="18"/>
                <w:vertAlign w:val="superscript"/>
              </w:rPr>
              <w:t>106</w:t>
            </w:r>
            <w:r w:rsidRPr="000E2797">
              <w:rPr>
                <w:rFonts w:ascii="Arial" w:eastAsia="Times New Roman" w:hAnsi="Arial" w:cs="Arial"/>
                <w:sz w:val="18"/>
                <w:szCs w:val="18"/>
              </w:rPr>
              <w:br/>
              <w:t>IDPP-2</w:t>
            </w:r>
          </w:p>
        </w:tc>
        <w:tc>
          <w:tcPr>
            <w:tcW w:w="0" w:type="auto"/>
            <w:shd w:val="clear" w:color="auto" w:fill="auto"/>
            <w:hideMark/>
          </w:tcPr>
          <w:p w:rsidR="005023CA" w:rsidRPr="000E2797" w:rsidRDefault="005023CA" w:rsidP="005023CA">
            <w:pPr>
              <w:ind w:right="35"/>
              <w:rPr>
                <w:rFonts w:ascii="Arial" w:eastAsia="Times New Roman" w:hAnsi="Arial" w:cs="Arial"/>
                <w:sz w:val="18"/>
                <w:szCs w:val="18"/>
              </w:rPr>
            </w:pPr>
            <w:r w:rsidRPr="000E2797">
              <w:rPr>
                <w:rFonts w:ascii="Arial" w:eastAsia="Times New Roman" w:hAnsi="Arial" w:cs="Arial"/>
                <w:sz w:val="18"/>
                <w:szCs w:val="18"/>
              </w:rPr>
              <w:t>Screened: 6589</w:t>
            </w:r>
            <w:r w:rsidRPr="000E2797">
              <w:rPr>
                <w:rFonts w:ascii="Arial" w:eastAsia="Times New Roman" w:hAnsi="Arial" w:cs="Arial"/>
                <w:sz w:val="18"/>
                <w:szCs w:val="18"/>
              </w:rPr>
              <w:br/>
              <w:t>Enrolled: 407</w:t>
            </w:r>
            <w:r w:rsidRPr="000E2797">
              <w:rPr>
                <w:rFonts w:ascii="Arial" w:eastAsia="Times New Roman" w:hAnsi="Arial" w:cs="Arial"/>
                <w:sz w:val="18"/>
                <w:szCs w:val="18"/>
              </w:rPr>
              <w:br/>
              <w:t>Analyzed: 367</w:t>
            </w:r>
            <w:r w:rsidRPr="000E2797">
              <w:rPr>
                <w:rFonts w:ascii="Arial" w:eastAsia="Times New Roman" w:hAnsi="Arial" w:cs="Arial"/>
                <w:sz w:val="18"/>
                <w:szCs w:val="18"/>
              </w:rPr>
              <w:br/>
            </w:r>
            <w:r w:rsidRPr="000E2797">
              <w:rPr>
                <w:rFonts w:ascii="Arial" w:eastAsia="Times New Roman" w:hAnsi="Arial" w:cs="Arial"/>
                <w:b/>
                <w:bCs/>
                <w:sz w:val="18"/>
                <w:szCs w:val="18"/>
              </w:rPr>
              <w:t>A vs. B</w:t>
            </w:r>
            <w:r w:rsidRPr="000E2797">
              <w:rPr>
                <w:rFonts w:ascii="Arial" w:eastAsia="Times New Roman" w:hAnsi="Arial" w:cs="Arial"/>
                <w:sz w:val="18"/>
                <w:szCs w:val="18"/>
              </w:rPr>
              <w:br/>
              <w:t>Loss to followup: 11.3% (21/181)</w:t>
            </w:r>
            <w:r w:rsidRPr="000E2797">
              <w:rPr>
                <w:rFonts w:ascii="Arial" w:eastAsia="Times New Roman" w:hAnsi="Arial" w:cs="Arial"/>
                <w:sz w:val="18"/>
                <w:szCs w:val="18"/>
              </w:rPr>
              <w:br/>
              <w:t xml:space="preserve"> vs. 8.4% (16/186)</w:t>
            </w:r>
          </w:p>
        </w:tc>
        <w:tc>
          <w:tcPr>
            <w:tcW w:w="0" w:type="auto"/>
            <w:shd w:val="clear" w:color="auto" w:fill="auto"/>
            <w:hideMark/>
          </w:tcPr>
          <w:p w:rsidR="005023CA" w:rsidRPr="000E2797" w:rsidRDefault="005023CA" w:rsidP="005023CA">
            <w:pPr>
              <w:rPr>
                <w:rFonts w:ascii="Arial" w:eastAsia="Times New Roman" w:hAnsi="Arial" w:cs="Arial"/>
                <w:b/>
                <w:bCs/>
                <w:sz w:val="18"/>
                <w:szCs w:val="18"/>
              </w:rPr>
            </w:pPr>
            <w:r w:rsidRPr="000E2797">
              <w:rPr>
                <w:rFonts w:ascii="Arial" w:eastAsia="Times New Roman" w:hAnsi="Arial" w:cs="Arial"/>
                <w:b/>
                <w:bCs/>
                <w:sz w:val="18"/>
                <w:szCs w:val="18"/>
              </w:rPr>
              <w:t>A vs. B</w:t>
            </w:r>
            <w:r w:rsidRPr="000E2797">
              <w:rPr>
                <w:rFonts w:ascii="Arial" w:eastAsia="Times New Roman" w:hAnsi="Arial" w:cs="Arial"/>
                <w:b/>
                <w:bCs/>
                <w:sz w:val="18"/>
                <w:szCs w:val="18"/>
              </w:rPr>
              <w:br/>
            </w:r>
            <w:r w:rsidRPr="000E2797">
              <w:rPr>
                <w:rFonts w:ascii="Arial" w:eastAsia="Times New Roman" w:hAnsi="Arial" w:cs="Arial"/>
                <w:sz w:val="18"/>
                <w:szCs w:val="18"/>
              </w:rPr>
              <w:t>Death: 1% (2/204) due to cardiac arrest vs. 0.5% (1/203) due to road accident; RR 1.99, 95% CI 0.18 to 21.78</w:t>
            </w:r>
            <w:r w:rsidRPr="000E2797">
              <w:rPr>
                <w:rFonts w:ascii="Arial" w:eastAsia="Times New Roman" w:hAnsi="Arial" w:cs="Arial"/>
                <w:sz w:val="18"/>
                <w:szCs w:val="18"/>
              </w:rPr>
              <w:br/>
              <w:t>Occurrence of heart disease requiring admission: 1% (2/204) vs. 0.5% (1/203); RR 1.99, 95% CI 0.18 to 21.78</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B</w:t>
            </w:r>
            <w:r w:rsidRPr="000E2797">
              <w:rPr>
                <w:rFonts w:ascii="Arial" w:eastAsia="Times New Roman" w:hAnsi="Arial" w:cs="Arial"/>
                <w:sz w:val="18"/>
                <w:szCs w:val="18"/>
              </w:rPr>
              <w:br/>
              <w:t>Major other adverse events: 2% (4/204) vs.4.9% (10/203); RR 0.40, 95% CI 0.13 to 1.25</w:t>
            </w:r>
          </w:p>
        </w:tc>
        <w:tc>
          <w:tcPr>
            <w:tcW w:w="0" w:type="auto"/>
            <w:shd w:val="clear" w:color="auto" w:fill="auto"/>
            <w:hideMark/>
          </w:tcPr>
          <w:p w:rsidR="005023CA" w:rsidRPr="000E2797" w:rsidRDefault="005023CA" w:rsidP="005023CA">
            <w:pPr>
              <w:jc w:val="center"/>
              <w:rPr>
                <w:rFonts w:ascii="Arial" w:eastAsia="Times New Roman" w:hAnsi="Arial" w:cs="Arial"/>
                <w:sz w:val="18"/>
                <w:szCs w:val="18"/>
              </w:rPr>
            </w:pPr>
            <w:r w:rsidRPr="000E2797">
              <w:rPr>
                <w:rFonts w:ascii="Arial" w:eastAsia="Times New Roman" w:hAnsi="Arial" w:cs="Arial"/>
                <w:sz w:val="18"/>
                <w:szCs w:val="18"/>
              </w:rPr>
              <w:t>Fair</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India's Diabetes Research Foundation</w:t>
            </w:r>
          </w:p>
        </w:tc>
      </w:tr>
      <w:tr w:rsidR="005023CA" w:rsidRPr="000E2797" w:rsidTr="005023CA">
        <w:trPr>
          <w:cantSplit/>
        </w:trPr>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lastRenderedPageBreak/>
              <w:t>Uusitupa, 2009</w:t>
            </w:r>
            <w:r w:rsidRPr="000E2797">
              <w:rPr>
                <w:rFonts w:ascii="Arial" w:eastAsia="Times New Roman" w:hAnsi="Arial" w:cs="Arial"/>
                <w:sz w:val="18"/>
                <w:szCs w:val="18"/>
                <w:vertAlign w:val="superscript"/>
              </w:rPr>
              <w:t>108</w:t>
            </w:r>
            <w:r w:rsidRPr="000E2797">
              <w:rPr>
                <w:rFonts w:ascii="Arial" w:eastAsia="Times New Roman" w:hAnsi="Arial" w:cs="Arial"/>
                <w:sz w:val="18"/>
                <w:szCs w:val="18"/>
              </w:rPr>
              <w:br/>
              <w:t>Finnish DPS</w:t>
            </w:r>
          </w:p>
        </w:tc>
        <w:tc>
          <w:tcPr>
            <w:tcW w:w="0" w:type="auto"/>
            <w:shd w:val="clear" w:color="auto" w:fill="auto"/>
            <w:hideMark/>
          </w:tcPr>
          <w:p w:rsidR="005023CA" w:rsidRPr="000E2797" w:rsidRDefault="005023CA" w:rsidP="005023CA">
            <w:pPr>
              <w:ind w:right="35"/>
              <w:rPr>
                <w:rFonts w:ascii="Arial" w:eastAsia="Times New Roman" w:hAnsi="Arial" w:cs="Arial"/>
                <w:sz w:val="18"/>
                <w:szCs w:val="18"/>
              </w:rPr>
            </w:pPr>
            <w:r w:rsidRPr="000E2797">
              <w:rPr>
                <w:rFonts w:ascii="Arial" w:eastAsia="Times New Roman" w:hAnsi="Arial" w:cs="Arial"/>
                <w:sz w:val="18"/>
                <w:szCs w:val="18"/>
              </w:rPr>
              <w:t>522 enrolled</w:t>
            </w:r>
            <w:r w:rsidRPr="000E2797">
              <w:rPr>
                <w:rFonts w:ascii="Arial" w:eastAsia="Times New Roman" w:hAnsi="Arial" w:cs="Arial"/>
                <w:sz w:val="18"/>
                <w:szCs w:val="18"/>
              </w:rPr>
              <w:br/>
              <w:t>17 patients not analyzed because did not consent for linkage records</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B vs. C vs. D vs. E vs. F</w:t>
            </w:r>
            <w:r w:rsidRPr="000E2797">
              <w:rPr>
                <w:rFonts w:ascii="Arial" w:eastAsia="Times New Roman" w:hAnsi="Arial" w:cs="Arial"/>
                <w:sz w:val="18"/>
                <w:szCs w:val="18"/>
              </w:rPr>
              <w:br/>
              <w:t>Death: 2.2 vs.3.8 vs. 6.6 vs.16.4 vs. 21.0 vs. 28.8 cases/1000 person-years</w:t>
            </w:r>
            <w:r w:rsidRPr="000E2797">
              <w:rPr>
                <w:rFonts w:ascii="Arial" w:eastAsia="Times New Roman" w:hAnsi="Arial" w:cs="Arial"/>
                <w:sz w:val="18"/>
                <w:szCs w:val="18"/>
              </w:rPr>
              <w:br/>
              <w:t>Total mortality, unadjusted: HR 0.15, 95% CI 0.06 to 0.35 vs. HR 0.26, 95% CI 0.13 to 0.52 vs. HR 0.40, 95% CI 0.28 to 0.57 vs. HR 1 (reference standard) vs. HR 1.29, 95% CI 0.71 to 0.24 vs. HR 1.77, 95% CI 1.05 to 2.98</w:t>
            </w:r>
            <w:r w:rsidRPr="000E2797">
              <w:rPr>
                <w:rFonts w:ascii="Arial" w:eastAsia="Times New Roman" w:hAnsi="Arial" w:cs="Arial"/>
                <w:sz w:val="18"/>
                <w:szCs w:val="18"/>
              </w:rPr>
              <w:br/>
              <w:t>Total mortality, adjusted: HR 0.21, 95% CI 0.09 to 0.52 vs. HR 0.39, 95% CI 0.20 to 0.79 vs. HR 0.52, 95% CI 0.36 to 0.74 vs. HR 1 (reference standard) vs. HR 1.08, 95% CI 0.56 to 2.06 vs. HR 1.96, 95% CI 1.15 to 3.34</w:t>
            </w:r>
            <w:r w:rsidRPr="000E2797">
              <w:rPr>
                <w:rFonts w:ascii="Arial" w:eastAsia="Times New Roman" w:hAnsi="Arial" w:cs="Arial"/>
                <w:sz w:val="18"/>
                <w:szCs w:val="18"/>
              </w:rPr>
              <w:br/>
              <w:t>CVD event: 22.9 vs. 22.0 vs. 19.3 vs. 39.9 vs. 62 vs. 67.2 cases/1000 person-years</w:t>
            </w:r>
            <w:r w:rsidRPr="000E2797">
              <w:rPr>
                <w:rFonts w:ascii="Arial" w:eastAsia="Times New Roman" w:hAnsi="Arial" w:cs="Arial"/>
                <w:sz w:val="18"/>
                <w:szCs w:val="18"/>
              </w:rPr>
              <w:br/>
              <w:t>CVD event, unadjusted: HR 0.59, 95% CI 0.41 to 0.83 vs. HR 0.56, 95% CI 0.40 to 0.80 vs. HR 0.48, 95% CI 0.37 to 0.62 vs. HR 1 (reference standard) vs. HR 1.58, 95% CI 1.04 to 2.39 vs. HR 1.69, 95% CI 1.11 to 2.39</w:t>
            </w:r>
            <w:r w:rsidRPr="000E2797">
              <w:rPr>
                <w:rFonts w:ascii="Arial" w:eastAsia="Times New Roman" w:hAnsi="Arial" w:cs="Arial"/>
                <w:sz w:val="18"/>
                <w:szCs w:val="18"/>
              </w:rPr>
              <w:br/>
              <w:t>CVD event, adjusted: HR 0.89, 95% CI 0.62 to 1.27 vs. HR 0.87, 95% CI 0.60 to 1.27 vs. HR 0.67, 95% CI 0.51 to 0.88 vs. HR 1 (reference standard) vs. HR 1.39, 95% CI 0.90 to 2.15 vs. HR 1.64, 95% CI 1.02 to 2.15</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NR</w:t>
            </w:r>
          </w:p>
        </w:tc>
        <w:tc>
          <w:tcPr>
            <w:tcW w:w="0" w:type="auto"/>
            <w:shd w:val="clear" w:color="auto" w:fill="auto"/>
            <w:hideMark/>
          </w:tcPr>
          <w:p w:rsidR="005023CA" w:rsidRPr="000E2797" w:rsidRDefault="005023CA" w:rsidP="005023CA">
            <w:pPr>
              <w:jc w:val="center"/>
              <w:rPr>
                <w:rFonts w:ascii="Arial" w:eastAsia="Times New Roman" w:hAnsi="Arial" w:cs="Arial"/>
                <w:sz w:val="18"/>
                <w:szCs w:val="18"/>
              </w:rPr>
            </w:pPr>
            <w:r w:rsidRPr="000E2797">
              <w:rPr>
                <w:rFonts w:ascii="Arial" w:eastAsia="Times New Roman" w:hAnsi="Arial" w:cs="Arial"/>
                <w:sz w:val="18"/>
                <w:szCs w:val="18"/>
              </w:rPr>
              <w:t>Fair</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multiple public and private funders</w:t>
            </w:r>
          </w:p>
        </w:tc>
      </w:tr>
      <w:tr w:rsidR="005023CA" w:rsidRPr="000E2797" w:rsidTr="005023CA">
        <w:trPr>
          <w:cantSplit/>
        </w:trPr>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lastRenderedPageBreak/>
              <w:t>Zinman, 2010</w:t>
            </w:r>
            <w:r w:rsidRPr="000E2797">
              <w:rPr>
                <w:rFonts w:ascii="Arial" w:eastAsia="Times New Roman" w:hAnsi="Arial" w:cs="Arial"/>
                <w:sz w:val="18"/>
                <w:szCs w:val="18"/>
                <w:vertAlign w:val="superscript"/>
              </w:rPr>
              <w:t>109</w:t>
            </w:r>
            <w:r w:rsidRPr="000E2797">
              <w:rPr>
                <w:rFonts w:ascii="Arial" w:eastAsia="Times New Roman" w:hAnsi="Arial" w:cs="Arial"/>
                <w:sz w:val="18"/>
                <w:szCs w:val="18"/>
              </w:rPr>
              <w:br/>
              <w:t>CANOE</w:t>
            </w:r>
          </w:p>
        </w:tc>
        <w:tc>
          <w:tcPr>
            <w:tcW w:w="0" w:type="auto"/>
            <w:shd w:val="clear" w:color="auto" w:fill="auto"/>
            <w:hideMark/>
          </w:tcPr>
          <w:p w:rsidR="005023CA" w:rsidRPr="000E2797" w:rsidRDefault="005023CA" w:rsidP="005023CA">
            <w:pPr>
              <w:ind w:right="35"/>
              <w:rPr>
                <w:rFonts w:ascii="Arial" w:eastAsia="Times New Roman" w:hAnsi="Arial" w:cs="Arial"/>
                <w:sz w:val="18"/>
                <w:szCs w:val="18"/>
              </w:rPr>
            </w:pPr>
            <w:r w:rsidRPr="000E2797">
              <w:rPr>
                <w:rFonts w:ascii="Arial" w:eastAsia="Times New Roman" w:hAnsi="Arial" w:cs="Arial"/>
                <w:sz w:val="18"/>
                <w:szCs w:val="18"/>
              </w:rPr>
              <w:t xml:space="preserve">Screened: 992 </w:t>
            </w:r>
            <w:r w:rsidRPr="000E2797">
              <w:rPr>
                <w:rFonts w:ascii="Arial" w:eastAsia="Times New Roman" w:hAnsi="Arial" w:cs="Arial"/>
                <w:sz w:val="18"/>
                <w:szCs w:val="18"/>
              </w:rPr>
              <w:br/>
              <w:t>Eligible: 247</w:t>
            </w:r>
            <w:r w:rsidRPr="000E2797">
              <w:rPr>
                <w:rFonts w:ascii="Arial" w:eastAsia="Times New Roman" w:hAnsi="Arial" w:cs="Arial"/>
                <w:sz w:val="18"/>
                <w:szCs w:val="18"/>
              </w:rPr>
              <w:br/>
              <w:t>Enrolled: 207</w:t>
            </w:r>
            <w:r w:rsidRPr="000E2797">
              <w:rPr>
                <w:rFonts w:ascii="Arial" w:eastAsia="Times New Roman" w:hAnsi="Arial" w:cs="Arial"/>
                <w:sz w:val="18"/>
                <w:szCs w:val="18"/>
              </w:rPr>
              <w:br/>
              <w:t>Analyzed: 207</w:t>
            </w:r>
            <w:r w:rsidRPr="000E2797">
              <w:rPr>
                <w:rFonts w:ascii="Arial" w:eastAsia="Times New Roman" w:hAnsi="Arial" w:cs="Arial"/>
                <w:sz w:val="18"/>
                <w:szCs w:val="18"/>
              </w:rPr>
              <w:br/>
            </w:r>
            <w:r w:rsidRPr="000E2797">
              <w:rPr>
                <w:rFonts w:ascii="Arial" w:eastAsia="Times New Roman" w:hAnsi="Arial" w:cs="Arial"/>
                <w:b/>
                <w:bCs/>
                <w:sz w:val="18"/>
                <w:szCs w:val="18"/>
              </w:rPr>
              <w:t>A vs. B</w:t>
            </w:r>
            <w:r w:rsidRPr="000E2797">
              <w:rPr>
                <w:rFonts w:ascii="Arial" w:eastAsia="Times New Roman" w:hAnsi="Arial" w:cs="Arial"/>
                <w:b/>
                <w:bCs/>
                <w:sz w:val="18"/>
                <w:szCs w:val="18"/>
              </w:rPr>
              <w:br/>
            </w:r>
            <w:r w:rsidRPr="000E2797">
              <w:rPr>
                <w:rFonts w:ascii="Arial" w:eastAsia="Times New Roman" w:hAnsi="Arial" w:cs="Arial"/>
                <w:sz w:val="18"/>
                <w:szCs w:val="18"/>
              </w:rPr>
              <w:t>Withdrawal: 12.6% (13/103) vs. 9.6% (10/104)</w:t>
            </w:r>
            <w:r w:rsidRPr="000E2797">
              <w:rPr>
                <w:rFonts w:ascii="Arial" w:eastAsia="Times New Roman" w:hAnsi="Arial" w:cs="Arial"/>
                <w:sz w:val="18"/>
                <w:szCs w:val="18"/>
              </w:rPr>
              <w:br/>
              <w:t>Loss to followup: 1.9% (2/103) vs. 1.9% (2/104)</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B</w:t>
            </w:r>
            <w:r w:rsidRPr="000E2797">
              <w:rPr>
                <w:rFonts w:ascii="Arial" w:eastAsia="Times New Roman" w:hAnsi="Arial" w:cs="Arial"/>
                <w:sz w:val="18"/>
                <w:szCs w:val="18"/>
              </w:rPr>
              <w:br/>
              <w:t>MI: 0% (0/103) vs. 1% (1/104), RR 0.34, 95% CI 0.01 to 8.17</w:t>
            </w:r>
            <w:r w:rsidRPr="000E2797">
              <w:rPr>
                <w:rFonts w:ascii="Arial" w:eastAsia="Times New Roman" w:hAnsi="Arial" w:cs="Arial"/>
                <w:sz w:val="18"/>
                <w:szCs w:val="18"/>
              </w:rPr>
              <w:br/>
              <w:t>CHF: 0% (0/103) vs. 1% (1/104), RR 0.34, 95% CI 0.01 to 8.17</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b/>
                <w:bCs/>
                <w:sz w:val="18"/>
                <w:szCs w:val="18"/>
              </w:rPr>
              <w:t>A vs. B</w:t>
            </w:r>
            <w:r w:rsidRPr="000E2797">
              <w:rPr>
                <w:rFonts w:ascii="Arial" w:eastAsia="Times New Roman" w:hAnsi="Arial" w:cs="Arial"/>
                <w:sz w:val="18"/>
                <w:szCs w:val="18"/>
              </w:rPr>
              <w:br/>
              <w:t>Hypoglycemia: 2% (2/103) vs. 1% (1/104); RR 2.02, 95% CI 0.19 to 21.93</w:t>
            </w:r>
          </w:p>
        </w:tc>
        <w:tc>
          <w:tcPr>
            <w:tcW w:w="0" w:type="auto"/>
            <w:shd w:val="clear" w:color="auto" w:fill="auto"/>
            <w:hideMark/>
          </w:tcPr>
          <w:p w:rsidR="005023CA" w:rsidRPr="000E2797" w:rsidRDefault="005023CA" w:rsidP="005023CA">
            <w:pPr>
              <w:jc w:val="center"/>
              <w:rPr>
                <w:rFonts w:ascii="Arial" w:eastAsia="Times New Roman" w:hAnsi="Arial" w:cs="Arial"/>
                <w:sz w:val="18"/>
                <w:szCs w:val="18"/>
              </w:rPr>
            </w:pPr>
            <w:r w:rsidRPr="000E2797">
              <w:rPr>
                <w:rFonts w:ascii="Arial" w:eastAsia="Times New Roman" w:hAnsi="Arial" w:cs="Arial"/>
                <w:sz w:val="18"/>
                <w:szCs w:val="18"/>
              </w:rPr>
              <w:t>Good</w:t>
            </w:r>
          </w:p>
        </w:tc>
        <w:tc>
          <w:tcPr>
            <w:tcW w:w="0" w:type="auto"/>
            <w:shd w:val="clear" w:color="auto" w:fill="auto"/>
            <w:hideMark/>
          </w:tcPr>
          <w:p w:rsidR="005023CA" w:rsidRPr="000E2797" w:rsidRDefault="005023CA" w:rsidP="005023CA">
            <w:pPr>
              <w:rPr>
                <w:rFonts w:ascii="Arial" w:eastAsia="Times New Roman" w:hAnsi="Arial" w:cs="Arial"/>
                <w:sz w:val="18"/>
                <w:szCs w:val="18"/>
              </w:rPr>
            </w:pPr>
            <w:r w:rsidRPr="000E2797">
              <w:rPr>
                <w:rFonts w:ascii="Arial" w:eastAsia="Times New Roman" w:hAnsi="Arial" w:cs="Arial"/>
                <w:sz w:val="18"/>
                <w:szCs w:val="18"/>
              </w:rPr>
              <w:t>GlaxoSmithKline</w:t>
            </w:r>
          </w:p>
        </w:tc>
      </w:tr>
    </w:tbl>
    <w:p w:rsidR="005023CA" w:rsidRPr="000E2797" w:rsidRDefault="005023CA" w:rsidP="005023CA">
      <w:pPr>
        <w:rPr>
          <w:sz w:val="16"/>
          <w:szCs w:val="16"/>
        </w:rPr>
      </w:pPr>
      <w:r w:rsidRPr="000E2797">
        <w:rPr>
          <w:rFonts w:ascii="Arial" w:hAnsi="Arial" w:cs="Arial"/>
          <w:b/>
          <w:sz w:val="16"/>
          <w:szCs w:val="16"/>
        </w:rPr>
        <w:t>Abbreviations:</w:t>
      </w:r>
      <w:r w:rsidRPr="000E2797">
        <w:rPr>
          <w:rFonts w:ascii="Arial" w:hAnsi="Arial" w:cs="Arial"/>
          <w:sz w:val="16"/>
          <w:szCs w:val="16"/>
        </w:rPr>
        <w:t xml:space="preserve"> AV = atrioventricular; BMI = body mass index; CABG = coronary artery bypass surgery; CAD = coronary artery disease; CHF = congestive heart failure; CI = confidence interval; CVD = cardiovascular disease; DBP = diastolic blood pressure; FHx = family history; FPG = fasting plasma glucose; GT = glucose tolerance; HbA = glycated hemoglobin; Hg= hemoglobin; 2HPG = 2-hour plasma glucose; HR = hazard ratio; IGT = impaired glucose tolerance; IRR = incident rate ratio; MCS = mental composite score; MI = myocardial infarction; NR = not relevant; NYHA = New York Heart Association; OGTT = oral glucose tolerance test; PCS = physical composite score; RCT = randomized, controlled trial; RF = risk factor; RR = relative risk; SBP = systolic blood pressure; SF = short form; TIA = transient ischemic attack; WHO = World Health Organization; WHOQOL-BREF = World Health Organization Quality of Life Assessment, short version.</w:t>
      </w:r>
    </w:p>
    <w:p w:rsidR="003876DF" w:rsidRPr="003876DF" w:rsidRDefault="003876DF" w:rsidP="001A0FE9">
      <w:pPr>
        <w:rPr>
          <w:rFonts w:ascii="Times New Roman" w:hAnsi="Times New Roman"/>
          <w:sz w:val="24"/>
          <w:szCs w:val="24"/>
        </w:rPr>
      </w:pPr>
    </w:p>
    <w:sectPr w:rsidR="003876DF" w:rsidRPr="003876DF" w:rsidSect="00E769D6">
      <w:headerReference w:type="default" r:id="rId8"/>
      <w:footerReference w:type="default" r:id="rId9"/>
      <w:pgSz w:w="15840" w:h="12240" w:orient="landscape"/>
      <w:pgMar w:top="1440" w:right="1440" w:bottom="1440" w:left="1440" w:header="720" w:footer="720" w:gutter="0"/>
      <w:pgNumType w:start="14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C86" w:rsidRDefault="00470C86" w:rsidP="008C7966">
      <w:r>
        <w:separator/>
      </w:r>
    </w:p>
  </w:endnote>
  <w:endnote w:type="continuationSeparator" w:id="0">
    <w:p w:rsidR="00470C86" w:rsidRDefault="00470C86" w:rsidP="008C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D6" w:rsidRPr="00A6773E" w:rsidRDefault="00E769D6" w:rsidP="005023CA">
    <w:pPr>
      <w:pStyle w:val="Footer"/>
      <w:tabs>
        <w:tab w:val="clear" w:pos="4680"/>
        <w:tab w:val="clear" w:pos="9360"/>
        <w:tab w:val="center" w:pos="6480"/>
        <w:tab w:val="right" w:pos="12960"/>
      </w:tabs>
      <w:rPr>
        <w:rFonts w:ascii="Arial" w:hAnsi="Arial" w:cs="Arial"/>
        <w:sz w:val="16"/>
        <w:szCs w:val="16"/>
      </w:rPr>
    </w:pPr>
    <w:r w:rsidRPr="00A6773E">
      <w:rPr>
        <w:rFonts w:ascii="Arial" w:hAnsi="Arial" w:cs="Arial"/>
        <w:sz w:val="16"/>
        <w:szCs w:val="16"/>
      </w:rPr>
      <w:t xml:space="preserve">Screening for Type 2 Diabetes Mellitus </w:t>
    </w:r>
    <w:r>
      <w:rPr>
        <w:rFonts w:ascii="Arial" w:hAnsi="Arial" w:cs="Arial"/>
        <w:sz w:val="16"/>
        <w:szCs w:val="16"/>
      </w:rPr>
      <w:tab/>
    </w:r>
    <w:r w:rsidRPr="00A6773E">
      <w:rPr>
        <w:rFonts w:ascii="Arial" w:hAnsi="Arial" w:cs="Arial"/>
        <w:sz w:val="16"/>
        <w:szCs w:val="16"/>
      </w:rPr>
      <w:fldChar w:fldCharType="begin"/>
    </w:r>
    <w:r w:rsidRPr="00A6773E">
      <w:rPr>
        <w:rFonts w:ascii="Arial" w:hAnsi="Arial" w:cs="Arial"/>
        <w:sz w:val="16"/>
        <w:szCs w:val="16"/>
      </w:rPr>
      <w:instrText xml:space="preserve"> PAGE   \* MERGEFORMAT </w:instrText>
    </w:r>
    <w:r w:rsidRPr="00A6773E">
      <w:rPr>
        <w:rFonts w:ascii="Arial" w:hAnsi="Arial" w:cs="Arial"/>
        <w:sz w:val="16"/>
        <w:szCs w:val="16"/>
      </w:rPr>
      <w:fldChar w:fldCharType="separate"/>
    </w:r>
    <w:r>
      <w:rPr>
        <w:rFonts w:ascii="Arial" w:hAnsi="Arial" w:cs="Arial"/>
        <w:noProof/>
        <w:sz w:val="16"/>
        <w:szCs w:val="16"/>
      </w:rPr>
      <w:t>142</w:t>
    </w:r>
    <w:r w:rsidRPr="00A6773E">
      <w:rPr>
        <w:rFonts w:ascii="Arial" w:hAnsi="Arial" w:cs="Arial"/>
        <w:noProof/>
        <w:sz w:val="16"/>
        <w:szCs w:val="16"/>
      </w:rPr>
      <w:fldChar w:fldCharType="end"/>
    </w:r>
    <w:r>
      <w:rPr>
        <w:rFonts w:ascii="Arial" w:hAnsi="Arial" w:cs="Arial"/>
        <w:noProof/>
        <w:sz w:val="16"/>
        <w:szCs w:val="16"/>
      </w:rPr>
      <w:tab/>
    </w:r>
    <w:r w:rsidRPr="00A6773E">
      <w:rPr>
        <w:rFonts w:ascii="Arial" w:hAnsi="Arial" w:cs="Arial"/>
        <w:noProof/>
        <w:sz w:val="16"/>
        <w:szCs w:val="16"/>
      </w:rPr>
      <w:t>Pacific Northwest EPC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C86" w:rsidRDefault="00470C86" w:rsidP="008C7966">
      <w:r>
        <w:separator/>
      </w:r>
    </w:p>
  </w:footnote>
  <w:footnote w:type="continuationSeparator" w:id="0">
    <w:p w:rsidR="00470C86" w:rsidRDefault="00470C86" w:rsidP="008C7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D6" w:rsidRPr="000E2797" w:rsidRDefault="00E769D6" w:rsidP="005023CA">
    <w:pPr>
      <w:tabs>
        <w:tab w:val="center" w:pos="4680"/>
        <w:tab w:val="right" w:pos="9360"/>
      </w:tabs>
      <w:rPr>
        <w:rFonts w:ascii="Arial" w:hAnsi="Arial" w:cs="Arial"/>
        <w:b/>
        <w:sz w:val="20"/>
        <w:szCs w:val="20"/>
        <w:lang w:eastAsia="x-none"/>
      </w:rPr>
    </w:pPr>
    <w:r w:rsidRPr="000E2797">
      <w:rPr>
        <w:rFonts w:ascii="Arial" w:hAnsi="Arial" w:cs="Arial"/>
        <w:b/>
        <w:sz w:val="20"/>
        <w:szCs w:val="20"/>
        <w:lang w:val="x-none" w:eastAsia="x-none"/>
      </w:rPr>
      <w:t>Appendix B3. Studies of the Effect of Interventions for Screen-Detected and Early DM, IFG, or IGT on Health Outcomes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014DD"/>
    <w:multiLevelType w:val="multilevel"/>
    <w:tmpl w:val="0952F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15D1FDA"/>
    <w:multiLevelType w:val="hybridMultilevel"/>
    <w:tmpl w:val="B78875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CE45E1"/>
    <w:multiLevelType w:val="hybridMultilevel"/>
    <w:tmpl w:val="04D49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16279F"/>
    <w:multiLevelType w:val="hybridMultilevel"/>
    <w:tmpl w:val="6A908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0D5CFF"/>
    <w:multiLevelType w:val="multilevel"/>
    <w:tmpl w:val="E43A3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6DF"/>
    <w:rsid w:val="00001248"/>
    <w:rsid w:val="000A77D7"/>
    <w:rsid w:val="000B2BED"/>
    <w:rsid w:val="000B7D5D"/>
    <w:rsid w:val="000E00A8"/>
    <w:rsid w:val="001A0FE9"/>
    <w:rsid w:val="001A517D"/>
    <w:rsid w:val="001C375B"/>
    <w:rsid w:val="001F2BEB"/>
    <w:rsid w:val="00200137"/>
    <w:rsid w:val="00232B7A"/>
    <w:rsid w:val="0034503B"/>
    <w:rsid w:val="00364C4D"/>
    <w:rsid w:val="003876DF"/>
    <w:rsid w:val="003E4B76"/>
    <w:rsid w:val="00470C86"/>
    <w:rsid w:val="00487363"/>
    <w:rsid w:val="004940B9"/>
    <w:rsid w:val="004D7E1F"/>
    <w:rsid w:val="005023CA"/>
    <w:rsid w:val="00510486"/>
    <w:rsid w:val="00585395"/>
    <w:rsid w:val="005F0559"/>
    <w:rsid w:val="00610C93"/>
    <w:rsid w:val="00684B55"/>
    <w:rsid w:val="006B1655"/>
    <w:rsid w:val="006C2174"/>
    <w:rsid w:val="0071783A"/>
    <w:rsid w:val="007E07DB"/>
    <w:rsid w:val="007E6A32"/>
    <w:rsid w:val="007E6E05"/>
    <w:rsid w:val="007F3E84"/>
    <w:rsid w:val="008250AA"/>
    <w:rsid w:val="008313A0"/>
    <w:rsid w:val="008722C3"/>
    <w:rsid w:val="008A7C9F"/>
    <w:rsid w:val="008B34B2"/>
    <w:rsid w:val="008C2132"/>
    <w:rsid w:val="008C7966"/>
    <w:rsid w:val="008F1076"/>
    <w:rsid w:val="009D0605"/>
    <w:rsid w:val="009E002B"/>
    <w:rsid w:val="00A56119"/>
    <w:rsid w:val="00B51B42"/>
    <w:rsid w:val="00B80D8C"/>
    <w:rsid w:val="00BC36AA"/>
    <w:rsid w:val="00C250F7"/>
    <w:rsid w:val="00C5351B"/>
    <w:rsid w:val="00D14759"/>
    <w:rsid w:val="00D23F06"/>
    <w:rsid w:val="00D404AD"/>
    <w:rsid w:val="00DD7305"/>
    <w:rsid w:val="00DF0112"/>
    <w:rsid w:val="00E16484"/>
    <w:rsid w:val="00E71023"/>
    <w:rsid w:val="00E769D6"/>
    <w:rsid w:val="00F14C6C"/>
    <w:rsid w:val="00F15E49"/>
    <w:rsid w:val="00F53852"/>
    <w:rsid w:val="00F87243"/>
    <w:rsid w:val="00FD557E"/>
    <w:rsid w:val="00FF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486"/>
    <w:rPr>
      <w:sz w:val="22"/>
      <w:szCs w:val="22"/>
    </w:rPr>
  </w:style>
  <w:style w:type="paragraph" w:styleId="Heading5">
    <w:name w:val="heading 5"/>
    <w:basedOn w:val="Normal"/>
    <w:next w:val="Normal"/>
    <w:link w:val="Heading5Char"/>
    <w:semiHidden/>
    <w:unhideWhenUsed/>
    <w:qFormat/>
    <w:rsid w:val="00DD7305"/>
    <w:pPr>
      <w:keepNext/>
      <w:jc w:val="center"/>
      <w:outlineLvl w:val="4"/>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966"/>
    <w:pPr>
      <w:tabs>
        <w:tab w:val="center" w:pos="4680"/>
        <w:tab w:val="right" w:pos="9360"/>
      </w:tabs>
    </w:pPr>
    <w:rPr>
      <w:lang w:val="x-none" w:eastAsia="x-none"/>
    </w:rPr>
  </w:style>
  <w:style w:type="character" w:customStyle="1" w:styleId="HeaderChar">
    <w:name w:val="Header Char"/>
    <w:link w:val="Header"/>
    <w:uiPriority w:val="99"/>
    <w:rsid w:val="008C7966"/>
    <w:rPr>
      <w:sz w:val="22"/>
      <w:szCs w:val="22"/>
    </w:rPr>
  </w:style>
  <w:style w:type="paragraph" w:styleId="Footer">
    <w:name w:val="footer"/>
    <w:basedOn w:val="Normal"/>
    <w:link w:val="FooterChar"/>
    <w:uiPriority w:val="99"/>
    <w:unhideWhenUsed/>
    <w:rsid w:val="008C7966"/>
    <w:pPr>
      <w:tabs>
        <w:tab w:val="center" w:pos="4680"/>
        <w:tab w:val="right" w:pos="9360"/>
      </w:tabs>
    </w:pPr>
    <w:rPr>
      <w:lang w:val="x-none" w:eastAsia="x-none"/>
    </w:rPr>
  </w:style>
  <w:style w:type="character" w:customStyle="1" w:styleId="FooterChar">
    <w:name w:val="Footer Char"/>
    <w:link w:val="Footer"/>
    <w:uiPriority w:val="99"/>
    <w:rsid w:val="008C7966"/>
    <w:rPr>
      <w:sz w:val="22"/>
      <w:szCs w:val="22"/>
    </w:rPr>
  </w:style>
  <w:style w:type="paragraph" w:styleId="BalloonText">
    <w:name w:val="Balloon Text"/>
    <w:basedOn w:val="Normal"/>
    <w:link w:val="BalloonTextChar"/>
    <w:uiPriority w:val="99"/>
    <w:semiHidden/>
    <w:unhideWhenUsed/>
    <w:rsid w:val="008C7966"/>
    <w:rPr>
      <w:rFonts w:ascii="Tahoma" w:hAnsi="Tahoma"/>
      <w:sz w:val="16"/>
      <w:szCs w:val="16"/>
      <w:lang w:val="x-none" w:eastAsia="x-none"/>
    </w:rPr>
  </w:style>
  <w:style w:type="character" w:customStyle="1" w:styleId="BalloonTextChar">
    <w:name w:val="Balloon Text Char"/>
    <w:link w:val="BalloonText"/>
    <w:uiPriority w:val="99"/>
    <w:semiHidden/>
    <w:rsid w:val="008C7966"/>
    <w:rPr>
      <w:rFonts w:ascii="Tahoma" w:hAnsi="Tahoma" w:cs="Tahoma"/>
      <w:sz w:val="16"/>
      <w:szCs w:val="16"/>
    </w:rPr>
  </w:style>
  <w:style w:type="paragraph" w:styleId="NoSpacing">
    <w:name w:val="No Spacing"/>
    <w:uiPriority w:val="1"/>
    <w:qFormat/>
    <w:rsid w:val="00DD7305"/>
    <w:rPr>
      <w:sz w:val="22"/>
      <w:szCs w:val="22"/>
    </w:rPr>
  </w:style>
  <w:style w:type="character" w:customStyle="1" w:styleId="Heading5Char">
    <w:name w:val="Heading 5 Char"/>
    <w:link w:val="Heading5"/>
    <w:semiHidden/>
    <w:rsid w:val="00DD7305"/>
    <w:rPr>
      <w:rFonts w:ascii="Arial" w:eastAsia="Times New Roman" w:hAnsi="Arial" w:cs="Arial"/>
      <w:b/>
      <w:bCs/>
      <w:szCs w:val="24"/>
    </w:rPr>
  </w:style>
  <w:style w:type="paragraph" w:styleId="Title">
    <w:name w:val="Title"/>
    <w:basedOn w:val="Normal"/>
    <w:link w:val="TitleChar"/>
    <w:qFormat/>
    <w:rsid w:val="00DD7305"/>
    <w:pPr>
      <w:jc w:val="center"/>
    </w:pPr>
    <w:rPr>
      <w:rFonts w:ascii="Times New Roman" w:eastAsia="Times New Roman" w:hAnsi="Times New Roman"/>
      <w:b/>
      <w:bCs/>
      <w:sz w:val="24"/>
      <w:szCs w:val="24"/>
    </w:rPr>
  </w:style>
  <w:style w:type="character" w:customStyle="1" w:styleId="TitleChar">
    <w:name w:val="Title Char"/>
    <w:link w:val="Title"/>
    <w:rsid w:val="00DD7305"/>
    <w:rPr>
      <w:rFonts w:ascii="Times New Roman" w:eastAsia="Times New Roman" w:hAnsi="Times New Roman"/>
      <w:b/>
      <w:bCs/>
      <w:sz w:val="24"/>
      <w:szCs w:val="24"/>
    </w:rPr>
  </w:style>
  <w:style w:type="paragraph" w:styleId="PlainText">
    <w:name w:val="Plain Text"/>
    <w:basedOn w:val="Normal"/>
    <w:link w:val="PlainTextChar"/>
    <w:uiPriority w:val="99"/>
    <w:unhideWhenUsed/>
    <w:rsid w:val="00FD557E"/>
    <w:rPr>
      <w:rFonts w:ascii="Arial" w:eastAsia="Times New Roman" w:hAnsi="Arial"/>
      <w:sz w:val="20"/>
      <w:szCs w:val="21"/>
    </w:rPr>
  </w:style>
  <w:style w:type="character" w:customStyle="1" w:styleId="PlainTextChar">
    <w:name w:val="Plain Text Char"/>
    <w:link w:val="PlainText"/>
    <w:uiPriority w:val="99"/>
    <w:rsid w:val="00FD557E"/>
    <w:rPr>
      <w:rFonts w:ascii="Arial" w:eastAsia="Times New Roman" w:hAnsi="Arial"/>
      <w:szCs w:val="21"/>
    </w:rPr>
  </w:style>
  <w:style w:type="character" w:styleId="Hyperlink">
    <w:name w:val="Hyperlink"/>
    <w:uiPriority w:val="99"/>
    <w:semiHidden/>
    <w:unhideWhenUsed/>
    <w:rsid w:val="003E4B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98887">
      <w:bodyDiv w:val="1"/>
      <w:marLeft w:val="0"/>
      <w:marRight w:val="0"/>
      <w:marTop w:val="0"/>
      <w:marBottom w:val="0"/>
      <w:divBdr>
        <w:top w:val="none" w:sz="0" w:space="0" w:color="auto"/>
        <w:left w:val="none" w:sz="0" w:space="0" w:color="auto"/>
        <w:bottom w:val="none" w:sz="0" w:space="0" w:color="auto"/>
        <w:right w:val="none" w:sz="0" w:space="0" w:color="auto"/>
      </w:divBdr>
    </w:div>
    <w:div w:id="73476058">
      <w:bodyDiv w:val="1"/>
      <w:marLeft w:val="0"/>
      <w:marRight w:val="0"/>
      <w:marTop w:val="0"/>
      <w:marBottom w:val="0"/>
      <w:divBdr>
        <w:top w:val="none" w:sz="0" w:space="0" w:color="auto"/>
        <w:left w:val="none" w:sz="0" w:space="0" w:color="auto"/>
        <w:bottom w:val="none" w:sz="0" w:space="0" w:color="auto"/>
        <w:right w:val="none" w:sz="0" w:space="0" w:color="auto"/>
      </w:divBdr>
      <w:divsChild>
        <w:div w:id="74742435">
          <w:marLeft w:val="0"/>
          <w:marRight w:val="0"/>
          <w:marTop w:val="0"/>
          <w:marBottom w:val="0"/>
          <w:divBdr>
            <w:top w:val="none" w:sz="0" w:space="0" w:color="auto"/>
            <w:left w:val="none" w:sz="0" w:space="0" w:color="auto"/>
            <w:bottom w:val="none" w:sz="0" w:space="0" w:color="auto"/>
            <w:right w:val="none" w:sz="0" w:space="0" w:color="auto"/>
          </w:divBdr>
          <w:divsChild>
            <w:div w:id="1508710859">
              <w:marLeft w:val="0"/>
              <w:marRight w:val="0"/>
              <w:marTop w:val="0"/>
              <w:marBottom w:val="0"/>
              <w:divBdr>
                <w:top w:val="none" w:sz="0" w:space="0" w:color="auto"/>
                <w:left w:val="none" w:sz="0" w:space="0" w:color="auto"/>
                <w:bottom w:val="none" w:sz="0" w:space="0" w:color="auto"/>
                <w:right w:val="none" w:sz="0" w:space="0" w:color="auto"/>
              </w:divBdr>
            </w:div>
          </w:divsChild>
        </w:div>
        <w:div w:id="106580305">
          <w:marLeft w:val="0"/>
          <w:marRight w:val="0"/>
          <w:marTop w:val="0"/>
          <w:marBottom w:val="0"/>
          <w:divBdr>
            <w:top w:val="none" w:sz="0" w:space="0" w:color="auto"/>
            <w:left w:val="none" w:sz="0" w:space="0" w:color="auto"/>
            <w:bottom w:val="none" w:sz="0" w:space="0" w:color="auto"/>
            <w:right w:val="none" w:sz="0" w:space="0" w:color="auto"/>
          </w:divBdr>
          <w:divsChild>
            <w:div w:id="1943486325">
              <w:marLeft w:val="0"/>
              <w:marRight w:val="0"/>
              <w:marTop w:val="0"/>
              <w:marBottom w:val="0"/>
              <w:divBdr>
                <w:top w:val="none" w:sz="0" w:space="0" w:color="auto"/>
                <w:left w:val="none" w:sz="0" w:space="0" w:color="auto"/>
                <w:bottom w:val="none" w:sz="0" w:space="0" w:color="auto"/>
                <w:right w:val="none" w:sz="0" w:space="0" w:color="auto"/>
              </w:divBdr>
            </w:div>
          </w:divsChild>
        </w:div>
        <w:div w:id="1129519156">
          <w:marLeft w:val="0"/>
          <w:marRight w:val="0"/>
          <w:marTop w:val="0"/>
          <w:marBottom w:val="0"/>
          <w:divBdr>
            <w:top w:val="none" w:sz="0" w:space="0" w:color="auto"/>
            <w:left w:val="none" w:sz="0" w:space="0" w:color="auto"/>
            <w:bottom w:val="none" w:sz="0" w:space="0" w:color="auto"/>
            <w:right w:val="none" w:sz="0" w:space="0" w:color="auto"/>
          </w:divBdr>
          <w:divsChild>
            <w:div w:id="1746608152">
              <w:marLeft w:val="0"/>
              <w:marRight w:val="0"/>
              <w:marTop w:val="0"/>
              <w:marBottom w:val="0"/>
              <w:divBdr>
                <w:top w:val="none" w:sz="0" w:space="0" w:color="auto"/>
                <w:left w:val="none" w:sz="0" w:space="0" w:color="auto"/>
                <w:bottom w:val="none" w:sz="0" w:space="0" w:color="auto"/>
                <w:right w:val="none" w:sz="0" w:space="0" w:color="auto"/>
              </w:divBdr>
            </w:div>
          </w:divsChild>
        </w:div>
        <w:div w:id="1132868394">
          <w:marLeft w:val="0"/>
          <w:marRight w:val="0"/>
          <w:marTop w:val="0"/>
          <w:marBottom w:val="0"/>
          <w:divBdr>
            <w:top w:val="none" w:sz="0" w:space="0" w:color="auto"/>
            <w:left w:val="none" w:sz="0" w:space="0" w:color="auto"/>
            <w:bottom w:val="none" w:sz="0" w:space="0" w:color="auto"/>
            <w:right w:val="none" w:sz="0" w:space="0" w:color="auto"/>
          </w:divBdr>
          <w:divsChild>
            <w:div w:id="941568702">
              <w:marLeft w:val="0"/>
              <w:marRight w:val="0"/>
              <w:marTop w:val="0"/>
              <w:marBottom w:val="0"/>
              <w:divBdr>
                <w:top w:val="none" w:sz="0" w:space="0" w:color="auto"/>
                <w:left w:val="none" w:sz="0" w:space="0" w:color="auto"/>
                <w:bottom w:val="none" w:sz="0" w:space="0" w:color="auto"/>
                <w:right w:val="none" w:sz="0" w:space="0" w:color="auto"/>
              </w:divBdr>
            </w:div>
          </w:divsChild>
        </w:div>
        <w:div w:id="1318191458">
          <w:marLeft w:val="0"/>
          <w:marRight w:val="0"/>
          <w:marTop w:val="0"/>
          <w:marBottom w:val="0"/>
          <w:divBdr>
            <w:top w:val="none" w:sz="0" w:space="0" w:color="auto"/>
            <w:left w:val="none" w:sz="0" w:space="0" w:color="auto"/>
            <w:bottom w:val="none" w:sz="0" w:space="0" w:color="auto"/>
            <w:right w:val="none" w:sz="0" w:space="0" w:color="auto"/>
          </w:divBdr>
          <w:divsChild>
            <w:div w:id="340553291">
              <w:marLeft w:val="0"/>
              <w:marRight w:val="0"/>
              <w:marTop w:val="0"/>
              <w:marBottom w:val="0"/>
              <w:divBdr>
                <w:top w:val="none" w:sz="0" w:space="0" w:color="auto"/>
                <w:left w:val="none" w:sz="0" w:space="0" w:color="auto"/>
                <w:bottom w:val="none" w:sz="0" w:space="0" w:color="auto"/>
                <w:right w:val="none" w:sz="0" w:space="0" w:color="auto"/>
              </w:divBdr>
            </w:div>
          </w:divsChild>
        </w:div>
        <w:div w:id="1675761171">
          <w:marLeft w:val="0"/>
          <w:marRight w:val="0"/>
          <w:marTop w:val="0"/>
          <w:marBottom w:val="0"/>
          <w:divBdr>
            <w:top w:val="none" w:sz="0" w:space="0" w:color="auto"/>
            <w:left w:val="none" w:sz="0" w:space="0" w:color="auto"/>
            <w:bottom w:val="none" w:sz="0" w:space="0" w:color="auto"/>
            <w:right w:val="none" w:sz="0" w:space="0" w:color="auto"/>
          </w:divBdr>
          <w:divsChild>
            <w:div w:id="1376350652">
              <w:marLeft w:val="0"/>
              <w:marRight w:val="0"/>
              <w:marTop w:val="0"/>
              <w:marBottom w:val="0"/>
              <w:divBdr>
                <w:top w:val="none" w:sz="0" w:space="0" w:color="auto"/>
                <w:left w:val="none" w:sz="0" w:space="0" w:color="auto"/>
                <w:bottom w:val="none" w:sz="0" w:space="0" w:color="auto"/>
                <w:right w:val="none" w:sz="0" w:space="0" w:color="auto"/>
              </w:divBdr>
            </w:div>
          </w:divsChild>
        </w:div>
        <w:div w:id="1949657289">
          <w:marLeft w:val="0"/>
          <w:marRight w:val="0"/>
          <w:marTop w:val="0"/>
          <w:marBottom w:val="0"/>
          <w:divBdr>
            <w:top w:val="none" w:sz="0" w:space="0" w:color="auto"/>
            <w:left w:val="none" w:sz="0" w:space="0" w:color="auto"/>
            <w:bottom w:val="none" w:sz="0" w:space="0" w:color="auto"/>
            <w:right w:val="none" w:sz="0" w:space="0" w:color="auto"/>
          </w:divBdr>
          <w:divsChild>
            <w:div w:id="209001173">
              <w:marLeft w:val="0"/>
              <w:marRight w:val="0"/>
              <w:marTop w:val="0"/>
              <w:marBottom w:val="0"/>
              <w:divBdr>
                <w:top w:val="none" w:sz="0" w:space="0" w:color="auto"/>
                <w:left w:val="none" w:sz="0" w:space="0" w:color="auto"/>
                <w:bottom w:val="none" w:sz="0" w:space="0" w:color="auto"/>
                <w:right w:val="none" w:sz="0" w:space="0" w:color="auto"/>
              </w:divBdr>
            </w:div>
          </w:divsChild>
        </w:div>
        <w:div w:id="2001425870">
          <w:marLeft w:val="0"/>
          <w:marRight w:val="0"/>
          <w:marTop w:val="0"/>
          <w:marBottom w:val="0"/>
          <w:divBdr>
            <w:top w:val="none" w:sz="0" w:space="0" w:color="auto"/>
            <w:left w:val="none" w:sz="0" w:space="0" w:color="auto"/>
            <w:bottom w:val="none" w:sz="0" w:space="0" w:color="auto"/>
            <w:right w:val="none" w:sz="0" w:space="0" w:color="auto"/>
          </w:divBdr>
          <w:divsChild>
            <w:div w:id="17375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4799">
      <w:bodyDiv w:val="1"/>
      <w:marLeft w:val="0"/>
      <w:marRight w:val="0"/>
      <w:marTop w:val="0"/>
      <w:marBottom w:val="0"/>
      <w:divBdr>
        <w:top w:val="none" w:sz="0" w:space="0" w:color="auto"/>
        <w:left w:val="none" w:sz="0" w:space="0" w:color="auto"/>
        <w:bottom w:val="none" w:sz="0" w:space="0" w:color="auto"/>
        <w:right w:val="none" w:sz="0" w:space="0" w:color="auto"/>
      </w:divBdr>
    </w:div>
    <w:div w:id="202407582">
      <w:bodyDiv w:val="1"/>
      <w:marLeft w:val="0"/>
      <w:marRight w:val="0"/>
      <w:marTop w:val="0"/>
      <w:marBottom w:val="0"/>
      <w:divBdr>
        <w:top w:val="none" w:sz="0" w:space="0" w:color="auto"/>
        <w:left w:val="none" w:sz="0" w:space="0" w:color="auto"/>
        <w:bottom w:val="none" w:sz="0" w:space="0" w:color="auto"/>
        <w:right w:val="none" w:sz="0" w:space="0" w:color="auto"/>
      </w:divBdr>
    </w:div>
    <w:div w:id="219371268">
      <w:bodyDiv w:val="1"/>
      <w:marLeft w:val="0"/>
      <w:marRight w:val="0"/>
      <w:marTop w:val="0"/>
      <w:marBottom w:val="0"/>
      <w:divBdr>
        <w:top w:val="none" w:sz="0" w:space="0" w:color="auto"/>
        <w:left w:val="none" w:sz="0" w:space="0" w:color="auto"/>
        <w:bottom w:val="none" w:sz="0" w:space="0" w:color="auto"/>
        <w:right w:val="none" w:sz="0" w:space="0" w:color="auto"/>
      </w:divBdr>
    </w:div>
    <w:div w:id="998001569">
      <w:bodyDiv w:val="1"/>
      <w:marLeft w:val="0"/>
      <w:marRight w:val="0"/>
      <w:marTop w:val="0"/>
      <w:marBottom w:val="0"/>
      <w:divBdr>
        <w:top w:val="none" w:sz="0" w:space="0" w:color="auto"/>
        <w:left w:val="none" w:sz="0" w:space="0" w:color="auto"/>
        <w:bottom w:val="none" w:sz="0" w:space="0" w:color="auto"/>
        <w:right w:val="none" w:sz="0" w:space="0" w:color="auto"/>
      </w:divBdr>
    </w:div>
    <w:div w:id="1007634437">
      <w:bodyDiv w:val="1"/>
      <w:marLeft w:val="0"/>
      <w:marRight w:val="0"/>
      <w:marTop w:val="0"/>
      <w:marBottom w:val="0"/>
      <w:divBdr>
        <w:top w:val="none" w:sz="0" w:space="0" w:color="auto"/>
        <w:left w:val="none" w:sz="0" w:space="0" w:color="auto"/>
        <w:bottom w:val="none" w:sz="0" w:space="0" w:color="auto"/>
        <w:right w:val="none" w:sz="0" w:space="0" w:color="auto"/>
      </w:divBdr>
      <w:divsChild>
        <w:div w:id="57368084">
          <w:marLeft w:val="0"/>
          <w:marRight w:val="0"/>
          <w:marTop w:val="0"/>
          <w:marBottom w:val="0"/>
          <w:divBdr>
            <w:top w:val="none" w:sz="0" w:space="0" w:color="auto"/>
            <w:left w:val="none" w:sz="0" w:space="0" w:color="auto"/>
            <w:bottom w:val="none" w:sz="0" w:space="0" w:color="auto"/>
            <w:right w:val="none" w:sz="0" w:space="0" w:color="auto"/>
          </w:divBdr>
          <w:divsChild>
            <w:div w:id="874119461">
              <w:marLeft w:val="0"/>
              <w:marRight w:val="0"/>
              <w:marTop w:val="0"/>
              <w:marBottom w:val="0"/>
              <w:divBdr>
                <w:top w:val="none" w:sz="0" w:space="0" w:color="auto"/>
                <w:left w:val="none" w:sz="0" w:space="0" w:color="auto"/>
                <w:bottom w:val="none" w:sz="0" w:space="0" w:color="auto"/>
                <w:right w:val="none" w:sz="0" w:space="0" w:color="auto"/>
              </w:divBdr>
            </w:div>
          </w:divsChild>
        </w:div>
        <w:div w:id="120806458">
          <w:marLeft w:val="0"/>
          <w:marRight w:val="0"/>
          <w:marTop w:val="0"/>
          <w:marBottom w:val="0"/>
          <w:divBdr>
            <w:top w:val="none" w:sz="0" w:space="0" w:color="auto"/>
            <w:left w:val="none" w:sz="0" w:space="0" w:color="auto"/>
            <w:bottom w:val="none" w:sz="0" w:space="0" w:color="auto"/>
            <w:right w:val="none" w:sz="0" w:space="0" w:color="auto"/>
          </w:divBdr>
          <w:divsChild>
            <w:div w:id="1543130901">
              <w:marLeft w:val="0"/>
              <w:marRight w:val="0"/>
              <w:marTop w:val="0"/>
              <w:marBottom w:val="0"/>
              <w:divBdr>
                <w:top w:val="none" w:sz="0" w:space="0" w:color="auto"/>
                <w:left w:val="none" w:sz="0" w:space="0" w:color="auto"/>
                <w:bottom w:val="none" w:sz="0" w:space="0" w:color="auto"/>
                <w:right w:val="none" w:sz="0" w:space="0" w:color="auto"/>
              </w:divBdr>
            </w:div>
          </w:divsChild>
        </w:div>
        <w:div w:id="144249534">
          <w:marLeft w:val="0"/>
          <w:marRight w:val="0"/>
          <w:marTop w:val="0"/>
          <w:marBottom w:val="0"/>
          <w:divBdr>
            <w:top w:val="none" w:sz="0" w:space="0" w:color="auto"/>
            <w:left w:val="none" w:sz="0" w:space="0" w:color="auto"/>
            <w:bottom w:val="none" w:sz="0" w:space="0" w:color="auto"/>
            <w:right w:val="none" w:sz="0" w:space="0" w:color="auto"/>
          </w:divBdr>
          <w:divsChild>
            <w:div w:id="328754493">
              <w:marLeft w:val="0"/>
              <w:marRight w:val="0"/>
              <w:marTop w:val="0"/>
              <w:marBottom w:val="0"/>
              <w:divBdr>
                <w:top w:val="none" w:sz="0" w:space="0" w:color="auto"/>
                <w:left w:val="none" w:sz="0" w:space="0" w:color="auto"/>
                <w:bottom w:val="none" w:sz="0" w:space="0" w:color="auto"/>
                <w:right w:val="none" w:sz="0" w:space="0" w:color="auto"/>
              </w:divBdr>
            </w:div>
          </w:divsChild>
        </w:div>
        <w:div w:id="154155234">
          <w:marLeft w:val="0"/>
          <w:marRight w:val="0"/>
          <w:marTop w:val="0"/>
          <w:marBottom w:val="0"/>
          <w:divBdr>
            <w:top w:val="none" w:sz="0" w:space="0" w:color="auto"/>
            <w:left w:val="none" w:sz="0" w:space="0" w:color="auto"/>
            <w:bottom w:val="none" w:sz="0" w:space="0" w:color="auto"/>
            <w:right w:val="none" w:sz="0" w:space="0" w:color="auto"/>
          </w:divBdr>
          <w:divsChild>
            <w:div w:id="1845167318">
              <w:marLeft w:val="0"/>
              <w:marRight w:val="0"/>
              <w:marTop w:val="0"/>
              <w:marBottom w:val="0"/>
              <w:divBdr>
                <w:top w:val="none" w:sz="0" w:space="0" w:color="auto"/>
                <w:left w:val="none" w:sz="0" w:space="0" w:color="auto"/>
                <w:bottom w:val="none" w:sz="0" w:space="0" w:color="auto"/>
                <w:right w:val="none" w:sz="0" w:space="0" w:color="auto"/>
              </w:divBdr>
            </w:div>
          </w:divsChild>
        </w:div>
        <w:div w:id="266472655">
          <w:marLeft w:val="0"/>
          <w:marRight w:val="0"/>
          <w:marTop w:val="0"/>
          <w:marBottom w:val="0"/>
          <w:divBdr>
            <w:top w:val="none" w:sz="0" w:space="0" w:color="auto"/>
            <w:left w:val="none" w:sz="0" w:space="0" w:color="auto"/>
            <w:bottom w:val="none" w:sz="0" w:space="0" w:color="auto"/>
            <w:right w:val="none" w:sz="0" w:space="0" w:color="auto"/>
          </w:divBdr>
          <w:divsChild>
            <w:div w:id="1541746358">
              <w:marLeft w:val="0"/>
              <w:marRight w:val="0"/>
              <w:marTop w:val="0"/>
              <w:marBottom w:val="0"/>
              <w:divBdr>
                <w:top w:val="none" w:sz="0" w:space="0" w:color="auto"/>
                <w:left w:val="none" w:sz="0" w:space="0" w:color="auto"/>
                <w:bottom w:val="none" w:sz="0" w:space="0" w:color="auto"/>
                <w:right w:val="none" w:sz="0" w:space="0" w:color="auto"/>
              </w:divBdr>
            </w:div>
          </w:divsChild>
        </w:div>
        <w:div w:id="330910758">
          <w:marLeft w:val="0"/>
          <w:marRight w:val="0"/>
          <w:marTop w:val="0"/>
          <w:marBottom w:val="0"/>
          <w:divBdr>
            <w:top w:val="none" w:sz="0" w:space="0" w:color="auto"/>
            <w:left w:val="none" w:sz="0" w:space="0" w:color="auto"/>
            <w:bottom w:val="none" w:sz="0" w:space="0" w:color="auto"/>
            <w:right w:val="none" w:sz="0" w:space="0" w:color="auto"/>
          </w:divBdr>
          <w:divsChild>
            <w:div w:id="80029119">
              <w:marLeft w:val="0"/>
              <w:marRight w:val="0"/>
              <w:marTop w:val="0"/>
              <w:marBottom w:val="0"/>
              <w:divBdr>
                <w:top w:val="none" w:sz="0" w:space="0" w:color="auto"/>
                <w:left w:val="none" w:sz="0" w:space="0" w:color="auto"/>
                <w:bottom w:val="none" w:sz="0" w:space="0" w:color="auto"/>
                <w:right w:val="none" w:sz="0" w:space="0" w:color="auto"/>
              </w:divBdr>
            </w:div>
          </w:divsChild>
        </w:div>
        <w:div w:id="766734637">
          <w:marLeft w:val="0"/>
          <w:marRight w:val="0"/>
          <w:marTop w:val="0"/>
          <w:marBottom w:val="0"/>
          <w:divBdr>
            <w:top w:val="none" w:sz="0" w:space="0" w:color="auto"/>
            <w:left w:val="none" w:sz="0" w:space="0" w:color="auto"/>
            <w:bottom w:val="none" w:sz="0" w:space="0" w:color="auto"/>
            <w:right w:val="none" w:sz="0" w:space="0" w:color="auto"/>
          </w:divBdr>
          <w:divsChild>
            <w:div w:id="1828283510">
              <w:marLeft w:val="0"/>
              <w:marRight w:val="0"/>
              <w:marTop w:val="0"/>
              <w:marBottom w:val="0"/>
              <w:divBdr>
                <w:top w:val="none" w:sz="0" w:space="0" w:color="auto"/>
                <w:left w:val="none" w:sz="0" w:space="0" w:color="auto"/>
                <w:bottom w:val="none" w:sz="0" w:space="0" w:color="auto"/>
                <w:right w:val="none" w:sz="0" w:space="0" w:color="auto"/>
              </w:divBdr>
            </w:div>
          </w:divsChild>
        </w:div>
        <w:div w:id="787624346">
          <w:marLeft w:val="0"/>
          <w:marRight w:val="0"/>
          <w:marTop w:val="0"/>
          <w:marBottom w:val="0"/>
          <w:divBdr>
            <w:top w:val="none" w:sz="0" w:space="0" w:color="auto"/>
            <w:left w:val="none" w:sz="0" w:space="0" w:color="auto"/>
            <w:bottom w:val="none" w:sz="0" w:space="0" w:color="auto"/>
            <w:right w:val="none" w:sz="0" w:space="0" w:color="auto"/>
          </w:divBdr>
          <w:divsChild>
            <w:div w:id="385183343">
              <w:marLeft w:val="0"/>
              <w:marRight w:val="0"/>
              <w:marTop w:val="0"/>
              <w:marBottom w:val="0"/>
              <w:divBdr>
                <w:top w:val="none" w:sz="0" w:space="0" w:color="auto"/>
                <w:left w:val="none" w:sz="0" w:space="0" w:color="auto"/>
                <w:bottom w:val="none" w:sz="0" w:space="0" w:color="auto"/>
                <w:right w:val="none" w:sz="0" w:space="0" w:color="auto"/>
              </w:divBdr>
            </w:div>
          </w:divsChild>
        </w:div>
        <w:div w:id="862406257">
          <w:marLeft w:val="0"/>
          <w:marRight w:val="0"/>
          <w:marTop w:val="0"/>
          <w:marBottom w:val="0"/>
          <w:divBdr>
            <w:top w:val="none" w:sz="0" w:space="0" w:color="auto"/>
            <w:left w:val="none" w:sz="0" w:space="0" w:color="auto"/>
            <w:bottom w:val="none" w:sz="0" w:space="0" w:color="auto"/>
            <w:right w:val="none" w:sz="0" w:space="0" w:color="auto"/>
          </w:divBdr>
          <w:divsChild>
            <w:div w:id="739520890">
              <w:marLeft w:val="0"/>
              <w:marRight w:val="0"/>
              <w:marTop w:val="0"/>
              <w:marBottom w:val="0"/>
              <w:divBdr>
                <w:top w:val="none" w:sz="0" w:space="0" w:color="auto"/>
                <w:left w:val="none" w:sz="0" w:space="0" w:color="auto"/>
                <w:bottom w:val="none" w:sz="0" w:space="0" w:color="auto"/>
                <w:right w:val="none" w:sz="0" w:space="0" w:color="auto"/>
              </w:divBdr>
            </w:div>
          </w:divsChild>
        </w:div>
        <w:div w:id="1005209893">
          <w:marLeft w:val="0"/>
          <w:marRight w:val="0"/>
          <w:marTop w:val="0"/>
          <w:marBottom w:val="0"/>
          <w:divBdr>
            <w:top w:val="none" w:sz="0" w:space="0" w:color="auto"/>
            <w:left w:val="none" w:sz="0" w:space="0" w:color="auto"/>
            <w:bottom w:val="none" w:sz="0" w:space="0" w:color="auto"/>
            <w:right w:val="none" w:sz="0" w:space="0" w:color="auto"/>
          </w:divBdr>
          <w:divsChild>
            <w:div w:id="16930703">
              <w:marLeft w:val="0"/>
              <w:marRight w:val="0"/>
              <w:marTop w:val="0"/>
              <w:marBottom w:val="0"/>
              <w:divBdr>
                <w:top w:val="none" w:sz="0" w:space="0" w:color="auto"/>
                <w:left w:val="none" w:sz="0" w:space="0" w:color="auto"/>
                <w:bottom w:val="none" w:sz="0" w:space="0" w:color="auto"/>
                <w:right w:val="none" w:sz="0" w:space="0" w:color="auto"/>
              </w:divBdr>
            </w:div>
          </w:divsChild>
        </w:div>
        <w:div w:id="1367295199">
          <w:marLeft w:val="0"/>
          <w:marRight w:val="0"/>
          <w:marTop w:val="0"/>
          <w:marBottom w:val="0"/>
          <w:divBdr>
            <w:top w:val="none" w:sz="0" w:space="0" w:color="auto"/>
            <w:left w:val="none" w:sz="0" w:space="0" w:color="auto"/>
            <w:bottom w:val="none" w:sz="0" w:space="0" w:color="auto"/>
            <w:right w:val="none" w:sz="0" w:space="0" w:color="auto"/>
          </w:divBdr>
          <w:divsChild>
            <w:div w:id="1917125100">
              <w:marLeft w:val="0"/>
              <w:marRight w:val="0"/>
              <w:marTop w:val="0"/>
              <w:marBottom w:val="0"/>
              <w:divBdr>
                <w:top w:val="none" w:sz="0" w:space="0" w:color="auto"/>
                <w:left w:val="none" w:sz="0" w:space="0" w:color="auto"/>
                <w:bottom w:val="none" w:sz="0" w:space="0" w:color="auto"/>
                <w:right w:val="none" w:sz="0" w:space="0" w:color="auto"/>
              </w:divBdr>
            </w:div>
          </w:divsChild>
        </w:div>
        <w:div w:id="1548105177">
          <w:marLeft w:val="0"/>
          <w:marRight w:val="0"/>
          <w:marTop w:val="0"/>
          <w:marBottom w:val="0"/>
          <w:divBdr>
            <w:top w:val="none" w:sz="0" w:space="0" w:color="auto"/>
            <w:left w:val="none" w:sz="0" w:space="0" w:color="auto"/>
            <w:bottom w:val="none" w:sz="0" w:space="0" w:color="auto"/>
            <w:right w:val="none" w:sz="0" w:space="0" w:color="auto"/>
          </w:divBdr>
          <w:divsChild>
            <w:div w:id="2002615167">
              <w:marLeft w:val="0"/>
              <w:marRight w:val="0"/>
              <w:marTop w:val="0"/>
              <w:marBottom w:val="0"/>
              <w:divBdr>
                <w:top w:val="none" w:sz="0" w:space="0" w:color="auto"/>
                <w:left w:val="none" w:sz="0" w:space="0" w:color="auto"/>
                <w:bottom w:val="none" w:sz="0" w:space="0" w:color="auto"/>
                <w:right w:val="none" w:sz="0" w:space="0" w:color="auto"/>
              </w:divBdr>
            </w:div>
          </w:divsChild>
        </w:div>
        <w:div w:id="1769304309">
          <w:marLeft w:val="0"/>
          <w:marRight w:val="0"/>
          <w:marTop w:val="0"/>
          <w:marBottom w:val="0"/>
          <w:divBdr>
            <w:top w:val="none" w:sz="0" w:space="0" w:color="auto"/>
            <w:left w:val="none" w:sz="0" w:space="0" w:color="auto"/>
            <w:bottom w:val="none" w:sz="0" w:space="0" w:color="auto"/>
            <w:right w:val="none" w:sz="0" w:space="0" w:color="auto"/>
          </w:divBdr>
          <w:divsChild>
            <w:div w:id="1572811429">
              <w:marLeft w:val="0"/>
              <w:marRight w:val="0"/>
              <w:marTop w:val="0"/>
              <w:marBottom w:val="0"/>
              <w:divBdr>
                <w:top w:val="none" w:sz="0" w:space="0" w:color="auto"/>
                <w:left w:val="none" w:sz="0" w:space="0" w:color="auto"/>
                <w:bottom w:val="none" w:sz="0" w:space="0" w:color="auto"/>
                <w:right w:val="none" w:sz="0" w:space="0" w:color="auto"/>
              </w:divBdr>
            </w:div>
          </w:divsChild>
        </w:div>
        <w:div w:id="1859460990">
          <w:marLeft w:val="0"/>
          <w:marRight w:val="0"/>
          <w:marTop w:val="0"/>
          <w:marBottom w:val="0"/>
          <w:divBdr>
            <w:top w:val="none" w:sz="0" w:space="0" w:color="auto"/>
            <w:left w:val="none" w:sz="0" w:space="0" w:color="auto"/>
            <w:bottom w:val="none" w:sz="0" w:space="0" w:color="auto"/>
            <w:right w:val="none" w:sz="0" w:space="0" w:color="auto"/>
          </w:divBdr>
          <w:divsChild>
            <w:div w:id="2003973043">
              <w:marLeft w:val="0"/>
              <w:marRight w:val="0"/>
              <w:marTop w:val="0"/>
              <w:marBottom w:val="0"/>
              <w:divBdr>
                <w:top w:val="none" w:sz="0" w:space="0" w:color="auto"/>
                <w:left w:val="none" w:sz="0" w:space="0" w:color="auto"/>
                <w:bottom w:val="none" w:sz="0" w:space="0" w:color="auto"/>
                <w:right w:val="none" w:sz="0" w:space="0" w:color="auto"/>
              </w:divBdr>
            </w:div>
          </w:divsChild>
        </w:div>
        <w:div w:id="1911427042">
          <w:marLeft w:val="0"/>
          <w:marRight w:val="0"/>
          <w:marTop w:val="0"/>
          <w:marBottom w:val="0"/>
          <w:divBdr>
            <w:top w:val="none" w:sz="0" w:space="0" w:color="auto"/>
            <w:left w:val="none" w:sz="0" w:space="0" w:color="auto"/>
            <w:bottom w:val="none" w:sz="0" w:space="0" w:color="auto"/>
            <w:right w:val="none" w:sz="0" w:space="0" w:color="auto"/>
          </w:divBdr>
          <w:divsChild>
            <w:div w:id="1998415462">
              <w:marLeft w:val="0"/>
              <w:marRight w:val="0"/>
              <w:marTop w:val="0"/>
              <w:marBottom w:val="0"/>
              <w:divBdr>
                <w:top w:val="none" w:sz="0" w:space="0" w:color="auto"/>
                <w:left w:val="none" w:sz="0" w:space="0" w:color="auto"/>
                <w:bottom w:val="none" w:sz="0" w:space="0" w:color="auto"/>
                <w:right w:val="none" w:sz="0" w:space="0" w:color="auto"/>
              </w:divBdr>
            </w:div>
          </w:divsChild>
        </w:div>
        <w:div w:id="1957058626">
          <w:marLeft w:val="0"/>
          <w:marRight w:val="0"/>
          <w:marTop w:val="0"/>
          <w:marBottom w:val="0"/>
          <w:divBdr>
            <w:top w:val="none" w:sz="0" w:space="0" w:color="auto"/>
            <w:left w:val="none" w:sz="0" w:space="0" w:color="auto"/>
            <w:bottom w:val="none" w:sz="0" w:space="0" w:color="auto"/>
            <w:right w:val="none" w:sz="0" w:space="0" w:color="auto"/>
          </w:divBdr>
          <w:divsChild>
            <w:div w:id="675569870">
              <w:marLeft w:val="0"/>
              <w:marRight w:val="0"/>
              <w:marTop w:val="0"/>
              <w:marBottom w:val="0"/>
              <w:divBdr>
                <w:top w:val="none" w:sz="0" w:space="0" w:color="auto"/>
                <w:left w:val="none" w:sz="0" w:space="0" w:color="auto"/>
                <w:bottom w:val="none" w:sz="0" w:space="0" w:color="auto"/>
                <w:right w:val="none" w:sz="0" w:space="0" w:color="auto"/>
              </w:divBdr>
            </w:div>
          </w:divsChild>
        </w:div>
        <w:div w:id="2133748653">
          <w:marLeft w:val="0"/>
          <w:marRight w:val="0"/>
          <w:marTop w:val="0"/>
          <w:marBottom w:val="0"/>
          <w:divBdr>
            <w:top w:val="none" w:sz="0" w:space="0" w:color="auto"/>
            <w:left w:val="none" w:sz="0" w:space="0" w:color="auto"/>
            <w:bottom w:val="none" w:sz="0" w:space="0" w:color="auto"/>
            <w:right w:val="none" w:sz="0" w:space="0" w:color="auto"/>
          </w:divBdr>
          <w:divsChild>
            <w:div w:id="12077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2543">
      <w:bodyDiv w:val="1"/>
      <w:marLeft w:val="0"/>
      <w:marRight w:val="0"/>
      <w:marTop w:val="0"/>
      <w:marBottom w:val="0"/>
      <w:divBdr>
        <w:top w:val="none" w:sz="0" w:space="0" w:color="auto"/>
        <w:left w:val="none" w:sz="0" w:space="0" w:color="auto"/>
        <w:bottom w:val="none" w:sz="0" w:space="0" w:color="auto"/>
        <w:right w:val="none" w:sz="0" w:space="0" w:color="auto"/>
      </w:divBdr>
    </w:div>
    <w:div w:id="1401640171">
      <w:bodyDiv w:val="1"/>
      <w:marLeft w:val="0"/>
      <w:marRight w:val="0"/>
      <w:marTop w:val="0"/>
      <w:marBottom w:val="0"/>
      <w:divBdr>
        <w:top w:val="none" w:sz="0" w:space="0" w:color="auto"/>
        <w:left w:val="none" w:sz="0" w:space="0" w:color="auto"/>
        <w:bottom w:val="none" w:sz="0" w:space="0" w:color="auto"/>
        <w:right w:val="none" w:sz="0" w:space="0" w:color="auto"/>
      </w:divBdr>
    </w:div>
    <w:div w:id="1644851712">
      <w:bodyDiv w:val="1"/>
      <w:marLeft w:val="0"/>
      <w:marRight w:val="0"/>
      <w:marTop w:val="0"/>
      <w:marBottom w:val="0"/>
      <w:divBdr>
        <w:top w:val="none" w:sz="0" w:space="0" w:color="auto"/>
        <w:left w:val="none" w:sz="0" w:space="0" w:color="auto"/>
        <w:bottom w:val="none" w:sz="0" w:space="0" w:color="auto"/>
        <w:right w:val="none" w:sz="0" w:space="0" w:color="auto"/>
      </w:divBdr>
      <w:divsChild>
        <w:div w:id="140922991">
          <w:marLeft w:val="0"/>
          <w:marRight w:val="0"/>
          <w:marTop w:val="0"/>
          <w:marBottom w:val="0"/>
          <w:divBdr>
            <w:top w:val="none" w:sz="0" w:space="0" w:color="auto"/>
            <w:left w:val="none" w:sz="0" w:space="0" w:color="auto"/>
            <w:bottom w:val="none" w:sz="0" w:space="0" w:color="auto"/>
            <w:right w:val="none" w:sz="0" w:space="0" w:color="auto"/>
          </w:divBdr>
          <w:divsChild>
            <w:div w:id="1846902039">
              <w:marLeft w:val="0"/>
              <w:marRight w:val="0"/>
              <w:marTop w:val="0"/>
              <w:marBottom w:val="0"/>
              <w:divBdr>
                <w:top w:val="none" w:sz="0" w:space="0" w:color="auto"/>
                <w:left w:val="none" w:sz="0" w:space="0" w:color="auto"/>
                <w:bottom w:val="none" w:sz="0" w:space="0" w:color="auto"/>
                <w:right w:val="none" w:sz="0" w:space="0" w:color="auto"/>
              </w:divBdr>
            </w:div>
          </w:divsChild>
        </w:div>
        <w:div w:id="165947112">
          <w:marLeft w:val="0"/>
          <w:marRight w:val="0"/>
          <w:marTop w:val="0"/>
          <w:marBottom w:val="0"/>
          <w:divBdr>
            <w:top w:val="none" w:sz="0" w:space="0" w:color="auto"/>
            <w:left w:val="none" w:sz="0" w:space="0" w:color="auto"/>
            <w:bottom w:val="none" w:sz="0" w:space="0" w:color="auto"/>
            <w:right w:val="none" w:sz="0" w:space="0" w:color="auto"/>
          </w:divBdr>
          <w:divsChild>
            <w:div w:id="1677421479">
              <w:marLeft w:val="0"/>
              <w:marRight w:val="0"/>
              <w:marTop w:val="0"/>
              <w:marBottom w:val="0"/>
              <w:divBdr>
                <w:top w:val="none" w:sz="0" w:space="0" w:color="auto"/>
                <w:left w:val="none" w:sz="0" w:space="0" w:color="auto"/>
                <w:bottom w:val="none" w:sz="0" w:space="0" w:color="auto"/>
                <w:right w:val="none" w:sz="0" w:space="0" w:color="auto"/>
              </w:divBdr>
            </w:div>
          </w:divsChild>
        </w:div>
        <w:div w:id="238249058">
          <w:marLeft w:val="0"/>
          <w:marRight w:val="0"/>
          <w:marTop w:val="0"/>
          <w:marBottom w:val="0"/>
          <w:divBdr>
            <w:top w:val="none" w:sz="0" w:space="0" w:color="auto"/>
            <w:left w:val="none" w:sz="0" w:space="0" w:color="auto"/>
            <w:bottom w:val="none" w:sz="0" w:space="0" w:color="auto"/>
            <w:right w:val="none" w:sz="0" w:space="0" w:color="auto"/>
          </w:divBdr>
          <w:divsChild>
            <w:div w:id="415633923">
              <w:marLeft w:val="0"/>
              <w:marRight w:val="0"/>
              <w:marTop w:val="0"/>
              <w:marBottom w:val="0"/>
              <w:divBdr>
                <w:top w:val="none" w:sz="0" w:space="0" w:color="auto"/>
                <w:left w:val="none" w:sz="0" w:space="0" w:color="auto"/>
                <w:bottom w:val="none" w:sz="0" w:space="0" w:color="auto"/>
                <w:right w:val="none" w:sz="0" w:space="0" w:color="auto"/>
              </w:divBdr>
            </w:div>
          </w:divsChild>
        </w:div>
        <w:div w:id="539782022">
          <w:marLeft w:val="0"/>
          <w:marRight w:val="0"/>
          <w:marTop w:val="0"/>
          <w:marBottom w:val="0"/>
          <w:divBdr>
            <w:top w:val="none" w:sz="0" w:space="0" w:color="auto"/>
            <w:left w:val="none" w:sz="0" w:space="0" w:color="auto"/>
            <w:bottom w:val="none" w:sz="0" w:space="0" w:color="auto"/>
            <w:right w:val="none" w:sz="0" w:space="0" w:color="auto"/>
          </w:divBdr>
          <w:divsChild>
            <w:div w:id="811407920">
              <w:marLeft w:val="0"/>
              <w:marRight w:val="0"/>
              <w:marTop w:val="0"/>
              <w:marBottom w:val="0"/>
              <w:divBdr>
                <w:top w:val="none" w:sz="0" w:space="0" w:color="auto"/>
                <w:left w:val="none" w:sz="0" w:space="0" w:color="auto"/>
                <w:bottom w:val="none" w:sz="0" w:space="0" w:color="auto"/>
                <w:right w:val="none" w:sz="0" w:space="0" w:color="auto"/>
              </w:divBdr>
            </w:div>
          </w:divsChild>
        </w:div>
        <w:div w:id="631596162">
          <w:marLeft w:val="0"/>
          <w:marRight w:val="0"/>
          <w:marTop w:val="0"/>
          <w:marBottom w:val="0"/>
          <w:divBdr>
            <w:top w:val="none" w:sz="0" w:space="0" w:color="auto"/>
            <w:left w:val="none" w:sz="0" w:space="0" w:color="auto"/>
            <w:bottom w:val="none" w:sz="0" w:space="0" w:color="auto"/>
            <w:right w:val="none" w:sz="0" w:space="0" w:color="auto"/>
          </w:divBdr>
          <w:divsChild>
            <w:div w:id="1236548466">
              <w:marLeft w:val="0"/>
              <w:marRight w:val="0"/>
              <w:marTop w:val="0"/>
              <w:marBottom w:val="0"/>
              <w:divBdr>
                <w:top w:val="none" w:sz="0" w:space="0" w:color="auto"/>
                <w:left w:val="none" w:sz="0" w:space="0" w:color="auto"/>
                <w:bottom w:val="none" w:sz="0" w:space="0" w:color="auto"/>
                <w:right w:val="none" w:sz="0" w:space="0" w:color="auto"/>
              </w:divBdr>
            </w:div>
          </w:divsChild>
        </w:div>
        <w:div w:id="681710548">
          <w:marLeft w:val="0"/>
          <w:marRight w:val="0"/>
          <w:marTop w:val="0"/>
          <w:marBottom w:val="0"/>
          <w:divBdr>
            <w:top w:val="none" w:sz="0" w:space="0" w:color="auto"/>
            <w:left w:val="none" w:sz="0" w:space="0" w:color="auto"/>
            <w:bottom w:val="none" w:sz="0" w:space="0" w:color="auto"/>
            <w:right w:val="none" w:sz="0" w:space="0" w:color="auto"/>
          </w:divBdr>
          <w:divsChild>
            <w:div w:id="1389963261">
              <w:marLeft w:val="0"/>
              <w:marRight w:val="0"/>
              <w:marTop w:val="0"/>
              <w:marBottom w:val="0"/>
              <w:divBdr>
                <w:top w:val="none" w:sz="0" w:space="0" w:color="auto"/>
                <w:left w:val="none" w:sz="0" w:space="0" w:color="auto"/>
                <w:bottom w:val="none" w:sz="0" w:space="0" w:color="auto"/>
                <w:right w:val="none" w:sz="0" w:space="0" w:color="auto"/>
              </w:divBdr>
            </w:div>
          </w:divsChild>
        </w:div>
        <w:div w:id="856961403">
          <w:marLeft w:val="0"/>
          <w:marRight w:val="0"/>
          <w:marTop w:val="0"/>
          <w:marBottom w:val="0"/>
          <w:divBdr>
            <w:top w:val="none" w:sz="0" w:space="0" w:color="auto"/>
            <w:left w:val="none" w:sz="0" w:space="0" w:color="auto"/>
            <w:bottom w:val="none" w:sz="0" w:space="0" w:color="auto"/>
            <w:right w:val="none" w:sz="0" w:space="0" w:color="auto"/>
          </w:divBdr>
          <w:divsChild>
            <w:div w:id="1723366623">
              <w:marLeft w:val="0"/>
              <w:marRight w:val="0"/>
              <w:marTop w:val="0"/>
              <w:marBottom w:val="0"/>
              <w:divBdr>
                <w:top w:val="none" w:sz="0" w:space="0" w:color="auto"/>
                <w:left w:val="none" w:sz="0" w:space="0" w:color="auto"/>
                <w:bottom w:val="none" w:sz="0" w:space="0" w:color="auto"/>
                <w:right w:val="none" w:sz="0" w:space="0" w:color="auto"/>
              </w:divBdr>
            </w:div>
          </w:divsChild>
        </w:div>
        <w:div w:id="1144077803">
          <w:marLeft w:val="0"/>
          <w:marRight w:val="0"/>
          <w:marTop w:val="0"/>
          <w:marBottom w:val="0"/>
          <w:divBdr>
            <w:top w:val="none" w:sz="0" w:space="0" w:color="auto"/>
            <w:left w:val="none" w:sz="0" w:space="0" w:color="auto"/>
            <w:bottom w:val="none" w:sz="0" w:space="0" w:color="auto"/>
            <w:right w:val="none" w:sz="0" w:space="0" w:color="auto"/>
          </w:divBdr>
          <w:divsChild>
            <w:div w:id="581722938">
              <w:marLeft w:val="0"/>
              <w:marRight w:val="0"/>
              <w:marTop w:val="0"/>
              <w:marBottom w:val="0"/>
              <w:divBdr>
                <w:top w:val="none" w:sz="0" w:space="0" w:color="auto"/>
                <w:left w:val="none" w:sz="0" w:space="0" w:color="auto"/>
                <w:bottom w:val="none" w:sz="0" w:space="0" w:color="auto"/>
                <w:right w:val="none" w:sz="0" w:space="0" w:color="auto"/>
              </w:divBdr>
            </w:div>
          </w:divsChild>
        </w:div>
        <w:div w:id="1207645054">
          <w:marLeft w:val="0"/>
          <w:marRight w:val="0"/>
          <w:marTop w:val="0"/>
          <w:marBottom w:val="0"/>
          <w:divBdr>
            <w:top w:val="none" w:sz="0" w:space="0" w:color="auto"/>
            <w:left w:val="none" w:sz="0" w:space="0" w:color="auto"/>
            <w:bottom w:val="none" w:sz="0" w:space="0" w:color="auto"/>
            <w:right w:val="none" w:sz="0" w:space="0" w:color="auto"/>
          </w:divBdr>
          <w:divsChild>
            <w:div w:id="302347811">
              <w:marLeft w:val="0"/>
              <w:marRight w:val="0"/>
              <w:marTop w:val="0"/>
              <w:marBottom w:val="0"/>
              <w:divBdr>
                <w:top w:val="none" w:sz="0" w:space="0" w:color="auto"/>
                <w:left w:val="none" w:sz="0" w:space="0" w:color="auto"/>
                <w:bottom w:val="none" w:sz="0" w:space="0" w:color="auto"/>
                <w:right w:val="none" w:sz="0" w:space="0" w:color="auto"/>
              </w:divBdr>
            </w:div>
          </w:divsChild>
        </w:div>
        <w:div w:id="1433550912">
          <w:marLeft w:val="0"/>
          <w:marRight w:val="0"/>
          <w:marTop w:val="0"/>
          <w:marBottom w:val="0"/>
          <w:divBdr>
            <w:top w:val="none" w:sz="0" w:space="0" w:color="auto"/>
            <w:left w:val="none" w:sz="0" w:space="0" w:color="auto"/>
            <w:bottom w:val="none" w:sz="0" w:space="0" w:color="auto"/>
            <w:right w:val="none" w:sz="0" w:space="0" w:color="auto"/>
          </w:divBdr>
          <w:divsChild>
            <w:div w:id="1287813377">
              <w:marLeft w:val="0"/>
              <w:marRight w:val="0"/>
              <w:marTop w:val="0"/>
              <w:marBottom w:val="0"/>
              <w:divBdr>
                <w:top w:val="none" w:sz="0" w:space="0" w:color="auto"/>
                <w:left w:val="none" w:sz="0" w:space="0" w:color="auto"/>
                <w:bottom w:val="none" w:sz="0" w:space="0" w:color="auto"/>
                <w:right w:val="none" w:sz="0" w:space="0" w:color="auto"/>
              </w:divBdr>
            </w:div>
          </w:divsChild>
        </w:div>
        <w:div w:id="1495410545">
          <w:marLeft w:val="0"/>
          <w:marRight w:val="0"/>
          <w:marTop w:val="0"/>
          <w:marBottom w:val="0"/>
          <w:divBdr>
            <w:top w:val="none" w:sz="0" w:space="0" w:color="auto"/>
            <w:left w:val="none" w:sz="0" w:space="0" w:color="auto"/>
            <w:bottom w:val="none" w:sz="0" w:space="0" w:color="auto"/>
            <w:right w:val="none" w:sz="0" w:space="0" w:color="auto"/>
          </w:divBdr>
          <w:divsChild>
            <w:div w:id="219097126">
              <w:marLeft w:val="0"/>
              <w:marRight w:val="0"/>
              <w:marTop w:val="0"/>
              <w:marBottom w:val="0"/>
              <w:divBdr>
                <w:top w:val="none" w:sz="0" w:space="0" w:color="auto"/>
                <w:left w:val="none" w:sz="0" w:space="0" w:color="auto"/>
                <w:bottom w:val="none" w:sz="0" w:space="0" w:color="auto"/>
                <w:right w:val="none" w:sz="0" w:space="0" w:color="auto"/>
              </w:divBdr>
            </w:div>
          </w:divsChild>
        </w:div>
        <w:div w:id="1646230767">
          <w:marLeft w:val="0"/>
          <w:marRight w:val="0"/>
          <w:marTop w:val="0"/>
          <w:marBottom w:val="0"/>
          <w:divBdr>
            <w:top w:val="none" w:sz="0" w:space="0" w:color="auto"/>
            <w:left w:val="none" w:sz="0" w:space="0" w:color="auto"/>
            <w:bottom w:val="none" w:sz="0" w:space="0" w:color="auto"/>
            <w:right w:val="none" w:sz="0" w:space="0" w:color="auto"/>
          </w:divBdr>
          <w:divsChild>
            <w:div w:id="195508664">
              <w:marLeft w:val="0"/>
              <w:marRight w:val="0"/>
              <w:marTop w:val="0"/>
              <w:marBottom w:val="0"/>
              <w:divBdr>
                <w:top w:val="none" w:sz="0" w:space="0" w:color="auto"/>
                <w:left w:val="none" w:sz="0" w:space="0" w:color="auto"/>
                <w:bottom w:val="none" w:sz="0" w:space="0" w:color="auto"/>
                <w:right w:val="none" w:sz="0" w:space="0" w:color="auto"/>
              </w:divBdr>
            </w:div>
          </w:divsChild>
        </w:div>
        <w:div w:id="1818720376">
          <w:marLeft w:val="0"/>
          <w:marRight w:val="0"/>
          <w:marTop w:val="0"/>
          <w:marBottom w:val="0"/>
          <w:divBdr>
            <w:top w:val="none" w:sz="0" w:space="0" w:color="auto"/>
            <w:left w:val="none" w:sz="0" w:space="0" w:color="auto"/>
            <w:bottom w:val="none" w:sz="0" w:space="0" w:color="auto"/>
            <w:right w:val="none" w:sz="0" w:space="0" w:color="auto"/>
          </w:divBdr>
          <w:divsChild>
            <w:div w:id="1864586973">
              <w:marLeft w:val="0"/>
              <w:marRight w:val="0"/>
              <w:marTop w:val="0"/>
              <w:marBottom w:val="0"/>
              <w:divBdr>
                <w:top w:val="none" w:sz="0" w:space="0" w:color="auto"/>
                <w:left w:val="none" w:sz="0" w:space="0" w:color="auto"/>
                <w:bottom w:val="none" w:sz="0" w:space="0" w:color="auto"/>
                <w:right w:val="none" w:sz="0" w:space="0" w:color="auto"/>
              </w:divBdr>
            </w:div>
          </w:divsChild>
        </w:div>
        <w:div w:id="1887060216">
          <w:marLeft w:val="0"/>
          <w:marRight w:val="0"/>
          <w:marTop w:val="0"/>
          <w:marBottom w:val="0"/>
          <w:divBdr>
            <w:top w:val="none" w:sz="0" w:space="0" w:color="auto"/>
            <w:left w:val="none" w:sz="0" w:space="0" w:color="auto"/>
            <w:bottom w:val="none" w:sz="0" w:space="0" w:color="auto"/>
            <w:right w:val="none" w:sz="0" w:space="0" w:color="auto"/>
          </w:divBdr>
          <w:divsChild>
            <w:div w:id="1039472301">
              <w:marLeft w:val="0"/>
              <w:marRight w:val="0"/>
              <w:marTop w:val="0"/>
              <w:marBottom w:val="0"/>
              <w:divBdr>
                <w:top w:val="none" w:sz="0" w:space="0" w:color="auto"/>
                <w:left w:val="none" w:sz="0" w:space="0" w:color="auto"/>
                <w:bottom w:val="none" w:sz="0" w:space="0" w:color="auto"/>
                <w:right w:val="none" w:sz="0" w:space="0" w:color="auto"/>
              </w:divBdr>
            </w:div>
          </w:divsChild>
        </w:div>
        <w:div w:id="1888180982">
          <w:marLeft w:val="0"/>
          <w:marRight w:val="0"/>
          <w:marTop w:val="0"/>
          <w:marBottom w:val="0"/>
          <w:divBdr>
            <w:top w:val="none" w:sz="0" w:space="0" w:color="auto"/>
            <w:left w:val="none" w:sz="0" w:space="0" w:color="auto"/>
            <w:bottom w:val="none" w:sz="0" w:space="0" w:color="auto"/>
            <w:right w:val="none" w:sz="0" w:space="0" w:color="auto"/>
          </w:divBdr>
          <w:divsChild>
            <w:div w:id="1457673141">
              <w:marLeft w:val="0"/>
              <w:marRight w:val="0"/>
              <w:marTop w:val="0"/>
              <w:marBottom w:val="0"/>
              <w:divBdr>
                <w:top w:val="none" w:sz="0" w:space="0" w:color="auto"/>
                <w:left w:val="none" w:sz="0" w:space="0" w:color="auto"/>
                <w:bottom w:val="none" w:sz="0" w:space="0" w:color="auto"/>
                <w:right w:val="none" w:sz="0" w:space="0" w:color="auto"/>
              </w:divBdr>
            </w:div>
          </w:divsChild>
        </w:div>
        <w:div w:id="2014918664">
          <w:marLeft w:val="0"/>
          <w:marRight w:val="0"/>
          <w:marTop w:val="0"/>
          <w:marBottom w:val="0"/>
          <w:divBdr>
            <w:top w:val="none" w:sz="0" w:space="0" w:color="auto"/>
            <w:left w:val="none" w:sz="0" w:space="0" w:color="auto"/>
            <w:bottom w:val="none" w:sz="0" w:space="0" w:color="auto"/>
            <w:right w:val="none" w:sz="0" w:space="0" w:color="auto"/>
          </w:divBdr>
          <w:divsChild>
            <w:div w:id="15498582">
              <w:marLeft w:val="0"/>
              <w:marRight w:val="0"/>
              <w:marTop w:val="0"/>
              <w:marBottom w:val="0"/>
              <w:divBdr>
                <w:top w:val="none" w:sz="0" w:space="0" w:color="auto"/>
                <w:left w:val="none" w:sz="0" w:space="0" w:color="auto"/>
                <w:bottom w:val="none" w:sz="0" w:space="0" w:color="auto"/>
                <w:right w:val="none" w:sz="0" w:space="0" w:color="auto"/>
              </w:divBdr>
            </w:div>
          </w:divsChild>
        </w:div>
        <w:div w:id="2050062587">
          <w:marLeft w:val="0"/>
          <w:marRight w:val="0"/>
          <w:marTop w:val="0"/>
          <w:marBottom w:val="0"/>
          <w:divBdr>
            <w:top w:val="none" w:sz="0" w:space="0" w:color="auto"/>
            <w:left w:val="none" w:sz="0" w:space="0" w:color="auto"/>
            <w:bottom w:val="none" w:sz="0" w:space="0" w:color="auto"/>
            <w:right w:val="none" w:sz="0" w:space="0" w:color="auto"/>
          </w:divBdr>
          <w:divsChild>
            <w:div w:id="894660746">
              <w:marLeft w:val="0"/>
              <w:marRight w:val="0"/>
              <w:marTop w:val="0"/>
              <w:marBottom w:val="0"/>
              <w:divBdr>
                <w:top w:val="none" w:sz="0" w:space="0" w:color="auto"/>
                <w:left w:val="none" w:sz="0" w:space="0" w:color="auto"/>
                <w:bottom w:val="none" w:sz="0" w:space="0" w:color="auto"/>
                <w:right w:val="none" w:sz="0" w:space="0" w:color="auto"/>
              </w:divBdr>
            </w:div>
          </w:divsChild>
        </w:div>
        <w:div w:id="2119521992">
          <w:marLeft w:val="0"/>
          <w:marRight w:val="0"/>
          <w:marTop w:val="0"/>
          <w:marBottom w:val="0"/>
          <w:divBdr>
            <w:top w:val="none" w:sz="0" w:space="0" w:color="auto"/>
            <w:left w:val="none" w:sz="0" w:space="0" w:color="auto"/>
            <w:bottom w:val="none" w:sz="0" w:space="0" w:color="auto"/>
            <w:right w:val="none" w:sz="0" w:space="0" w:color="auto"/>
          </w:divBdr>
          <w:divsChild>
            <w:div w:id="65788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3822">
      <w:bodyDiv w:val="1"/>
      <w:marLeft w:val="0"/>
      <w:marRight w:val="0"/>
      <w:marTop w:val="0"/>
      <w:marBottom w:val="0"/>
      <w:divBdr>
        <w:top w:val="none" w:sz="0" w:space="0" w:color="auto"/>
        <w:left w:val="none" w:sz="0" w:space="0" w:color="auto"/>
        <w:bottom w:val="none" w:sz="0" w:space="0" w:color="auto"/>
        <w:right w:val="none" w:sz="0" w:space="0" w:color="auto"/>
      </w:divBdr>
    </w:div>
    <w:div w:id="1862939135">
      <w:bodyDiv w:val="1"/>
      <w:marLeft w:val="0"/>
      <w:marRight w:val="0"/>
      <w:marTop w:val="0"/>
      <w:marBottom w:val="0"/>
      <w:divBdr>
        <w:top w:val="none" w:sz="0" w:space="0" w:color="auto"/>
        <w:left w:val="none" w:sz="0" w:space="0" w:color="auto"/>
        <w:bottom w:val="none" w:sz="0" w:space="0" w:color="auto"/>
        <w:right w:val="none" w:sz="0" w:space="0" w:color="auto"/>
      </w:divBdr>
      <w:divsChild>
        <w:div w:id="13461389">
          <w:marLeft w:val="0"/>
          <w:marRight w:val="0"/>
          <w:marTop w:val="0"/>
          <w:marBottom w:val="0"/>
          <w:divBdr>
            <w:top w:val="none" w:sz="0" w:space="0" w:color="auto"/>
            <w:left w:val="none" w:sz="0" w:space="0" w:color="auto"/>
            <w:bottom w:val="none" w:sz="0" w:space="0" w:color="auto"/>
            <w:right w:val="none" w:sz="0" w:space="0" w:color="auto"/>
          </w:divBdr>
          <w:divsChild>
            <w:div w:id="145171568">
              <w:marLeft w:val="0"/>
              <w:marRight w:val="0"/>
              <w:marTop w:val="0"/>
              <w:marBottom w:val="0"/>
              <w:divBdr>
                <w:top w:val="none" w:sz="0" w:space="0" w:color="auto"/>
                <w:left w:val="none" w:sz="0" w:space="0" w:color="auto"/>
                <w:bottom w:val="none" w:sz="0" w:space="0" w:color="auto"/>
                <w:right w:val="none" w:sz="0" w:space="0" w:color="auto"/>
              </w:divBdr>
            </w:div>
          </w:divsChild>
        </w:div>
        <w:div w:id="428157837">
          <w:marLeft w:val="0"/>
          <w:marRight w:val="0"/>
          <w:marTop w:val="0"/>
          <w:marBottom w:val="0"/>
          <w:divBdr>
            <w:top w:val="none" w:sz="0" w:space="0" w:color="auto"/>
            <w:left w:val="none" w:sz="0" w:space="0" w:color="auto"/>
            <w:bottom w:val="none" w:sz="0" w:space="0" w:color="auto"/>
            <w:right w:val="none" w:sz="0" w:space="0" w:color="auto"/>
          </w:divBdr>
          <w:divsChild>
            <w:div w:id="766148514">
              <w:marLeft w:val="0"/>
              <w:marRight w:val="0"/>
              <w:marTop w:val="0"/>
              <w:marBottom w:val="0"/>
              <w:divBdr>
                <w:top w:val="none" w:sz="0" w:space="0" w:color="auto"/>
                <w:left w:val="none" w:sz="0" w:space="0" w:color="auto"/>
                <w:bottom w:val="none" w:sz="0" w:space="0" w:color="auto"/>
                <w:right w:val="none" w:sz="0" w:space="0" w:color="auto"/>
              </w:divBdr>
            </w:div>
          </w:divsChild>
        </w:div>
        <w:div w:id="459108479">
          <w:marLeft w:val="0"/>
          <w:marRight w:val="0"/>
          <w:marTop w:val="0"/>
          <w:marBottom w:val="0"/>
          <w:divBdr>
            <w:top w:val="none" w:sz="0" w:space="0" w:color="auto"/>
            <w:left w:val="none" w:sz="0" w:space="0" w:color="auto"/>
            <w:bottom w:val="none" w:sz="0" w:space="0" w:color="auto"/>
            <w:right w:val="none" w:sz="0" w:space="0" w:color="auto"/>
          </w:divBdr>
          <w:divsChild>
            <w:div w:id="1185481035">
              <w:marLeft w:val="0"/>
              <w:marRight w:val="0"/>
              <w:marTop w:val="0"/>
              <w:marBottom w:val="0"/>
              <w:divBdr>
                <w:top w:val="none" w:sz="0" w:space="0" w:color="auto"/>
                <w:left w:val="none" w:sz="0" w:space="0" w:color="auto"/>
                <w:bottom w:val="none" w:sz="0" w:space="0" w:color="auto"/>
                <w:right w:val="none" w:sz="0" w:space="0" w:color="auto"/>
              </w:divBdr>
            </w:div>
          </w:divsChild>
        </w:div>
        <w:div w:id="711152199">
          <w:marLeft w:val="0"/>
          <w:marRight w:val="0"/>
          <w:marTop w:val="0"/>
          <w:marBottom w:val="0"/>
          <w:divBdr>
            <w:top w:val="none" w:sz="0" w:space="0" w:color="auto"/>
            <w:left w:val="none" w:sz="0" w:space="0" w:color="auto"/>
            <w:bottom w:val="none" w:sz="0" w:space="0" w:color="auto"/>
            <w:right w:val="none" w:sz="0" w:space="0" w:color="auto"/>
          </w:divBdr>
          <w:divsChild>
            <w:div w:id="1807312501">
              <w:marLeft w:val="0"/>
              <w:marRight w:val="0"/>
              <w:marTop w:val="0"/>
              <w:marBottom w:val="0"/>
              <w:divBdr>
                <w:top w:val="none" w:sz="0" w:space="0" w:color="auto"/>
                <w:left w:val="none" w:sz="0" w:space="0" w:color="auto"/>
                <w:bottom w:val="none" w:sz="0" w:space="0" w:color="auto"/>
                <w:right w:val="none" w:sz="0" w:space="0" w:color="auto"/>
              </w:divBdr>
            </w:div>
          </w:divsChild>
        </w:div>
        <w:div w:id="1161041973">
          <w:marLeft w:val="0"/>
          <w:marRight w:val="0"/>
          <w:marTop w:val="0"/>
          <w:marBottom w:val="0"/>
          <w:divBdr>
            <w:top w:val="none" w:sz="0" w:space="0" w:color="auto"/>
            <w:left w:val="none" w:sz="0" w:space="0" w:color="auto"/>
            <w:bottom w:val="none" w:sz="0" w:space="0" w:color="auto"/>
            <w:right w:val="none" w:sz="0" w:space="0" w:color="auto"/>
          </w:divBdr>
          <w:divsChild>
            <w:div w:id="163057827">
              <w:marLeft w:val="0"/>
              <w:marRight w:val="0"/>
              <w:marTop w:val="0"/>
              <w:marBottom w:val="0"/>
              <w:divBdr>
                <w:top w:val="none" w:sz="0" w:space="0" w:color="auto"/>
                <w:left w:val="none" w:sz="0" w:space="0" w:color="auto"/>
                <w:bottom w:val="none" w:sz="0" w:space="0" w:color="auto"/>
                <w:right w:val="none" w:sz="0" w:space="0" w:color="auto"/>
              </w:divBdr>
            </w:div>
          </w:divsChild>
        </w:div>
        <w:div w:id="1227956899">
          <w:marLeft w:val="0"/>
          <w:marRight w:val="0"/>
          <w:marTop w:val="0"/>
          <w:marBottom w:val="0"/>
          <w:divBdr>
            <w:top w:val="none" w:sz="0" w:space="0" w:color="auto"/>
            <w:left w:val="none" w:sz="0" w:space="0" w:color="auto"/>
            <w:bottom w:val="none" w:sz="0" w:space="0" w:color="auto"/>
            <w:right w:val="none" w:sz="0" w:space="0" w:color="auto"/>
          </w:divBdr>
          <w:divsChild>
            <w:div w:id="1078868170">
              <w:marLeft w:val="0"/>
              <w:marRight w:val="0"/>
              <w:marTop w:val="0"/>
              <w:marBottom w:val="0"/>
              <w:divBdr>
                <w:top w:val="none" w:sz="0" w:space="0" w:color="auto"/>
                <w:left w:val="none" w:sz="0" w:space="0" w:color="auto"/>
                <w:bottom w:val="none" w:sz="0" w:space="0" w:color="auto"/>
                <w:right w:val="none" w:sz="0" w:space="0" w:color="auto"/>
              </w:divBdr>
            </w:div>
          </w:divsChild>
        </w:div>
        <w:div w:id="1308361874">
          <w:marLeft w:val="0"/>
          <w:marRight w:val="0"/>
          <w:marTop w:val="0"/>
          <w:marBottom w:val="0"/>
          <w:divBdr>
            <w:top w:val="none" w:sz="0" w:space="0" w:color="auto"/>
            <w:left w:val="none" w:sz="0" w:space="0" w:color="auto"/>
            <w:bottom w:val="none" w:sz="0" w:space="0" w:color="auto"/>
            <w:right w:val="none" w:sz="0" w:space="0" w:color="auto"/>
          </w:divBdr>
          <w:divsChild>
            <w:div w:id="1193615791">
              <w:marLeft w:val="0"/>
              <w:marRight w:val="0"/>
              <w:marTop w:val="0"/>
              <w:marBottom w:val="0"/>
              <w:divBdr>
                <w:top w:val="none" w:sz="0" w:space="0" w:color="auto"/>
                <w:left w:val="none" w:sz="0" w:space="0" w:color="auto"/>
                <w:bottom w:val="none" w:sz="0" w:space="0" w:color="auto"/>
                <w:right w:val="none" w:sz="0" w:space="0" w:color="auto"/>
              </w:divBdr>
            </w:div>
          </w:divsChild>
        </w:div>
        <w:div w:id="1379090641">
          <w:marLeft w:val="0"/>
          <w:marRight w:val="0"/>
          <w:marTop w:val="0"/>
          <w:marBottom w:val="0"/>
          <w:divBdr>
            <w:top w:val="none" w:sz="0" w:space="0" w:color="auto"/>
            <w:left w:val="none" w:sz="0" w:space="0" w:color="auto"/>
            <w:bottom w:val="none" w:sz="0" w:space="0" w:color="auto"/>
            <w:right w:val="none" w:sz="0" w:space="0" w:color="auto"/>
          </w:divBdr>
          <w:divsChild>
            <w:div w:id="1500584026">
              <w:marLeft w:val="0"/>
              <w:marRight w:val="0"/>
              <w:marTop w:val="0"/>
              <w:marBottom w:val="0"/>
              <w:divBdr>
                <w:top w:val="none" w:sz="0" w:space="0" w:color="auto"/>
                <w:left w:val="none" w:sz="0" w:space="0" w:color="auto"/>
                <w:bottom w:val="none" w:sz="0" w:space="0" w:color="auto"/>
                <w:right w:val="none" w:sz="0" w:space="0" w:color="auto"/>
              </w:divBdr>
            </w:div>
          </w:divsChild>
        </w:div>
        <w:div w:id="1391075250">
          <w:marLeft w:val="0"/>
          <w:marRight w:val="0"/>
          <w:marTop w:val="0"/>
          <w:marBottom w:val="0"/>
          <w:divBdr>
            <w:top w:val="none" w:sz="0" w:space="0" w:color="auto"/>
            <w:left w:val="none" w:sz="0" w:space="0" w:color="auto"/>
            <w:bottom w:val="none" w:sz="0" w:space="0" w:color="auto"/>
            <w:right w:val="none" w:sz="0" w:space="0" w:color="auto"/>
          </w:divBdr>
          <w:divsChild>
            <w:div w:id="350230472">
              <w:marLeft w:val="0"/>
              <w:marRight w:val="0"/>
              <w:marTop w:val="0"/>
              <w:marBottom w:val="0"/>
              <w:divBdr>
                <w:top w:val="none" w:sz="0" w:space="0" w:color="auto"/>
                <w:left w:val="none" w:sz="0" w:space="0" w:color="auto"/>
                <w:bottom w:val="none" w:sz="0" w:space="0" w:color="auto"/>
                <w:right w:val="none" w:sz="0" w:space="0" w:color="auto"/>
              </w:divBdr>
            </w:div>
          </w:divsChild>
        </w:div>
        <w:div w:id="1395543297">
          <w:marLeft w:val="0"/>
          <w:marRight w:val="0"/>
          <w:marTop w:val="0"/>
          <w:marBottom w:val="0"/>
          <w:divBdr>
            <w:top w:val="none" w:sz="0" w:space="0" w:color="auto"/>
            <w:left w:val="none" w:sz="0" w:space="0" w:color="auto"/>
            <w:bottom w:val="none" w:sz="0" w:space="0" w:color="auto"/>
            <w:right w:val="none" w:sz="0" w:space="0" w:color="auto"/>
          </w:divBdr>
          <w:divsChild>
            <w:div w:id="1463500903">
              <w:marLeft w:val="0"/>
              <w:marRight w:val="0"/>
              <w:marTop w:val="0"/>
              <w:marBottom w:val="0"/>
              <w:divBdr>
                <w:top w:val="none" w:sz="0" w:space="0" w:color="auto"/>
                <w:left w:val="none" w:sz="0" w:space="0" w:color="auto"/>
                <w:bottom w:val="none" w:sz="0" w:space="0" w:color="auto"/>
                <w:right w:val="none" w:sz="0" w:space="0" w:color="auto"/>
              </w:divBdr>
            </w:div>
          </w:divsChild>
        </w:div>
        <w:div w:id="1557817540">
          <w:marLeft w:val="0"/>
          <w:marRight w:val="0"/>
          <w:marTop w:val="0"/>
          <w:marBottom w:val="0"/>
          <w:divBdr>
            <w:top w:val="none" w:sz="0" w:space="0" w:color="auto"/>
            <w:left w:val="none" w:sz="0" w:space="0" w:color="auto"/>
            <w:bottom w:val="none" w:sz="0" w:space="0" w:color="auto"/>
            <w:right w:val="none" w:sz="0" w:space="0" w:color="auto"/>
          </w:divBdr>
          <w:divsChild>
            <w:div w:id="1045763049">
              <w:marLeft w:val="0"/>
              <w:marRight w:val="0"/>
              <w:marTop w:val="0"/>
              <w:marBottom w:val="0"/>
              <w:divBdr>
                <w:top w:val="none" w:sz="0" w:space="0" w:color="auto"/>
                <w:left w:val="none" w:sz="0" w:space="0" w:color="auto"/>
                <w:bottom w:val="none" w:sz="0" w:space="0" w:color="auto"/>
                <w:right w:val="none" w:sz="0" w:space="0" w:color="auto"/>
              </w:divBdr>
            </w:div>
          </w:divsChild>
        </w:div>
        <w:div w:id="1692605470">
          <w:marLeft w:val="0"/>
          <w:marRight w:val="0"/>
          <w:marTop w:val="0"/>
          <w:marBottom w:val="0"/>
          <w:divBdr>
            <w:top w:val="none" w:sz="0" w:space="0" w:color="auto"/>
            <w:left w:val="none" w:sz="0" w:space="0" w:color="auto"/>
            <w:bottom w:val="none" w:sz="0" w:space="0" w:color="auto"/>
            <w:right w:val="none" w:sz="0" w:space="0" w:color="auto"/>
          </w:divBdr>
          <w:divsChild>
            <w:div w:id="646134444">
              <w:marLeft w:val="0"/>
              <w:marRight w:val="0"/>
              <w:marTop w:val="0"/>
              <w:marBottom w:val="0"/>
              <w:divBdr>
                <w:top w:val="none" w:sz="0" w:space="0" w:color="auto"/>
                <w:left w:val="none" w:sz="0" w:space="0" w:color="auto"/>
                <w:bottom w:val="none" w:sz="0" w:space="0" w:color="auto"/>
                <w:right w:val="none" w:sz="0" w:space="0" w:color="auto"/>
              </w:divBdr>
            </w:div>
          </w:divsChild>
        </w:div>
        <w:div w:id="1783839358">
          <w:marLeft w:val="0"/>
          <w:marRight w:val="0"/>
          <w:marTop w:val="0"/>
          <w:marBottom w:val="0"/>
          <w:divBdr>
            <w:top w:val="none" w:sz="0" w:space="0" w:color="auto"/>
            <w:left w:val="none" w:sz="0" w:space="0" w:color="auto"/>
            <w:bottom w:val="none" w:sz="0" w:space="0" w:color="auto"/>
            <w:right w:val="none" w:sz="0" w:space="0" w:color="auto"/>
          </w:divBdr>
          <w:divsChild>
            <w:div w:id="1330791785">
              <w:marLeft w:val="0"/>
              <w:marRight w:val="0"/>
              <w:marTop w:val="0"/>
              <w:marBottom w:val="0"/>
              <w:divBdr>
                <w:top w:val="none" w:sz="0" w:space="0" w:color="auto"/>
                <w:left w:val="none" w:sz="0" w:space="0" w:color="auto"/>
                <w:bottom w:val="none" w:sz="0" w:space="0" w:color="auto"/>
                <w:right w:val="none" w:sz="0" w:space="0" w:color="auto"/>
              </w:divBdr>
            </w:div>
          </w:divsChild>
        </w:div>
        <w:div w:id="1865362631">
          <w:marLeft w:val="0"/>
          <w:marRight w:val="0"/>
          <w:marTop w:val="0"/>
          <w:marBottom w:val="0"/>
          <w:divBdr>
            <w:top w:val="none" w:sz="0" w:space="0" w:color="auto"/>
            <w:left w:val="none" w:sz="0" w:space="0" w:color="auto"/>
            <w:bottom w:val="none" w:sz="0" w:space="0" w:color="auto"/>
            <w:right w:val="none" w:sz="0" w:space="0" w:color="auto"/>
          </w:divBdr>
          <w:divsChild>
            <w:div w:id="1778941940">
              <w:marLeft w:val="0"/>
              <w:marRight w:val="0"/>
              <w:marTop w:val="0"/>
              <w:marBottom w:val="0"/>
              <w:divBdr>
                <w:top w:val="none" w:sz="0" w:space="0" w:color="auto"/>
                <w:left w:val="none" w:sz="0" w:space="0" w:color="auto"/>
                <w:bottom w:val="none" w:sz="0" w:space="0" w:color="auto"/>
                <w:right w:val="none" w:sz="0" w:space="0" w:color="auto"/>
              </w:divBdr>
            </w:div>
          </w:divsChild>
        </w:div>
        <w:div w:id="1926573895">
          <w:marLeft w:val="0"/>
          <w:marRight w:val="0"/>
          <w:marTop w:val="0"/>
          <w:marBottom w:val="0"/>
          <w:divBdr>
            <w:top w:val="none" w:sz="0" w:space="0" w:color="auto"/>
            <w:left w:val="none" w:sz="0" w:space="0" w:color="auto"/>
            <w:bottom w:val="none" w:sz="0" w:space="0" w:color="auto"/>
            <w:right w:val="none" w:sz="0" w:space="0" w:color="auto"/>
          </w:divBdr>
          <w:divsChild>
            <w:div w:id="410810162">
              <w:marLeft w:val="0"/>
              <w:marRight w:val="0"/>
              <w:marTop w:val="0"/>
              <w:marBottom w:val="0"/>
              <w:divBdr>
                <w:top w:val="none" w:sz="0" w:space="0" w:color="auto"/>
                <w:left w:val="none" w:sz="0" w:space="0" w:color="auto"/>
                <w:bottom w:val="none" w:sz="0" w:space="0" w:color="auto"/>
                <w:right w:val="none" w:sz="0" w:space="0" w:color="auto"/>
              </w:divBdr>
            </w:div>
          </w:divsChild>
        </w:div>
        <w:div w:id="2027519368">
          <w:marLeft w:val="0"/>
          <w:marRight w:val="0"/>
          <w:marTop w:val="0"/>
          <w:marBottom w:val="0"/>
          <w:divBdr>
            <w:top w:val="none" w:sz="0" w:space="0" w:color="auto"/>
            <w:left w:val="none" w:sz="0" w:space="0" w:color="auto"/>
            <w:bottom w:val="none" w:sz="0" w:space="0" w:color="auto"/>
            <w:right w:val="none" w:sz="0" w:space="0" w:color="auto"/>
          </w:divBdr>
          <w:divsChild>
            <w:div w:id="1349018140">
              <w:marLeft w:val="0"/>
              <w:marRight w:val="0"/>
              <w:marTop w:val="0"/>
              <w:marBottom w:val="0"/>
              <w:divBdr>
                <w:top w:val="none" w:sz="0" w:space="0" w:color="auto"/>
                <w:left w:val="none" w:sz="0" w:space="0" w:color="auto"/>
                <w:bottom w:val="none" w:sz="0" w:space="0" w:color="auto"/>
                <w:right w:val="none" w:sz="0" w:space="0" w:color="auto"/>
              </w:divBdr>
            </w:div>
          </w:divsChild>
        </w:div>
        <w:div w:id="2146852487">
          <w:marLeft w:val="0"/>
          <w:marRight w:val="0"/>
          <w:marTop w:val="0"/>
          <w:marBottom w:val="0"/>
          <w:divBdr>
            <w:top w:val="none" w:sz="0" w:space="0" w:color="auto"/>
            <w:left w:val="none" w:sz="0" w:space="0" w:color="auto"/>
            <w:bottom w:val="none" w:sz="0" w:space="0" w:color="auto"/>
            <w:right w:val="none" w:sz="0" w:space="0" w:color="auto"/>
          </w:divBdr>
          <w:divsChild>
            <w:div w:id="10911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7603">
      <w:bodyDiv w:val="1"/>
      <w:marLeft w:val="0"/>
      <w:marRight w:val="0"/>
      <w:marTop w:val="0"/>
      <w:marBottom w:val="0"/>
      <w:divBdr>
        <w:top w:val="none" w:sz="0" w:space="0" w:color="auto"/>
        <w:left w:val="none" w:sz="0" w:space="0" w:color="auto"/>
        <w:bottom w:val="none" w:sz="0" w:space="0" w:color="auto"/>
        <w:right w:val="none" w:sz="0" w:space="0" w:color="auto"/>
      </w:divBdr>
    </w:div>
    <w:div w:id="2037542108">
      <w:bodyDiv w:val="1"/>
      <w:marLeft w:val="0"/>
      <w:marRight w:val="0"/>
      <w:marTop w:val="0"/>
      <w:marBottom w:val="0"/>
      <w:divBdr>
        <w:top w:val="none" w:sz="0" w:space="0" w:color="auto"/>
        <w:left w:val="none" w:sz="0" w:space="0" w:color="auto"/>
        <w:bottom w:val="none" w:sz="0" w:space="0" w:color="auto"/>
        <w:right w:val="none" w:sz="0" w:space="0" w:color="auto"/>
      </w:divBdr>
      <w:divsChild>
        <w:div w:id="118767756">
          <w:marLeft w:val="0"/>
          <w:marRight w:val="0"/>
          <w:marTop w:val="0"/>
          <w:marBottom w:val="0"/>
          <w:divBdr>
            <w:top w:val="none" w:sz="0" w:space="0" w:color="auto"/>
            <w:left w:val="none" w:sz="0" w:space="0" w:color="auto"/>
            <w:bottom w:val="none" w:sz="0" w:space="0" w:color="auto"/>
            <w:right w:val="none" w:sz="0" w:space="0" w:color="auto"/>
          </w:divBdr>
          <w:divsChild>
            <w:div w:id="1769545754">
              <w:marLeft w:val="0"/>
              <w:marRight w:val="0"/>
              <w:marTop w:val="0"/>
              <w:marBottom w:val="0"/>
              <w:divBdr>
                <w:top w:val="none" w:sz="0" w:space="0" w:color="auto"/>
                <w:left w:val="none" w:sz="0" w:space="0" w:color="auto"/>
                <w:bottom w:val="none" w:sz="0" w:space="0" w:color="auto"/>
                <w:right w:val="none" w:sz="0" w:space="0" w:color="auto"/>
              </w:divBdr>
            </w:div>
          </w:divsChild>
        </w:div>
        <w:div w:id="361637307">
          <w:marLeft w:val="0"/>
          <w:marRight w:val="0"/>
          <w:marTop w:val="0"/>
          <w:marBottom w:val="0"/>
          <w:divBdr>
            <w:top w:val="none" w:sz="0" w:space="0" w:color="auto"/>
            <w:left w:val="none" w:sz="0" w:space="0" w:color="auto"/>
            <w:bottom w:val="none" w:sz="0" w:space="0" w:color="auto"/>
            <w:right w:val="none" w:sz="0" w:space="0" w:color="auto"/>
          </w:divBdr>
          <w:divsChild>
            <w:div w:id="2118402393">
              <w:marLeft w:val="0"/>
              <w:marRight w:val="0"/>
              <w:marTop w:val="0"/>
              <w:marBottom w:val="0"/>
              <w:divBdr>
                <w:top w:val="none" w:sz="0" w:space="0" w:color="auto"/>
                <w:left w:val="none" w:sz="0" w:space="0" w:color="auto"/>
                <w:bottom w:val="none" w:sz="0" w:space="0" w:color="auto"/>
                <w:right w:val="none" w:sz="0" w:space="0" w:color="auto"/>
              </w:divBdr>
            </w:div>
          </w:divsChild>
        </w:div>
        <w:div w:id="440537963">
          <w:marLeft w:val="0"/>
          <w:marRight w:val="0"/>
          <w:marTop w:val="0"/>
          <w:marBottom w:val="0"/>
          <w:divBdr>
            <w:top w:val="none" w:sz="0" w:space="0" w:color="auto"/>
            <w:left w:val="none" w:sz="0" w:space="0" w:color="auto"/>
            <w:bottom w:val="none" w:sz="0" w:space="0" w:color="auto"/>
            <w:right w:val="none" w:sz="0" w:space="0" w:color="auto"/>
          </w:divBdr>
          <w:divsChild>
            <w:div w:id="399252206">
              <w:marLeft w:val="0"/>
              <w:marRight w:val="0"/>
              <w:marTop w:val="0"/>
              <w:marBottom w:val="0"/>
              <w:divBdr>
                <w:top w:val="none" w:sz="0" w:space="0" w:color="auto"/>
                <w:left w:val="none" w:sz="0" w:space="0" w:color="auto"/>
                <w:bottom w:val="none" w:sz="0" w:space="0" w:color="auto"/>
                <w:right w:val="none" w:sz="0" w:space="0" w:color="auto"/>
              </w:divBdr>
            </w:div>
          </w:divsChild>
        </w:div>
        <w:div w:id="666983326">
          <w:marLeft w:val="0"/>
          <w:marRight w:val="0"/>
          <w:marTop w:val="0"/>
          <w:marBottom w:val="0"/>
          <w:divBdr>
            <w:top w:val="none" w:sz="0" w:space="0" w:color="auto"/>
            <w:left w:val="none" w:sz="0" w:space="0" w:color="auto"/>
            <w:bottom w:val="none" w:sz="0" w:space="0" w:color="auto"/>
            <w:right w:val="none" w:sz="0" w:space="0" w:color="auto"/>
          </w:divBdr>
          <w:divsChild>
            <w:div w:id="1047680951">
              <w:marLeft w:val="0"/>
              <w:marRight w:val="0"/>
              <w:marTop w:val="0"/>
              <w:marBottom w:val="0"/>
              <w:divBdr>
                <w:top w:val="none" w:sz="0" w:space="0" w:color="auto"/>
                <w:left w:val="none" w:sz="0" w:space="0" w:color="auto"/>
                <w:bottom w:val="none" w:sz="0" w:space="0" w:color="auto"/>
                <w:right w:val="none" w:sz="0" w:space="0" w:color="auto"/>
              </w:divBdr>
            </w:div>
          </w:divsChild>
        </w:div>
        <w:div w:id="1748648547">
          <w:marLeft w:val="0"/>
          <w:marRight w:val="0"/>
          <w:marTop w:val="0"/>
          <w:marBottom w:val="0"/>
          <w:divBdr>
            <w:top w:val="none" w:sz="0" w:space="0" w:color="auto"/>
            <w:left w:val="none" w:sz="0" w:space="0" w:color="auto"/>
            <w:bottom w:val="none" w:sz="0" w:space="0" w:color="auto"/>
            <w:right w:val="none" w:sz="0" w:space="0" w:color="auto"/>
          </w:divBdr>
          <w:divsChild>
            <w:div w:id="1848133466">
              <w:marLeft w:val="0"/>
              <w:marRight w:val="0"/>
              <w:marTop w:val="0"/>
              <w:marBottom w:val="0"/>
              <w:divBdr>
                <w:top w:val="none" w:sz="0" w:space="0" w:color="auto"/>
                <w:left w:val="none" w:sz="0" w:space="0" w:color="auto"/>
                <w:bottom w:val="none" w:sz="0" w:space="0" w:color="auto"/>
                <w:right w:val="none" w:sz="0" w:space="0" w:color="auto"/>
              </w:divBdr>
            </w:div>
          </w:divsChild>
        </w:div>
        <w:div w:id="1900676920">
          <w:marLeft w:val="0"/>
          <w:marRight w:val="0"/>
          <w:marTop w:val="0"/>
          <w:marBottom w:val="0"/>
          <w:divBdr>
            <w:top w:val="none" w:sz="0" w:space="0" w:color="auto"/>
            <w:left w:val="none" w:sz="0" w:space="0" w:color="auto"/>
            <w:bottom w:val="none" w:sz="0" w:space="0" w:color="auto"/>
            <w:right w:val="none" w:sz="0" w:space="0" w:color="auto"/>
          </w:divBdr>
          <w:divsChild>
            <w:div w:id="14022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2874</Words>
  <Characters>16386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19222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Dana</dc:creator>
  <cp:lastModifiedBy>Dipali Misal</cp:lastModifiedBy>
  <cp:revision>10</cp:revision>
  <dcterms:created xsi:type="dcterms:W3CDTF">2015-04-08T14:17:00Z</dcterms:created>
  <dcterms:modified xsi:type="dcterms:W3CDTF">2015-05-05T07:34:00Z</dcterms:modified>
</cp:coreProperties>
</file>