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352"/>
        <w:gridCol w:w="5579"/>
        <w:gridCol w:w="1260"/>
        <w:gridCol w:w="1080"/>
        <w:gridCol w:w="1260"/>
        <w:gridCol w:w="1368"/>
      </w:tblGrid>
      <w:tr w:rsidR="00757F92" w:rsidRPr="00275FD4" w:rsidTr="007C6471">
        <w:trPr>
          <w:cantSplit/>
          <w:tblHeader/>
        </w:trPr>
        <w:tc>
          <w:tcPr>
            <w:tcW w:w="485" w:type="pct"/>
            <w:shd w:val="clear" w:color="auto" w:fill="D9D9D9" w:themeFill="background1" w:themeFillShade="D9"/>
            <w:vAlign w:val="bottom"/>
          </w:tcPr>
          <w:p w:rsidR="00757F92" w:rsidRPr="00275FD4" w:rsidRDefault="00757F92" w:rsidP="007C6471">
            <w:pPr>
              <w:pStyle w:val="TableColumnHead"/>
            </w:pPr>
            <w:bookmarkStart w:id="0" w:name="_GoBack"/>
            <w:bookmarkEnd w:id="0"/>
            <w:r w:rsidRPr="00275FD4">
              <w:t>Author, year</w:t>
            </w:r>
          </w:p>
        </w:tc>
        <w:tc>
          <w:tcPr>
            <w:tcW w:w="513" w:type="pct"/>
            <w:shd w:val="clear" w:color="auto" w:fill="D9D9D9" w:themeFill="background1" w:themeFillShade="D9"/>
            <w:vAlign w:val="bottom"/>
          </w:tcPr>
          <w:p w:rsidR="00757F92" w:rsidRPr="00275FD4" w:rsidRDefault="00757F92" w:rsidP="007C6471">
            <w:pPr>
              <w:pStyle w:val="TableColumnHead"/>
            </w:pPr>
            <w:r w:rsidRPr="00275FD4">
              <w:t>Intervention</w:t>
            </w:r>
          </w:p>
        </w:tc>
        <w:tc>
          <w:tcPr>
            <w:tcW w:w="2117" w:type="pct"/>
            <w:shd w:val="clear" w:color="auto" w:fill="D9D9D9" w:themeFill="background1" w:themeFillShade="D9"/>
            <w:vAlign w:val="bottom"/>
          </w:tcPr>
          <w:p w:rsidR="00757F92" w:rsidRPr="00275FD4" w:rsidRDefault="00757F92" w:rsidP="007C6471">
            <w:pPr>
              <w:pStyle w:val="TableColumnHead"/>
            </w:pPr>
            <w:r w:rsidRPr="00275FD4">
              <w:t>Description</w:t>
            </w:r>
          </w:p>
        </w:tc>
        <w:tc>
          <w:tcPr>
            <w:tcW w:w="478" w:type="pct"/>
            <w:shd w:val="clear" w:color="auto" w:fill="D9D9D9" w:themeFill="background1" w:themeFillShade="D9"/>
            <w:vAlign w:val="bottom"/>
          </w:tcPr>
          <w:p w:rsidR="00757F92" w:rsidRPr="00275FD4" w:rsidRDefault="00757F92" w:rsidP="007C6471">
            <w:pPr>
              <w:pStyle w:val="TableColumnHead"/>
            </w:pPr>
            <w:r w:rsidRPr="00275FD4">
              <w:t>Delivery and Format Method</w:t>
            </w:r>
          </w:p>
        </w:tc>
        <w:tc>
          <w:tcPr>
            <w:tcW w:w="410" w:type="pct"/>
            <w:shd w:val="clear" w:color="auto" w:fill="D9D9D9" w:themeFill="background1" w:themeFillShade="D9"/>
            <w:vAlign w:val="bottom"/>
          </w:tcPr>
          <w:p w:rsidR="00757F92" w:rsidRPr="00275FD4" w:rsidRDefault="00757F92" w:rsidP="007C6471">
            <w:pPr>
              <w:pStyle w:val="TableColumnHead"/>
            </w:pPr>
            <w:r w:rsidRPr="00275FD4">
              <w:t>No. of Sessions</w:t>
            </w:r>
          </w:p>
        </w:tc>
        <w:tc>
          <w:tcPr>
            <w:tcW w:w="478" w:type="pct"/>
            <w:shd w:val="clear" w:color="auto" w:fill="D9D9D9" w:themeFill="background1" w:themeFillShade="D9"/>
            <w:vAlign w:val="bottom"/>
          </w:tcPr>
          <w:p w:rsidR="00757F92" w:rsidRPr="00275FD4" w:rsidRDefault="00757F92" w:rsidP="007C6471">
            <w:pPr>
              <w:pStyle w:val="TableColumnHead"/>
            </w:pPr>
            <w:r w:rsidRPr="00275FD4">
              <w:t>Duration of Intervention</w:t>
            </w:r>
          </w:p>
        </w:tc>
        <w:tc>
          <w:tcPr>
            <w:tcW w:w="519" w:type="pct"/>
            <w:shd w:val="clear" w:color="auto" w:fill="D9D9D9" w:themeFill="background1" w:themeFillShade="D9"/>
            <w:vAlign w:val="bottom"/>
          </w:tcPr>
          <w:p w:rsidR="00757F92" w:rsidRPr="00275FD4" w:rsidRDefault="00757F92" w:rsidP="007C6471">
            <w:pPr>
              <w:pStyle w:val="TableColumnHead"/>
            </w:pPr>
            <w:r w:rsidRPr="00275FD4">
              <w:t>Provider</w:t>
            </w:r>
          </w:p>
        </w:tc>
      </w:tr>
      <w:tr w:rsidR="00757F92" w:rsidRPr="00275FD4" w:rsidTr="00367AEE">
        <w:trPr>
          <w:cantSplit/>
        </w:trPr>
        <w:tc>
          <w:tcPr>
            <w:tcW w:w="485" w:type="pct"/>
            <w:vMerge w:val="restart"/>
            <w:shd w:val="clear" w:color="auto" w:fill="auto"/>
          </w:tcPr>
          <w:p w:rsidR="00757F92" w:rsidRPr="00275FD4" w:rsidRDefault="00757F92" w:rsidP="00367AEE">
            <w:pPr>
              <w:pStyle w:val="TableText"/>
            </w:pPr>
            <w:proofErr w:type="spellStart"/>
            <w:r w:rsidRPr="00275FD4">
              <w:t>Boekeloo</w:t>
            </w:r>
            <w:proofErr w:type="spellEnd"/>
            <w:r w:rsidRPr="00275FD4">
              <w:t>, 1999</w:t>
            </w:r>
            <w:r w:rsidRPr="00887C01">
              <w:rPr>
                <w:noProof/>
                <w:vertAlign w:val="superscript"/>
              </w:rPr>
              <w:t>63,143</w:t>
            </w:r>
          </w:p>
        </w:tc>
        <w:tc>
          <w:tcPr>
            <w:tcW w:w="513" w:type="pct"/>
            <w:shd w:val="clear" w:color="auto" w:fill="auto"/>
          </w:tcPr>
          <w:p w:rsidR="00757F92" w:rsidRPr="00275FD4" w:rsidRDefault="00757F92" w:rsidP="00367AEE">
            <w:pPr>
              <w:pStyle w:val="TableText"/>
            </w:pPr>
            <w:r w:rsidRPr="00275FD4">
              <w:t>ASSESS (Awareness, Skills, Self-efficacy/Self-esteem, and Social Support)</w:t>
            </w:r>
          </w:p>
        </w:tc>
        <w:tc>
          <w:tcPr>
            <w:tcW w:w="2117" w:type="pct"/>
            <w:shd w:val="clear" w:color="auto" w:fill="auto"/>
          </w:tcPr>
          <w:p w:rsidR="00757F92" w:rsidRPr="00275FD4" w:rsidRDefault="00757F92" w:rsidP="00873B9A">
            <w:pPr>
              <w:pStyle w:val="TableText"/>
              <w:ind w:right="-108"/>
            </w:pPr>
            <w:r w:rsidRPr="00275FD4">
              <w:t>An educational program targeting physicians and adolescents provided comprehensive HIV/</w:t>
            </w:r>
            <w:r>
              <w:t>STI</w:t>
            </w:r>
            <w:r w:rsidRPr="00275FD4">
              <w:t xml:space="preserve"> prevention information, based on social</w:t>
            </w:r>
            <w:r w:rsidR="007C6471">
              <w:t xml:space="preserve"> </w:t>
            </w:r>
            <w:r w:rsidRPr="00275FD4">
              <w:t>cognitive theory and theory of reasoned action. Program aimed to increase adolescent awareness about sexual risks, skills to avoid risky sexual situations, self-efficacy (</w:t>
            </w:r>
            <w:r w:rsidR="007C6471">
              <w:t>e.g.,</w:t>
            </w:r>
            <w:r w:rsidRPr="00275FD4">
              <w:t xml:space="preserve"> feeling that peer pressure can be resisted), and social support (such that adolescents felt encouraged by the physician). 15</w:t>
            </w:r>
            <w:r w:rsidR="007C6471">
              <w:t>-</w:t>
            </w:r>
            <w:r w:rsidRPr="00275FD4">
              <w:t xml:space="preserve">min audiotaped risk assessment and education program (addressed awareness and perceived susceptibility to </w:t>
            </w:r>
            <w:r>
              <w:t>STI</w:t>
            </w:r>
            <w:r w:rsidRPr="00275FD4">
              <w:t>s); physician review of risk assessment and discussion, with props and brochures covering skills and self-efficacy to resist intercourse or use condoms, community resources, and (for parents) how to discuss sexual risks with teens.</w:t>
            </w:r>
          </w:p>
        </w:tc>
        <w:tc>
          <w:tcPr>
            <w:tcW w:w="478" w:type="pct"/>
            <w:shd w:val="clear" w:color="auto" w:fill="auto"/>
          </w:tcPr>
          <w:p w:rsidR="00757F92" w:rsidRPr="00275FD4" w:rsidRDefault="00757F92" w:rsidP="00367AEE">
            <w:pPr>
              <w:pStyle w:val="TableText"/>
            </w:pPr>
            <w:r w:rsidRPr="00275FD4">
              <w:t>Individual, face-to-face, video and print</w:t>
            </w:r>
          </w:p>
        </w:tc>
        <w:tc>
          <w:tcPr>
            <w:tcW w:w="410" w:type="pct"/>
            <w:shd w:val="clear" w:color="auto" w:fill="auto"/>
          </w:tcPr>
          <w:p w:rsidR="00757F92" w:rsidRPr="00275FD4" w:rsidRDefault="00757F92" w:rsidP="00367AEE">
            <w:pPr>
              <w:pStyle w:val="TableText"/>
            </w:pPr>
            <w:r w:rsidRPr="00275FD4">
              <w:t>1</w:t>
            </w:r>
          </w:p>
        </w:tc>
        <w:tc>
          <w:tcPr>
            <w:tcW w:w="478" w:type="pct"/>
            <w:shd w:val="clear" w:color="auto" w:fill="auto"/>
          </w:tcPr>
          <w:p w:rsidR="00757F92" w:rsidRPr="00275FD4" w:rsidRDefault="00757F92" w:rsidP="00367AEE">
            <w:pPr>
              <w:pStyle w:val="TableText"/>
            </w:pPr>
            <w:r w:rsidRPr="00275FD4">
              <w:t>Once</w:t>
            </w:r>
          </w:p>
        </w:tc>
        <w:tc>
          <w:tcPr>
            <w:tcW w:w="519" w:type="pct"/>
            <w:shd w:val="clear" w:color="auto" w:fill="auto"/>
          </w:tcPr>
          <w:p w:rsidR="00757F92" w:rsidRPr="00275FD4" w:rsidRDefault="00757F92" w:rsidP="00207749">
            <w:pPr>
              <w:pStyle w:val="TableText"/>
            </w:pPr>
            <w:r w:rsidRPr="00275FD4">
              <w:t>Primary care physicians</w:t>
            </w:r>
            <w:r w:rsidR="00207749">
              <w:t>,</w:t>
            </w:r>
            <w:r w:rsidRPr="00275FD4">
              <w:t xml:space="preserve"> includ</w:t>
            </w:r>
            <w:r w:rsidR="00207749">
              <w:t>ing</w:t>
            </w:r>
            <w:r w:rsidRPr="00275FD4">
              <w:t xml:space="preserve"> a pediatrician</w:t>
            </w:r>
          </w:p>
        </w:tc>
      </w:tr>
      <w:tr w:rsidR="00757F92" w:rsidRPr="00275FD4" w:rsidTr="00367AEE">
        <w:trPr>
          <w:cantSplit/>
        </w:trPr>
        <w:tc>
          <w:tcPr>
            <w:tcW w:w="485" w:type="pct"/>
            <w:vMerge/>
            <w:shd w:val="clear" w:color="auto" w:fill="auto"/>
          </w:tcPr>
          <w:p w:rsidR="00757F92" w:rsidRPr="00275FD4" w:rsidRDefault="00757F92" w:rsidP="00367AEE">
            <w:pPr>
              <w:pStyle w:val="TableText"/>
            </w:pPr>
          </w:p>
        </w:tc>
        <w:tc>
          <w:tcPr>
            <w:tcW w:w="513" w:type="pct"/>
            <w:shd w:val="clear" w:color="auto" w:fill="auto"/>
          </w:tcPr>
          <w:p w:rsidR="00757F92" w:rsidRPr="00275FD4" w:rsidRDefault="00757F92" w:rsidP="00367AEE">
            <w:pPr>
              <w:pStyle w:val="TableText"/>
            </w:pPr>
            <w:r w:rsidRPr="00275FD4">
              <w:t>Usual care</w:t>
            </w:r>
          </w:p>
        </w:tc>
        <w:tc>
          <w:tcPr>
            <w:tcW w:w="2117" w:type="pct"/>
            <w:shd w:val="clear" w:color="auto" w:fill="auto"/>
          </w:tcPr>
          <w:p w:rsidR="00757F92" w:rsidRPr="00275FD4" w:rsidRDefault="00757F92" w:rsidP="007C6471">
            <w:pPr>
              <w:pStyle w:val="TableText"/>
              <w:ind w:right="-108"/>
            </w:pPr>
            <w:r w:rsidRPr="00275FD4">
              <w:t>General health examination with no risk assessment and educational tools provided at time of visit.</w:t>
            </w:r>
          </w:p>
        </w:tc>
        <w:tc>
          <w:tcPr>
            <w:tcW w:w="478" w:type="pct"/>
            <w:shd w:val="clear" w:color="auto" w:fill="auto"/>
          </w:tcPr>
          <w:p w:rsidR="00757F92" w:rsidRPr="00275FD4" w:rsidRDefault="00757F92" w:rsidP="00367AEE">
            <w:pPr>
              <w:pStyle w:val="TableText"/>
            </w:pPr>
            <w:r w:rsidRPr="00275FD4">
              <w:t>Individual, face-to-face</w:t>
            </w:r>
          </w:p>
        </w:tc>
        <w:tc>
          <w:tcPr>
            <w:tcW w:w="410" w:type="pct"/>
            <w:shd w:val="clear" w:color="auto" w:fill="auto"/>
          </w:tcPr>
          <w:p w:rsidR="00757F92" w:rsidRPr="00275FD4" w:rsidRDefault="00757F92" w:rsidP="00367AEE">
            <w:pPr>
              <w:pStyle w:val="TableText"/>
            </w:pPr>
            <w:r w:rsidRPr="00275FD4">
              <w:t>1</w:t>
            </w:r>
          </w:p>
        </w:tc>
        <w:tc>
          <w:tcPr>
            <w:tcW w:w="478" w:type="pct"/>
            <w:shd w:val="clear" w:color="auto" w:fill="auto"/>
          </w:tcPr>
          <w:p w:rsidR="00757F92" w:rsidRPr="00275FD4" w:rsidRDefault="00757F92" w:rsidP="00367AEE">
            <w:pPr>
              <w:pStyle w:val="TableText"/>
            </w:pPr>
            <w:r w:rsidRPr="00275FD4">
              <w:t>Once</w:t>
            </w:r>
          </w:p>
        </w:tc>
        <w:tc>
          <w:tcPr>
            <w:tcW w:w="519" w:type="pct"/>
            <w:shd w:val="clear" w:color="auto" w:fill="auto"/>
          </w:tcPr>
          <w:p w:rsidR="00757F92" w:rsidRPr="00275FD4" w:rsidRDefault="00757F92" w:rsidP="00367AEE">
            <w:pPr>
              <w:pStyle w:val="TableText"/>
            </w:pPr>
            <w:r w:rsidRPr="00275FD4">
              <w:t>Pediatrician</w:t>
            </w:r>
          </w:p>
        </w:tc>
      </w:tr>
      <w:tr w:rsidR="00757F92" w:rsidRPr="00275FD4" w:rsidTr="00367AEE">
        <w:trPr>
          <w:cantSplit/>
        </w:trPr>
        <w:tc>
          <w:tcPr>
            <w:tcW w:w="485" w:type="pct"/>
            <w:vMerge w:val="restart"/>
            <w:shd w:val="clear" w:color="auto" w:fill="auto"/>
          </w:tcPr>
          <w:p w:rsidR="00757F92" w:rsidRPr="00275FD4" w:rsidRDefault="00757F92" w:rsidP="00367AEE">
            <w:pPr>
              <w:pStyle w:val="TableText"/>
            </w:pPr>
            <w:r w:rsidRPr="00275FD4">
              <w:t>Champion, 2012</w:t>
            </w:r>
            <w:r w:rsidRPr="00887C01">
              <w:rPr>
                <w:noProof/>
                <w:vertAlign w:val="superscript"/>
              </w:rPr>
              <w:t>69</w:t>
            </w:r>
          </w:p>
        </w:tc>
        <w:tc>
          <w:tcPr>
            <w:tcW w:w="513" w:type="pct"/>
            <w:shd w:val="clear" w:color="auto" w:fill="auto"/>
          </w:tcPr>
          <w:p w:rsidR="00757F92" w:rsidRPr="00275FD4" w:rsidRDefault="00757F92" w:rsidP="00367AEE">
            <w:pPr>
              <w:pStyle w:val="TableText"/>
            </w:pPr>
            <w:r w:rsidRPr="00275FD4">
              <w:t>AIDS risk reduction</w:t>
            </w:r>
          </w:p>
        </w:tc>
        <w:tc>
          <w:tcPr>
            <w:tcW w:w="2117" w:type="pct"/>
            <w:shd w:val="clear" w:color="auto" w:fill="auto"/>
          </w:tcPr>
          <w:p w:rsidR="00757F92" w:rsidRPr="00275FD4" w:rsidRDefault="00757F92" w:rsidP="00207749">
            <w:pPr>
              <w:pStyle w:val="TableText"/>
              <w:ind w:right="-108"/>
            </w:pPr>
            <w:r w:rsidRPr="00275FD4">
              <w:t xml:space="preserve">All participants received enhanced clinical counseling </w:t>
            </w:r>
            <w:r w:rsidR="00207749">
              <w:t>that</w:t>
            </w:r>
            <w:r w:rsidRPr="00275FD4">
              <w:t xml:space="preserve"> included asking participants if they took all their medicine, had sex before completing treatment, their partner was treated, and if they had sex with him either before or during treatment. Physical exam and semi-structured one-to-one interview at entry, 6- and 12-month </w:t>
            </w:r>
            <w:proofErr w:type="spellStart"/>
            <w:r w:rsidRPr="00275FD4">
              <w:t>followup</w:t>
            </w:r>
            <w:proofErr w:type="spellEnd"/>
            <w:r w:rsidRPr="00275FD4">
              <w:t xml:space="preserve"> (1.5</w:t>
            </w:r>
            <w:r w:rsidR="00207749">
              <w:t xml:space="preserve"> to </w:t>
            </w:r>
            <w:r w:rsidRPr="00275FD4">
              <w:t xml:space="preserve">2 </w:t>
            </w:r>
            <w:proofErr w:type="spellStart"/>
            <w:r w:rsidRPr="00275FD4">
              <w:t>hr</w:t>
            </w:r>
            <w:proofErr w:type="spellEnd"/>
            <w:r w:rsidRPr="00275FD4">
              <w:t>), two workshop sessions initiated 1</w:t>
            </w:r>
            <w:r w:rsidR="00207749">
              <w:t xml:space="preserve"> to </w:t>
            </w:r>
            <w:r w:rsidRPr="00275FD4">
              <w:t>3 weeks after entry (4</w:t>
            </w:r>
            <w:r w:rsidR="00207749">
              <w:t xml:space="preserve"> to </w:t>
            </w:r>
            <w:r w:rsidRPr="00275FD4">
              <w:t>8 participants, 3</w:t>
            </w:r>
            <w:r w:rsidR="00207749">
              <w:t xml:space="preserve"> to </w:t>
            </w:r>
            <w:r w:rsidRPr="00275FD4">
              <w:t xml:space="preserve">4 </w:t>
            </w:r>
            <w:proofErr w:type="spellStart"/>
            <w:r w:rsidRPr="00275FD4">
              <w:t>hr</w:t>
            </w:r>
            <w:proofErr w:type="spellEnd"/>
            <w:r w:rsidRPr="00275FD4">
              <w:t xml:space="preserve">, one per week), conducted in round table format using motivational interviewing principles. Session 1 (awareness and perception of risk): raise awareness of personal risk, illustrate risks, discuss general STI and transmission routes, discuss selection of sex partners, </w:t>
            </w:r>
            <w:proofErr w:type="gramStart"/>
            <w:r w:rsidRPr="00275FD4">
              <w:t>discuss</w:t>
            </w:r>
            <w:proofErr w:type="gramEnd"/>
            <w:r w:rsidRPr="00275FD4">
              <w:t xml:space="preserve"> unintended pregnancy. Session 2 (commitment to change, strategies to reduce risk behavior): discuss how STI</w:t>
            </w:r>
            <w:r w:rsidR="00207749">
              <w:t>s</w:t>
            </w:r>
            <w:r w:rsidRPr="00275FD4">
              <w:t xml:space="preserve"> and unintended pregnancy can be prevented, discussion with sex partner, importance of completing STI treatment, reflect on romantic relationships, share sexual </w:t>
            </w:r>
            <w:proofErr w:type="spellStart"/>
            <w:r w:rsidRPr="00275FD4">
              <w:t>decisionmaking</w:t>
            </w:r>
            <w:proofErr w:type="spellEnd"/>
            <w:r w:rsidRPr="00275FD4">
              <w:t xml:space="preserve"> skills, empathize how behavior can change participant life, discuss how to find support, reflect on knowledge and goals. Problem solving </w:t>
            </w:r>
            <w:proofErr w:type="spellStart"/>
            <w:r w:rsidRPr="00275FD4">
              <w:t>followup</w:t>
            </w:r>
            <w:proofErr w:type="spellEnd"/>
            <w:r w:rsidRPr="00275FD4">
              <w:t xml:space="preserve"> visits as needed. Weekly (3</w:t>
            </w:r>
            <w:r w:rsidR="00207749">
              <w:t xml:space="preserve"> to </w:t>
            </w:r>
            <w:r w:rsidRPr="00275FD4">
              <w:t xml:space="preserve">5) support group sessions started 1 week after completion of both workshops. </w:t>
            </w:r>
            <w:r w:rsidR="00207749">
              <w:t>Two or more</w:t>
            </w:r>
            <w:r w:rsidRPr="00275FD4">
              <w:t xml:space="preserve"> individual counseling sessions as initiated by participant to focus on expressed needs.</w:t>
            </w:r>
          </w:p>
        </w:tc>
        <w:tc>
          <w:tcPr>
            <w:tcW w:w="478" w:type="pct"/>
            <w:shd w:val="clear" w:color="auto" w:fill="auto"/>
          </w:tcPr>
          <w:p w:rsidR="00757F92" w:rsidRPr="00275FD4" w:rsidRDefault="00757F92" w:rsidP="00367AEE">
            <w:pPr>
              <w:pStyle w:val="TableText"/>
            </w:pPr>
            <w:r w:rsidRPr="00275FD4">
              <w:t>Individual and group, face-to-face</w:t>
            </w:r>
          </w:p>
        </w:tc>
        <w:tc>
          <w:tcPr>
            <w:tcW w:w="410" w:type="pct"/>
            <w:shd w:val="clear" w:color="auto" w:fill="auto"/>
          </w:tcPr>
          <w:p w:rsidR="00757F92" w:rsidRPr="00275FD4" w:rsidRDefault="00757F92" w:rsidP="00367AEE">
            <w:pPr>
              <w:pStyle w:val="TableText"/>
            </w:pPr>
            <w:r w:rsidRPr="00275FD4">
              <w:t>11</w:t>
            </w:r>
          </w:p>
        </w:tc>
        <w:tc>
          <w:tcPr>
            <w:tcW w:w="478" w:type="pct"/>
            <w:shd w:val="clear" w:color="auto" w:fill="auto"/>
          </w:tcPr>
          <w:p w:rsidR="00757F92" w:rsidRPr="00275FD4" w:rsidRDefault="00757F92" w:rsidP="00367AEE">
            <w:pPr>
              <w:pStyle w:val="TableText"/>
            </w:pPr>
            <w:r w:rsidRPr="00275FD4">
              <w:t>3 weeks (workshops only)</w:t>
            </w:r>
          </w:p>
        </w:tc>
        <w:tc>
          <w:tcPr>
            <w:tcW w:w="519" w:type="pct"/>
            <w:shd w:val="clear" w:color="auto" w:fill="auto"/>
          </w:tcPr>
          <w:p w:rsidR="00757F92" w:rsidRPr="00275FD4" w:rsidRDefault="00757F92" w:rsidP="00367AEE">
            <w:pPr>
              <w:pStyle w:val="TableText"/>
            </w:pPr>
            <w:r w:rsidRPr="00275FD4">
              <w:t>Nurse practitioner</w:t>
            </w:r>
          </w:p>
        </w:tc>
      </w:tr>
      <w:tr w:rsidR="00757F92" w:rsidRPr="00275FD4" w:rsidTr="00367AEE">
        <w:trPr>
          <w:cantSplit/>
        </w:trPr>
        <w:tc>
          <w:tcPr>
            <w:tcW w:w="485" w:type="pct"/>
            <w:vMerge/>
            <w:shd w:val="clear" w:color="auto" w:fill="auto"/>
          </w:tcPr>
          <w:p w:rsidR="00757F92" w:rsidRPr="00275FD4" w:rsidRDefault="00757F92" w:rsidP="00367AEE">
            <w:pPr>
              <w:pStyle w:val="TableText"/>
            </w:pPr>
          </w:p>
        </w:tc>
        <w:tc>
          <w:tcPr>
            <w:tcW w:w="513" w:type="pct"/>
            <w:shd w:val="clear" w:color="auto" w:fill="auto"/>
          </w:tcPr>
          <w:p w:rsidR="00757F92" w:rsidRPr="00275FD4" w:rsidRDefault="00757F92" w:rsidP="00367AEE">
            <w:pPr>
              <w:pStyle w:val="TableText"/>
            </w:pPr>
            <w:r w:rsidRPr="00275FD4">
              <w:t>Minimal intervention</w:t>
            </w:r>
          </w:p>
        </w:tc>
        <w:tc>
          <w:tcPr>
            <w:tcW w:w="2117" w:type="pct"/>
            <w:shd w:val="clear" w:color="auto" w:fill="auto"/>
          </w:tcPr>
          <w:p w:rsidR="00757F92" w:rsidRPr="00275FD4" w:rsidRDefault="00757F92" w:rsidP="00207749">
            <w:pPr>
              <w:pStyle w:val="TableText"/>
              <w:ind w:right="-108"/>
            </w:pPr>
            <w:r w:rsidRPr="00275FD4">
              <w:t xml:space="preserve">Enhanced clinical counseling included asking participants if they took all their medicine, had sex before completing treatment, </w:t>
            </w:r>
            <w:r w:rsidR="00207749">
              <w:t>their</w:t>
            </w:r>
            <w:r w:rsidRPr="00275FD4">
              <w:t xml:space="preserve"> partner was treated, and if they had sex with him either before or during treatment. Participants told they can receive counseling intervention at study completion. Workshop and support group sessions provided to CG identical to those for IG and conducted by same facilitator</w:t>
            </w:r>
            <w:r w:rsidR="00207749">
              <w:t>,</w:t>
            </w:r>
            <w:r w:rsidRPr="00275FD4">
              <w:t xml:space="preserve"> without an incentive.</w:t>
            </w:r>
          </w:p>
        </w:tc>
        <w:tc>
          <w:tcPr>
            <w:tcW w:w="478" w:type="pct"/>
            <w:shd w:val="clear" w:color="auto" w:fill="auto"/>
          </w:tcPr>
          <w:p w:rsidR="00757F92" w:rsidRPr="00275FD4" w:rsidRDefault="00757F92" w:rsidP="00367AEE">
            <w:pPr>
              <w:pStyle w:val="TableText"/>
            </w:pPr>
            <w:r w:rsidRPr="00275FD4">
              <w:t>Individual, face-to-face</w:t>
            </w:r>
          </w:p>
        </w:tc>
        <w:tc>
          <w:tcPr>
            <w:tcW w:w="410" w:type="pct"/>
            <w:shd w:val="clear" w:color="auto" w:fill="auto"/>
          </w:tcPr>
          <w:p w:rsidR="00757F92" w:rsidRPr="00275FD4" w:rsidRDefault="00757F92" w:rsidP="00367AEE">
            <w:pPr>
              <w:pStyle w:val="TableText"/>
            </w:pPr>
            <w:r w:rsidRPr="00275FD4">
              <w:t>1</w:t>
            </w:r>
          </w:p>
        </w:tc>
        <w:tc>
          <w:tcPr>
            <w:tcW w:w="478" w:type="pct"/>
            <w:shd w:val="clear" w:color="auto" w:fill="auto"/>
          </w:tcPr>
          <w:p w:rsidR="00757F92" w:rsidRPr="00275FD4" w:rsidRDefault="00757F92" w:rsidP="00367AEE">
            <w:pPr>
              <w:pStyle w:val="TableText"/>
            </w:pPr>
            <w:r w:rsidRPr="00275FD4">
              <w:t>Once</w:t>
            </w:r>
          </w:p>
        </w:tc>
        <w:tc>
          <w:tcPr>
            <w:tcW w:w="519" w:type="pct"/>
            <w:shd w:val="clear" w:color="auto" w:fill="auto"/>
          </w:tcPr>
          <w:p w:rsidR="00757F92" w:rsidRPr="00275FD4" w:rsidRDefault="00757F92" w:rsidP="00367AEE">
            <w:pPr>
              <w:pStyle w:val="TableText"/>
            </w:pPr>
            <w:r w:rsidRPr="00275FD4">
              <w:t>Nurse practitioner</w:t>
            </w:r>
          </w:p>
        </w:tc>
      </w:tr>
      <w:tr w:rsidR="00757F92" w:rsidRPr="00275FD4" w:rsidTr="00367AEE">
        <w:trPr>
          <w:cantSplit/>
        </w:trPr>
        <w:tc>
          <w:tcPr>
            <w:tcW w:w="485" w:type="pct"/>
            <w:vMerge w:val="restart"/>
            <w:shd w:val="clear" w:color="auto" w:fill="auto"/>
          </w:tcPr>
          <w:p w:rsidR="00757F92" w:rsidRPr="00275FD4" w:rsidRDefault="00757F92" w:rsidP="00367AEE">
            <w:pPr>
              <w:pStyle w:val="TableText"/>
            </w:pPr>
            <w:r w:rsidRPr="00275FD4">
              <w:lastRenderedPageBreak/>
              <w:t>Danielson, 1990</w:t>
            </w:r>
            <w:r w:rsidRPr="00887C01">
              <w:rPr>
                <w:noProof/>
                <w:vertAlign w:val="superscript"/>
              </w:rPr>
              <w:t>66</w:t>
            </w:r>
          </w:p>
        </w:tc>
        <w:tc>
          <w:tcPr>
            <w:tcW w:w="513" w:type="pct"/>
            <w:shd w:val="clear" w:color="auto" w:fill="auto"/>
          </w:tcPr>
          <w:p w:rsidR="00757F92" w:rsidRPr="00275FD4" w:rsidRDefault="00757F92" w:rsidP="00367AEE">
            <w:pPr>
              <w:pStyle w:val="TableText"/>
            </w:pPr>
            <w:r w:rsidRPr="00275FD4">
              <w:t>Reproductive health consultation</w:t>
            </w:r>
          </w:p>
        </w:tc>
        <w:tc>
          <w:tcPr>
            <w:tcW w:w="2117" w:type="pct"/>
            <w:shd w:val="clear" w:color="auto" w:fill="auto"/>
          </w:tcPr>
          <w:p w:rsidR="00757F92" w:rsidRPr="00275FD4" w:rsidRDefault="00757F92" w:rsidP="00207749">
            <w:pPr>
              <w:pStyle w:val="TableText"/>
            </w:pPr>
            <w:r w:rsidRPr="00275FD4">
              <w:t>Slide tape program</w:t>
            </w:r>
            <w:r>
              <w:t xml:space="preserve"> (30 min)</w:t>
            </w:r>
            <w:r w:rsidRPr="00275FD4">
              <w:t xml:space="preserve"> with photos and information on sexual health, couple communication, and access to health services; visit with health </w:t>
            </w:r>
            <w:r>
              <w:t>practitioner (30 min)</w:t>
            </w:r>
            <w:r w:rsidR="00207749">
              <w:t>,</w:t>
            </w:r>
            <w:r w:rsidRPr="00275FD4">
              <w:t xml:space="preserve"> Q&amp;A based on patient's interests, risk reduction counseling, modeling and rehearsing discussing sex and contraception with girlfriend</w:t>
            </w:r>
          </w:p>
        </w:tc>
        <w:tc>
          <w:tcPr>
            <w:tcW w:w="478" w:type="pct"/>
            <w:shd w:val="clear" w:color="auto" w:fill="auto"/>
          </w:tcPr>
          <w:p w:rsidR="00757F92" w:rsidRPr="00275FD4" w:rsidRDefault="00757F92" w:rsidP="00367AEE">
            <w:pPr>
              <w:pStyle w:val="TableText"/>
            </w:pPr>
            <w:r w:rsidRPr="00275FD4">
              <w:t>Individual, face-to-face</w:t>
            </w:r>
          </w:p>
        </w:tc>
        <w:tc>
          <w:tcPr>
            <w:tcW w:w="410" w:type="pct"/>
            <w:shd w:val="clear" w:color="auto" w:fill="auto"/>
          </w:tcPr>
          <w:p w:rsidR="00757F92" w:rsidRPr="00275FD4" w:rsidRDefault="00757F92" w:rsidP="00367AEE">
            <w:pPr>
              <w:pStyle w:val="TableText"/>
            </w:pPr>
            <w:r w:rsidRPr="00275FD4">
              <w:t>1</w:t>
            </w:r>
          </w:p>
        </w:tc>
        <w:tc>
          <w:tcPr>
            <w:tcW w:w="478" w:type="pct"/>
            <w:shd w:val="clear" w:color="auto" w:fill="auto"/>
          </w:tcPr>
          <w:p w:rsidR="00757F92" w:rsidRPr="00275FD4" w:rsidRDefault="00757F92" w:rsidP="00367AEE">
            <w:pPr>
              <w:pStyle w:val="TableText"/>
            </w:pPr>
            <w:r w:rsidRPr="00275FD4">
              <w:t>Once</w:t>
            </w:r>
          </w:p>
        </w:tc>
        <w:tc>
          <w:tcPr>
            <w:tcW w:w="519" w:type="pct"/>
            <w:shd w:val="clear" w:color="auto" w:fill="auto"/>
          </w:tcPr>
          <w:p w:rsidR="00757F92" w:rsidRPr="00275FD4" w:rsidRDefault="00757F92" w:rsidP="007C6471">
            <w:pPr>
              <w:pStyle w:val="TableText"/>
              <w:ind w:right="-90"/>
            </w:pPr>
            <w:r w:rsidRPr="00275FD4">
              <w:t>Trained nurse practitioner, physician assistant or registered nurse</w:t>
            </w:r>
          </w:p>
        </w:tc>
      </w:tr>
      <w:tr w:rsidR="00757F92" w:rsidRPr="00275FD4" w:rsidTr="00367AEE">
        <w:trPr>
          <w:cantSplit/>
        </w:trPr>
        <w:tc>
          <w:tcPr>
            <w:tcW w:w="485" w:type="pct"/>
            <w:vMerge/>
            <w:shd w:val="clear" w:color="auto" w:fill="auto"/>
          </w:tcPr>
          <w:p w:rsidR="00757F92" w:rsidRPr="00275FD4" w:rsidRDefault="00757F92" w:rsidP="00367AEE">
            <w:pPr>
              <w:pStyle w:val="TableText"/>
            </w:pPr>
          </w:p>
        </w:tc>
        <w:tc>
          <w:tcPr>
            <w:tcW w:w="513" w:type="pct"/>
            <w:shd w:val="clear" w:color="auto" w:fill="auto"/>
          </w:tcPr>
          <w:p w:rsidR="00757F92" w:rsidRPr="00275FD4" w:rsidRDefault="00757F92" w:rsidP="00367AEE">
            <w:pPr>
              <w:pStyle w:val="TableText"/>
            </w:pPr>
            <w:r w:rsidRPr="00275FD4">
              <w:t>Waitlist</w:t>
            </w:r>
          </w:p>
        </w:tc>
        <w:tc>
          <w:tcPr>
            <w:tcW w:w="2117" w:type="pct"/>
            <w:shd w:val="clear" w:color="auto" w:fill="auto"/>
          </w:tcPr>
          <w:p w:rsidR="00757F92" w:rsidRPr="00275FD4" w:rsidRDefault="00757F92" w:rsidP="00367AEE">
            <w:pPr>
              <w:pStyle w:val="TableText"/>
            </w:pPr>
            <w:r w:rsidRPr="00275FD4">
              <w:t>Scheduled consultation after 12 months</w:t>
            </w:r>
          </w:p>
        </w:tc>
        <w:tc>
          <w:tcPr>
            <w:tcW w:w="478" w:type="pct"/>
            <w:shd w:val="clear" w:color="auto" w:fill="auto"/>
          </w:tcPr>
          <w:p w:rsidR="00757F92" w:rsidRPr="00275FD4" w:rsidRDefault="00757F92" w:rsidP="00367AEE">
            <w:pPr>
              <w:pStyle w:val="TableText"/>
            </w:pPr>
            <w:r w:rsidRPr="00275FD4">
              <w:t>NA</w:t>
            </w:r>
          </w:p>
        </w:tc>
        <w:tc>
          <w:tcPr>
            <w:tcW w:w="410" w:type="pct"/>
            <w:shd w:val="clear" w:color="auto" w:fill="auto"/>
          </w:tcPr>
          <w:p w:rsidR="00757F92" w:rsidRPr="00275FD4" w:rsidRDefault="00757F92" w:rsidP="00367AEE">
            <w:pPr>
              <w:pStyle w:val="TableText"/>
            </w:pPr>
            <w:r w:rsidRPr="00275FD4">
              <w:t>NA</w:t>
            </w:r>
          </w:p>
        </w:tc>
        <w:tc>
          <w:tcPr>
            <w:tcW w:w="478" w:type="pct"/>
            <w:shd w:val="clear" w:color="auto" w:fill="auto"/>
          </w:tcPr>
          <w:p w:rsidR="00757F92" w:rsidRPr="00275FD4" w:rsidRDefault="00757F92" w:rsidP="00367AEE">
            <w:pPr>
              <w:pStyle w:val="TableText"/>
            </w:pPr>
            <w:r w:rsidRPr="00275FD4">
              <w:t>NA</w:t>
            </w:r>
          </w:p>
        </w:tc>
        <w:tc>
          <w:tcPr>
            <w:tcW w:w="519" w:type="pct"/>
            <w:shd w:val="clear" w:color="auto" w:fill="auto"/>
          </w:tcPr>
          <w:p w:rsidR="00757F92" w:rsidRPr="00275FD4" w:rsidRDefault="00757F92" w:rsidP="00367AEE">
            <w:pPr>
              <w:pStyle w:val="TableText"/>
            </w:pPr>
            <w:r w:rsidRPr="00275FD4">
              <w:t>NA</w:t>
            </w:r>
          </w:p>
        </w:tc>
      </w:tr>
      <w:tr w:rsidR="00757F92" w:rsidRPr="00275FD4" w:rsidTr="00367AEE">
        <w:trPr>
          <w:cantSplit/>
        </w:trPr>
        <w:tc>
          <w:tcPr>
            <w:tcW w:w="485" w:type="pct"/>
            <w:vMerge w:val="restart"/>
            <w:shd w:val="clear" w:color="auto" w:fill="auto"/>
          </w:tcPr>
          <w:p w:rsidR="00757F92" w:rsidRPr="00275FD4" w:rsidRDefault="00757F92" w:rsidP="00367AEE">
            <w:pPr>
              <w:pStyle w:val="TableText"/>
            </w:pPr>
            <w:proofErr w:type="spellStart"/>
            <w:r w:rsidRPr="00275FD4">
              <w:t>DiClemente</w:t>
            </w:r>
            <w:proofErr w:type="spellEnd"/>
            <w:r w:rsidRPr="00275FD4">
              <w:t>, 2004</w:t>
            </w:r>
            <w:r w:rsidRPr="00887C01">
              <w:rPr>
                <w:noProof/>
                <w:vertAlign w:val="superscript"/>
              </w:rPr>
              <w:t>68,148-153</w:t>
            </w:r>
          </w:p>
        </w:tc>
        <w:tc>
          <w:tcPr>
            <w:tcW w:w="513" w:type="pct"/>
            <w:shd w:val="clear" w:color="auto" w:fill="auto"/>
          </w:tcPr>
          <w:p w:rsidR="00757F92" w:rsidRPr="00275FD4" w:rsidRDefault="00757F92" w:rsidP="00367AEE">
            <w:pPr>
              <w:pStyle w:val="TableText"/>
            </w:pPr>
            <w:r w:rsidRPr="00275FD4">
              <w:t>HIV prevention</w:t>
            </w:r>
          </w:p>
        </w:tc>
        <w:tc>
          <w:tcPr>
            <w:tcW w:w="2117" w:type="pct"/>
            <w:shd w:val="clear" w:color="auto" w:fill="auto"/>
          </w:tcPr>
          <w:p w:rsidR="00757F92" w:rsidRPr="00275FD4" w:rsidRDefault="00757F92" w:rsidP="00207749">
            <w:pPr>
              <w:pStyle w:val="TableText"/>
              <w:ind w:right="-108"/>
            </w:pPr>
            <w:r w:rsidRPr="00275FD4">
              <w:t>Four 4-hr interactive group sessions implemented on consecutive Saturdays at a family clinic; 10</w:t>
            </w:r>
            <w:r w:rsidR="00207749">
              <w:t xml:space="preserve"> to </w:t>
            </w:r>
            <w:r w:rsidRPr="00275FD4">
              <w:t xml:space="preserve">12 participants per group. Implemented by a trained African American female health educator and </w:t>
            </w:r>
            <w:r w:rsidR="00207749">
              <w:t>two</w:t>
            </w:r>
            <w:r w:rsidRPr="00275FD4">
              <w:t xml:space="preserve"> African American female peer educators. Content based on social cognitive theory and theory of gender and power. Session 1: ethnic and gender pride; session 2: enhanced awareness of HIV risk reduction strategies (abstinence, consistent condom use, fewer sex partners); session 3: role</w:t>
            </w:r>
            <w:r w:rsidR="00207749">
              <w:t xml:space="preserve"> </w:t>
            </w:r>
            <w:r w:rsidRPr="00275FD4">
              <w:t xml:space="preserve">play and cognitive rehearsal to enhance confidence in initiating safer-sex conversations, negotiating safer sex, refusing unsafe sex, </w:t>
            </w:r>
            <w:r w:rsidR="00207749">
              <w:t xml:space="preserve">and </w:t>
            </w:r>
            <w:r w:rsidRPr="00275FD4">
              <w:t>modeling condom use; session 4: importance of healthy relationships</w:t>
            </w:r>
          </w:p>
        </w:tc>
        <w:tc>
          <w:tcPr>
            <w:tcW w:w="478" w:type="pct"/>
            <w:shd w:val="clear" w:color="auto" w:fill="auto"/>
          </w:tcPr>
          <w:p w:rsidR="00757F92" w:rsidRPr="00275FD4" w:rsidRDefault="00757F92" w:rsidP="00367AEE">
            <w:pPr>
              <w:pStyle w:val="TableText"/>
            </w:pPr>
            <w:r w:rsidRPr="00275FD4">
              <w:t>Group, face-to-face</w:t>
            </w:r>
          </w:p>
        </w:tc>
        <w:tc>
          <w:tcPr>
            <w:tcW w:w="410" w:type="pct"/>
            <w:shd w:val="clear" w:color="auto" w:fill="auto"/>
          </w:tcPr>
          <w:p w:rsidR="00757F92" w:rsidRPr="00275FD4" w:rsidRDefault="00757F92" w:rsidP="00367AEE">
            <w:pPr>
              <w:pStyle w:val="TableText"/>
            </w:pPr>
            <w:r w:rsidRPr="00275FD4">
              <w:t>4</w:t>
            </w:r>
          </w:p>
        </w:tc>
        <w:tc>
          <w:tcPr>
            <w:tcW w:w="478" w:type="pct"/>
            <w:shd w:val="clear" w:color="auto" w:fill="auto"/>
          </w:tcPr>
          <w:p w:rsidR="00757F92" w:rsidRPr="00275FD4" w:rsidRDefault="00757F92" w:rsidP="00367AEE">
            <w:pPr>
              <w:pStyle w:val="TableText"/>
            </w:pPr>
            <w:r w:rsidRPr="00275FD4">
              <w:t>4 weeks</w:t>
            </w:r>
          </w:p>
        </w:tc>
        <w:tc>
          <w:tcPr>
            <w:tcW w:w="519" w:type="pct"/>
            <w:shd w:val="clear" w:color="auto" w:fill="auto"/>
          </w:tcPr>
          <w:p w:rsidR="00757F92" w:rsidRPr="00275FD4" w:rsidRDefault="00757F92" w:rsidP="00367AEE">
            <w:pPr>
              <w:pStyle w:val="TableText"/>
            </w:pPr>
            <w:r w:rsidRPr="00275FD4">
              <w:t>Trained health and peer educators</w:t>
            </w:r>
          </w:p>
        </w:tc>
      </w:tr>
      <w:tr w:rsidR="00757F92" w:rsidRPr="00275FD4" w:rsidTr="00367AEE">
        <w:trPr>
          <w:cantSplit/>
        </w:trPr>
        <w:tc>
          <w:tcPr>
            <w:tcW w:w="485" w:type="pct"/>
            <w:vMerge/>
            <w:shd w:val="clear" w:color="auto" w:fill="auto"/>
          </w:tcPr>
          <w:p w:rsidR="00757F92" w:rsidRPr="00275FD4" w:rsidRDefault="00757F92" w:rsidP="00367AEE">
            <w:pPr>
              <w:pStyle w:val="TableText"/>
            </w:pPr>
          </w:p>
        </w:tc>
        <w:tc>
          <w:tcPr>
            <w:tcW w:w="513" w:type="pct"/>
            <w:shd w:val="clear" w:color="auto" w:fill="auto"/>
          </w:tcPr>
          <w:p w:rsidR="00757F92" w:rsidRPr="00275FD4" w:rsidRDefault="00757F92" w:rsidP="00367AEE">
            <w:pPr>
              <w:pStyle w:val="TableText"/>
            </w:pPr>
            <w:r w:rsidRPr="00275FD4">
              <w:t>Attention control</w:t>
            </w:r>
          </w:p>
        </w:tc>
        <w:tc>
          <w:tcPr>
            <w:tcW w:w="2117" w:type="pct"/>
            <w:shd w:val="clear" w:color="auto" w:fill="auto"/>
          </w:tcPr>
          <w:p w:rsidR="00757F92" w:rsidRPr="00275FD4" w:rsidRDefault="00757F92" w:rsidP="00207749">
            <w:pPr>
              <w:pStyle w:val="TableText"/>
              <w:ind w:right="-108"/>
            </w:pPr>
            <w:r w:rsidRPr="00275FD4">
              <w:t>Four 4-hr interactive group sessions: two sessions emphasizing nutrition and two emphasizing exercise; administered on consecutive Saturdays</w:t>
            </w:r>
          </w:p>
        </w:tc>
        <w:tc>
          <w:tcPr>
            <w:tcW w:w="478" w:type="pct"/>
            <w:shd w:val="clear" w:color="auto" w:fill="auto"/>
          </w:tcPr>
          <w:p w:rsidR="00757F92" w:rsidRPr="00275FD4" w:rsidRDefault="00757F92" w:rsidP="00367AEE">
            <w:pPr>
              <w:pStyle w:val="TableText"/>
            </w:pPr>
            <w:r w:rsidRPr="00275FD4">
              <w:t>Group, face-to-face</w:t>
            </w:r>
          </w:p>
        </w:tc>
        <w:tc>
          <w:tcPr>
            <w:tcW w:w="410" w:type="pct"/>
            <w:shd w:val="clear" w:color="auto" w:fill="auto"/>
          </w:tcPr>
          <w:p w:rsidR="00757F92" w:rsidRPr="00275FD4" w:rsidRDefault="00757F92" w:rsidP="00367AEE">
            <w:pPr>
              <w:pStyle w:val="TableText"/>
            </w:pPr>
            <w:r w:rsidRPr="00275FD4">
              <w:t>4</w:t>
            </w:r>
          </w:p>
        </w:tc>
        <w:tc>
          <w:tcPr>
            <w:tcW w:w="478" w:type="pct"/>
            <w:shd w:val="clear" w:color="auto" w:fill="auto"/>
          </w:tcPr>
          <w:p w:rsidR="00757F92" w:rsidRPr="00275FD4" w:rsidRDefault="00757F92" w:rsidP="00367AEE">
            <w:pPr>
              <w:pStyle w:val="TableText"/>
            </w:pPr>
            <w:r w:rsidRPr="00275FD4">
              <w:t>4 weeks</w:t>
            </w:r>
          </w:p>
        </w:tc>
        <w:tc>
          <w:tcPr>
            <w:tcW w:w="519" w:type="pct"/>
            <w:shd w:val="clear" w:color="auto" w:fill="auto"/>
          </w:tcPr>
          <w:p w:rsidR="00757F92" w:rsidRPr="00275FD4" w:rsidRDefault="00757F92" w:rsidP="00367AEE">
            <w:pPr>
              <w:pStyle w:val="TableText"/>
            </w:pPr>
            <w:r w:rsidRPr="00275FD4">
              <w:t>NR</w:t>
            </w:r>
          </w:p>
        </w:tc>
      </w:tr>
      <w:tr w:rsidR="00757F92" w:rsidRPr="00275FD4" w:rsidTr="00367AEE">
        <w:trPr>
          <w:cantSplit/>
        </w:trPr>
        <w:tc>
          <w:tcPr>
            <w:tcW w:w="485" w:type="pct"/>
            <w:vMerge w:val="restart"/>
            <w:shd w:val="clear" w:color="auto" w:fill="auto"/>
          </w:tcPr>
          <w:p w:rsidR="00757F92" w:rsidRPr="00275FD4" w:rsidRDefault="00757F92" w:rsidP="00207749">
            <w:pPr>
              <w:pStyle w:val="TableText"/>
              <w:ind w:right="-109"/>
            </w:pPr>
            <w:proofErr w:type="spellStart"/>
            <w:r w:rsidRPr="00275FD4">
              <w:t>Guilamo</w:t>
            </w:r>
            <w:proofErr w:type="spellEnd"/>
            <w:r w:rsidRPr="00275FD4">
              <w:t>-Ramos, 2011</w:t>
            </w:r>
            <w:r w:rsidRPr="00887C01">
              <w:rPr>
                <w:noProof/>
                <w:vertAlign w:val="superscript"/>
              </w:rPr>
              <w:t>65</w:t>
            </w:r>
          </w:p>
        </w:tc>
        <w:tc>
          <w:tcPr>
            <w:tcW w:w="513" w:type="pct"/>
            <w:shd w:val="clear" w:color="auto" w:fill="auto"/>
          </w:tcPr>
          <w:p w:rsidR="00757F92" w:rsidRPr="00275FD4" w:rsidRDefault="00757F92" w:rsidP="00367AEE">
            <w:pPr>
              <w:pStyle w:val="TableText"/>
            </w:pPr>
            <w:r w:rsidRPr="00275FD4">
              <w:t>Parent-based</w:t>
            </w:r>
          </w:p>
        </w:tc>
        <w:tc>
          <w:tcPr>
            <w:tcW w:w="2117" w:type="pct"/>
            <w:shd w:val="clear" w:color="auto" w:fill="auto"/>
          </w:tcPr>
          <w:p w:rsidR="00207749" w:rsidRDefault="00757F92" w:rsidP="00207749">
            <w:pPr>
              <w:pStyle w:val="TableText"/>
              <w:ind w:right="-108"/>
            </w:pPr>
            <w:r w:rsidRPr="00275FD4">
              <w:t xml:space="preserve">After completing baseline questionnaire, mothers met with a social worker for 30 min and were provided with a packet containing reference materials and family activities to take home and use with child (homework assignments). Packet was a written manual that taught parents effective communication and parenting strategies for reducing adolescent sexual risk behavior. </w:t>
            </w:r>
            <w:r w:rsidR="00207749">
              <w:t>I</w:t>
            </w:r>
            <w:r w:rsidRPr="00275FD4">
              <w:t xml:space="preserve">ncluded nine modules addressing adolescent development and self-esteem, parental self-efficacy to communicate, general parenting strategies, ways to improve the parent-adolescent relationship and communication, adolescent assertiveness skills and techniques for dealing with peer pressure, adolescent sexual behavior, health consequences of sexual risk taking, and birth control and protection. Also included </w:t>
            </w:r>
          </w:p>
          <w:p w:rsidR="00207749" w:rsidRDefault="00757F92" w:rsidP="00207749">
            <w:pPr>
              <w:pStyle w:val="TableText"/>
              <w:ind w:right="-108"/>
            </w:pPr>
            <w:proofErr w:type="gramStart"/>
            <w:r w:rsidRPr="00275FD4">
              <w:t>two</w:t>
            </w:r>
            <w:proofErr w:type="gramEnd"/>
            <w:r w:rsidRPr="00275FD4">
              <w:t xml:space="preserve"> communication aids. After child completed physician exam, mother met with physician to discuss exam and physician provided </w:t>
            </w:r>
          </w:p>
          <w:p w:rsidR="00757F92" w:rsidRPr="00275FD4" w:rsidRDefault="00757F92" w:rsidP="00207749">
            <w:pPr>
              <w:pStyle w:val="TableText"/>
              <w:ind w:right="-108"/>
            </w:pPr>
            <w:proofErr w:type="gramStart"/>
            <w:r w:rsidRPr="00275FD4">
              <w:t>a</w:t>
            </w:r>
            <w:proofErr w:type="gramEnd"/>
            <w:r w:rsidRPr="00275FD4">
              <w:t xml:space="preserve"> brief endorsement of the Family Talking Together program. Mothers received two booster calls 1 and 5 months after intervention to determine whether </w:t>
            </w:r>
            <w:r w:rsidR="00207749">
              <w:t>they</w:t>
            </w:r>
            <w:r w:rsidRPr="00275FD4">
              <w:t xml:space="preserve"> had reviewed the intervention materials and implemented </w:t>
            </w:r>
            <w:r w:rsidR="00207749">
              <w:t>them</w:t>
            </w:r>
            <w:r w:rsidRPr="00275FD4">
              <w:t xml:space="preserve"> with their child. Social work interventionist answered any questions </w:t>
            </w:r>
            <w:r w:rsidR="00207749">
              <w:t xml:space="preserve">the </w:t>
            </w:r>
            <w:r w:rsidRPr="00275FD4">
              <w:t xml:space="preserve">mother had regarding the materials and encouraged </w:t>
            </w:r>
            <w:r w:rsidR="00207749">
              <w:t>the mother</w:t>
            </w:r>
            <w:r w:rsidRPr="00275FD4">
              <w:t xml:space="preserve"> to work with the materials.</w:t>
            </w:r>
          </w:p>
        </w:tc>
        <w:tc>
          <w:tcPr>
            <w:tcW w:w="478" w:type="pct"/>
            <w:shd w:val="clear" w:color="auto" w:fill="auto"/>
          </w:tcPr>
          <w:p w:rsidR="00757F92" w:rsidRPr="00275FD4" w:rsidRDefault="00757F92" w:rsidP="00367AEE">
            <w:pPr>
              <w:pStyle w:val="TableText"/>
            </w:pPr>
            <w:r w:rsidRPr="00275FD4">
              <w:t>Individual, face-to-face</w:t>
            </w:r>
          </w:p>
        </w:tc>
        <w:tc>
          <w:tcPr>
            <w:tcW w:w="410" w:type="pct"/>
            <w:shd w:val="clear" w:color="auto" w:fill="auto"/>
          </w:tcPr>
          <w:p w:rsidR="00757F92" w:rsidRPr="00275FD4" w:rsidRDefault="00757F92" w:rsidP="00367AEE">
            <w:pPr>
              <w:pStyle w:val="TableText"/>
            </w:pPr>
            <w:r w:rsidRPr="00275FD4">
              <w:t>3</w:t>
            </w:r>
          </w:p>
        </w:tc>
        <w:tc>
          <w:tcPr>
            <w:tcW w:w="478" w:type="pct"/>
            <w:shd w:val="clear" w:color="auto" w:fill="auto"/>
          </w:tcPr>
          <w:p w:rsidR="00757F92" w:rsidRPr="00275FD4" w:rsidRDefault="00757F92" w:rsidP="00367AEE">
            <w:pPr>
              <w:pStyle w:val="TableText"/>
            </w:pPr>
            <w:r w:rsidRPr="00275FD4">
              <w:t>5 months</w:t>
            </w:r>
          </w:p>
        </w:tc>
        <w:tc>
          <w:tcPr>
            <w:tcW w:w="519" w:type="pct"/>
            <w:shd w:val="clear" w:color="auto" w:fill="auto"/>
          </w:tcPr>
          <w:p w:rsidR="00757F92" w:rsidRPr="00275FD4" w:rsidRDefault="00757F92" w:rsidP="00367AEE">
            <w:pPr>
              <w:pStyle w:val="TableText"/>
            </w:pPr>
            <w:r w:rsidRPr="00275FD4">
              <w:t>Social worker, physician</w:t>
            </w:r>
          </w:p>
        </w:tc>
      </w:tr>
      <w:tr w:rsidR="00757F92" w:rsidRPr="00275FD4" w:rsidTr="00367AEE">
        <w:trPr>
          <w:cantSplit/>
        </w:trPr>
        <w:tc>
          <w:tcPr>
            <w:tcW w:w="485" w:type="pct"/>
            <w:vMerge/>
            <w:shd w:val="clear" w:color="auto" w:fill="auto"/>
          </w:tcPr>
          <w:p w:rsidR="00757F92" w:rsidRPr="00275FD4" w:rsidRDefault="00757F92" w:rsidP="00367AEE">
            <w:pPr>
              <w:pStyle w:val="TableText"/>
            </w:pPr>
          </w:p>
        </w:tc>
        <w:tc>
          <w:tcPr>
            <w:tcW w:w="513" w:type="pct"/>
            <w:shd w:val="clear" w:color="auto" w:fill="auto"/>
          </w:tcPr>
          <w:p w:rsidR="00757F92" w:rsidRPr="00275FD4" w:rsidRDefault="00757F92" w:rsidP="00367AEE">
            <w:pPr>
              <w:pStyle w:val="TableText"/>
            </w:pPr>
            <w:r w:rsidRPr="00275FD4">
              <w:t>Usual care</w:t>
            </w:r>
          </w:p>
        </w:tc>
        <w:tc>
          <w:tcPr>
            <w:tcW w:w="2117" w:type="pct"/>
            <w:shd w:val="clear" w:color="auto" w:fill="auto"/>
          </w:tcPr>
          <w:p w:rsidR="00757F92" w:rsidRPr="00275FD4" w:rsidRDefault="00757F92" w:rsidP="00367AEE">
            <w:pPr>
              <w:pStyle w:val="TableText"/>
            </w:pPr>
            <w:r w:rsidRPr="00275FD4">
              <w:t>After completing baseline questionnaire, mother returned to waiting room</w:t>
            </w:r>
          </w:p>
        </w:tc>
        <w:tc>
          <w:tcPr>
            <w:tcW w:w="478" w:type="pct"/>
            <w:shd w:val="clear" w:color="auto" w:fill="auto"/>
          </w:tcPr>
          <w:p w:rsidR="00757F92" w:rsidRPr="00275FD4" w:rsidRDefault="00757F92" w:rsidP="00367AEE">
            <w:pPr>
              <w:pStyle w:val="TableText"/>
            </w:pPr>
            <w:r w:rsidRPr="00275FD4">
              <w:t>NA</w:t>
            </w:r>
          </w:p>
        </w:tc>
        <w:tc>
          <w:tcPr>
            <w:tcW w:w="410" w:type="pct"/>
            <w:shd w:val="clear" w:color="auto" w:fill="auto"/>
          </w:tcPr>
          <w:p w:rsidR="00757F92" w:rsidRPr="00275FD4" w:rsidRDefault="00757F92" w:rsidP="00367AEE">
            <w:pPr>
              <w:pStyle w:val="TableText"/>
            </w:pPr>
            <w:r w:rsidRPr="00275FD4">
              <w:t>NA</w:t>
            </w:r>
          </w:p>
        </w:tc>
        <w:tc>
          <w:tcPr>
            <w:tcW w:w="478" w:type="pct"/>
            <w:shd w:val="clear" w:color="auto" w:fill="auto"/>
          </w:tcPr>
          <w:p w:rsidR="00757F92" w:rsidRPr="00275FD4" w:rsidRDefault="00757F92" w:rsidP="00367AEE">
            <w:pPr>
              <w:pStyle w:val="TableText"/>
            </w:pPr>
            <w:r w:rsidRPr="00275FD4">
              <w:t>NA</w:t>
            </w:r>
          </w:p>
        </w:tc>
        <w:tc>
          <w:tcPr>
            <w:tcW w:w="519" w:type="pct"/>
            <w:shd w:val="clear" w:color="auto" w:fill="auto"/>
          </w:tcPr>
          <w:p w:rsidR="00757F92" w:rsidRPr="00275FD4" w:rsidRDefault="00757F92" w:rsidP="00367AEE">
            <w:pPr>
              <w:pStyle w:val="TableText"/>
            </w:pPr>
            <w:r w:rsidRPr="00275FD4">
              <w:t>NA</w:t>
            </w:r>
          </w:p>
        </w:tc>
      </w:tr>
      <w:tr w:rsidR="00757F92" w:rsidRPr="00275FD4" w:rsidTr="00207749">
        <w:trPr>
          <w:cantSplit/>
          <w:trHeight w:val="1970"/>
        </w:trPr>
        <w:tc>
          <w:tcPr>
            <w:tcW w:w="485" w:type="pct"/>
            <w:vMerge w:val="restart"/>
            <w:shd w:val="clear" w:color="auto" w:fill="auto"/>
          </w:tcPr>
          <w:p w:rsidR="00757F92" w:rsidRPr="00275FD4" w:rsidRDefault="00757F92" w:rsidP="00367AEE">
            <w:pPr>
              <w:pStyle w:val="TableText"/>
            </w:pPr>
            <w:proofErr w:type="spellStart"/>
            <w:r w:rsidRPr="00275FD4">
              <w:lastRenderedPageBreak/>
              <w:t>Jemmott</w:t>
            </w:r>
            <w:proofErr w:type="spellEnd"/>
            <w:r w:rsidRPr="00275FD4">
              <w:t>, 2005</w:t>
            </w:r>
            <w:r w:rsidRPr="00887C01">
              <w:rPr>
                <w:noProof/>
                <w:vertAlign w:val="superscript"/>
              </w:rPr>
              <w:t>67</w:t>
            </w:r>
          </w:p>
        </w:tc>
        <w:tc>
          <w:tcPr>
            <w:tcW w:w="513" w:type="pct"/>
            <w:shd w:val="clear" w:color="auto" w:fill="auto"/>
          </w:tcPr>
          <w:p w:rsidR="00757F92" w:rsidRPr="00275FD4" w:rsidRDefault="00757F92" w:rsidP="00207749">
            <w:pPr>
              <w:pStyle w:val="TableText"/>
              <w:ind w:right="-107"/>
            </w:pPr>
            <w:r w:rsidRPr="00275FD4">
              <w:t>Information-based HIV/STI risk</w:t>
            </w:r>
            <w:r w:rsidR="00207749">
              <w:t xml:space="preserve"> </w:t>
            </w:r>
            <w:r w:rsidRPr="00275FD4">
              <w:t>reduction (IG1)</w:t>
            </w:r>
          </w:p>
        </w:tc>
        <w:tc>
          <w:tcPr>
            <w:tcW w:w="2117" w:type="pct"/>
            <w:shd w:val="clear" w:color="auto" w:fill="auto"/>
          </w:tcPr>
          <w:p w:rsidR="00757F92" w:rsidRPr="00275FD4" w:rsidRDefault="00757F92" w:rsidP="00207749">
            <w:pPr>
              <w:pStyle w:val="TableText"/>
            </w:pPr>
            <w:r w:rsidRPr="00275FD4">
              <w:t>Based on cognitive behavioral theor</w:t>
            </w:r>
            <w:r w:rsidR="00207749">
              <w:t>y</w:t>
            </w:r>
            <w:r w:rsidRPr="00275FD4">
              <w:t xml:space="preserve"> and previous research with individuals from the study population. Designed to be culturally and developmentally appropriate for inner-city African American and Latino adolescent girls. </w:t>
            </w:r>
            <w:r w:rsidR="00207749">
              <w:t>I</w:t>
            </w:r>
            <w:r w:rsidRPr="00275FD4">
              <w:t xml:space="preserve">nformation in this intervention group addressed the elevated risk of HIV and </w:t>
            </w:r>
            <w:r>
              <w:t>STI</w:t>
            </w:r>
            <w:r w:rsidRPr="00275FD4">
              <w:t xml:space="preserve"> among inner-city African American and Latino young women, personal vulnerability to HIV and </w:t>
            </w:r>
            <w:r>
              <w:t>STI</w:t>
            </w:r>
            <w:r w:rsidRPr="00275FD4">
              <w:t>, HIV transmission, messages about sex, responsibility for risk reduction in relationships, importance of using condoms, and belief that condoms interfere with sexual enjoyment. HIV educational videotape showed correct condom use.</w:t>
            </w:r>
            <w:r>
              <w:t xml:space="preserve"> Session lasted 250 min.</w:t>
            </w:r>
          </w:p>
        </w:tc>
        <w:tc>
          <w:tcPr>
            <w:tcW w:w="478" w:type="pct"/>
            <w:shd w:val="clear" w:color="auto" w:fill="auto"/>
          </w:tcPr>
          <w:p w:rsidR="00757F92" w:rsidRPr="00275FD4" w:rsidRDefault="00757F92" w:rsidP="00367AEE">
            <w:pPr>
              <w:pStyle w:val="TableText"/>
            </w:pPr>
            <w:r w:rsidRPr="00275FD4">
              <w:t>Group, face-to-face</w:t>
            </w:r>
          </w:p>
        </w:tc>
        <w:tc>
          <w:tcPr>
            <w:tcW w:w="410" w:type="pct"/>
            <w:shd w:val="clear" w:color="auto" w:fill="auto"/>
          </w:tcPr>
          <w:p w:rsidR="00757F92" w:rsidRPr="00275FD4" w:rsidRDefault="00757F92" w:rsidP="00367AEE">
            <w:pPr>
              <w:pStyle w:val="TableText"/>
            </w:pPr>
            <w:r w:rsidRPr="00275FD4">
              <w:t>1</w:t>
            </w:r>
          </w:p>
        </w:tc>
        <w:tc>
          <w:tcPr>
            <w:tcW w:w="478" w:type="pct"/>
            <w:shd w:val="clear" w:color="auto" w:fill="auto"/>
          </w:tcPr>
          <w:p w:rsidR="00757F92" w:rsidRPr="00275FD4" w:rsidRDefault="00757F92" w:rsidP="00367AEE">
            <w:pPr>
              <w:pStyle w:val="TableText"/>
            </w:pPr>
            <w:r w:rsidRPr="00275FD4">
              <w:t>Once</w:t>
            </w:r>
          </w:p>
        </w:tc>
        <w:tc>
          <w:tcPr>
            <w:tcW w:w="519" w:type="pct"/>
            <w:shd w:val="clear" w:color="auto" w:fill="auto"/>
          </w:tcPr>
          <w:p w:rsidR="00757F92" w:rsidRPr="00275FD4" w:rsidRDefault="00757F92" w:rsidP="00367AEE">
            <w:pPr>
              <w:pStyle w:val="TableText"/>
            </w:pPr>
            <w:r w:rsidRPr="00275FD4">
              <w:t>Bachelors-level facilitator</w:t>
            </w:r>
          </w:p>
        </w:tc>
      </w:tr>
      <w:tr w:rsidR="00757F92" w:rsidRPr="00275FD4" w:rsidTr="00367AEE">
        <w:trPr>
          <w:cantSplit/>
        </w:trPr>
        <w:tc>
          <w:tcPr>
            <w:tcW w:w="485" w:type="pct"/>
            <w:vMerge/>
            <w:shd w:val="clear" w:color="auto" w:fill="auto"/>
          </w:tcPr>
          <w:p w:rsidR="00757F92" w:rsidRPr="00275FD4" w:rsidRDefault="00757F92" w:rsidP="00367AEE">
            <w:pPr>
              <w:pStyle w:val="TableText"/>
            </w:pPr>
          </w:p>
        </w:tc>
        <w:tc>
          <w:tcPr>
            <w:tcW w:w="513" w:type="pct"/>
            <w:shd w:val="clear" w:color="auto" w:fill="auto"/>
          </w:tcPr>
          <w:p w:rsidR="00757F92" w:rsidRPr="00275FD4" w:rsidRDefault="00757F92" w:rsidP="00207749">
            <w:pPr>
              <w:pStyle w:val="TableText"/>
              <w:ind w:right="-107"/>
            </w:pPr>
            <w:r w:rsidRPr="00275FD4">
              <w:t>Skill-based HIV/STI risk</w:t>
            </w:r>
            <w:r w:rsidR="00207749">
              <w:t xml:space="preserve"> </w:t>
            </w:r>
            <w:r w:rsidRPr="00275FD4">
              <w:t>reduction (IG2)</w:t>
            </w:r>
          </w:p>
        </w:tc>
        <w:tc>
          <w:tcPr>
            <w:tcW w:w="2117" w:type="pct"/>
            <w:shd w:val="clear" w:color="auto" w:fill="auto"/>
          </w:tcPr>
          <w:p w:rsidR="00757F92" w:rsidRPr="00275FD4" w:rsidRDefault="00757F92" w:rsidP="004F68F8">
            <w:pPr>
              <w:pStyle w:val="TableText"/>
            </w:pPr>
            <w:r w:rsidRPr="00275FD4">
              <w:t>Based on cognitive behavioral theor</w:t>
            </w:r>
            <w:r w:rsidR="00207749">
              <w:t>y</w:t>
            </w:r>
            <w:r w:rsidRPr="00275FD4">
              <w:t xml:space="preserve"> and previous research with individuals from the study population. Designed to be culturally and developmentally appropriate for inner-city African American and Latino adolescent girls. This intervention addressed beliefs relevant to HIV/</w:t>
            </w:r>
            <w:r>
              <w:t>STI</w:t>
            </w:r>
            <w:r w:rsidRPr="00275FD4">
              <w:t xml:space="preserve"> risk reduction, illustrated correct condom use, and depicted effective condom</w:t>
            </w:r>
            <w:r w:rsidR="00207749">
              <w:t xml:space="preserve"> </w:t>
            </w:r>
            <w:r w:rsidRPr="00275FD4">
              <w:t>use negotiation. Participants practiced skills by handling condoms, practicing correct use of condoms with anatomical models, and role</w:t>
            </w:r>
            <w:r w:rsidR="00207749">
              <w:t xml:space="preserve"> </w:t>
            </w:r>
            <w:r w:rsidRPr="00275FD4">
              <w:t>playing to increase skill in negotiating the use of condoms. Other issues addressed were the same is in IG1.</w:t>
            </w:r>
            <w:r>
              <w:t xml:space="preserve"> Session lasted 250 min.</w:t>
            </w:r>
          </w:p>
        </w:tc>
        <w:tc>
          <w:tcPr>
            <w:tcW w:w="478" w:type="pct"/>
            <w:shd w:val="clear" w:color="auto" w:fill="auto"/>
          </w:tcPr>
          <w:p w:rsidR="00757F92" w:rsidRPr="00275FD4" w:rsidRDefault="00757F92" w:rsidP="00367AEE">
            <w:pPr>
              <w:pStyle w:val="TableText"/>
            </w:pPr>
            <w:r w:rsidRPr="00275FD4">
              <w:t>Group, face-to-face</w:t>
            </w:r>
          </w:p>
        </w:tc>
        <w:tc>
          <w:tcPr>
            <w:tcW w:w="410" w:type="pct"/>
            <w:shd w:val="clear" w:color="auto" w:fill="auto"/>
          </w:tcPr>
          <w:p w:rsidR="00757F92" w:rsidRPr="00275FD4" w:rsidRDefault="00757F92" w:rsidP="00367AEE">
            <w:pPr>
              <w:pStyle w:val="TableText"/>
            </w:pPr>
            <w:r w:rsidRPr="00275FD4">
              <w:t>1</w:t>
            </w:r>
          </w:p>
        </w:tc>
        <w:tc>
          <w:tcPr>
            <w:tcW w:w="478" w:type="pct"/>
            <w:shd w:val="clear" w:color="auto" w:fill="auto"/>
          </w:tcPr>
          <w:p w:rsidR="00757F92" w:rsidRPr="00275FD4" w:rsidRDefault="00757F92" w:rsidP="00367AEE">
            <w:pPr>
              <w:pStyle w:val="TableText"/>
            </w:pPr>
            <w:r w:rsidRPr="00275FD4">
              <w:t>Once</w:t>
            </w:r>
          </w:p>
        </w:tc>
        <w:tc>
          <w:tcPr>
            <w:tcW w:w="519" w:type="pct"/>
            <w:shd w:val="clear" w:color="auto" w:fill="auto"/>
          </w:tcPr>
          <w:p w:rsidR="00757F92" w:rsidRPr="00275FD4" w:rsidRDefault="00757F92" w:rsidP="00367AEE">
            <w:pPr>
              <w:pStyle w:val="TableText"/>
            </w:pPr>
            <w:r w:rsidRPr="00275FD4">
              <w:t>Bachelors-level facilitator</w:t>
            </w:r>
          </w:p>
        </w:tc>
      </w:tr>
      <w:tr w:rsidR="00757F92" w:rsidRPr="00275FD4" w:rsidTr="00367AEE">
        <w:trPr>
          <w:cantSplit/>
        </w:trPr>
        <w:tc>
          <w:tcPr>
            <w:tcW w:w="485" w:type="pct"/>
            <w:vMerge/>
            <w:shd w:val="clear" w:color="auto" w:fill="auto"/>
          </w:tcPr>
          <w:p w:rsidR="00757F92" w:rsidRPr="00275FD4" w:rsidRDefault="00757F92" w:rsidP="00367AEE">
            <w:pPr>
              <w:pStyle w:val="TableText"/>
            </w:pPr>
          </w:p>
        </w:tc>
        <w:tc>
          <w:tcPr>
            <w:tcW w:w="513" w:type="pct"/>
            <w:shd w:val="clear" w:color="auto" w:fill="auto"/>
          </w:tcPr>
          <w:p w:rsidR="00757F92" w:rsidRPr="00275FD4" w:rsidRDefault="00757F92" w:rsidP="00207749">
            <w:pPr>
              <w:pStyle w:val="TableText"/>
              <w:ind w:right="-107"/>
            </w:pPr>
            <w:r w:rsidRPr="00275FD4">
              <w:t>Attention control</w:t>
            </w:r>
          </w:p>
        </w:tc>
        <w:tc>
          <w:tcPr>
            <w:tcW w:w="2117" w:type="pct"/>
            <w:shd w:val="clear" w:color="auto" w:fill="auto"/>
          </w:tcPr>
          <w:p w:rsidR="00757F92" w:rsidRPr="00275FD4" w:rsidRDefault="00757F92" w:rsidP="004F68F8">
            <w:pPr>
              <w:pStyle w:val="TableText"/>
            </w:pPr>
            <w:r w:rsidRPr="00275FD4">
              <w:t>Covered beliefs and skills relevant to behaviors associated with the risk of heart disease, cancer, and stroke. Focus on food selection and preparation, physical activity, breast self-examination, cigarette smoking, and alcohol use.</w:t>
            </w:r>
            <w:r>
              <w:t xml:space="preserve"> Session lasted 250 min.</w:t>
            </w:r>
          </w:p>
        </w:tc>
        <w:tc>
          <w:tcPr>
            <w:tcW w:w="478" w:type="pct"/>
            <w:shd w:val="clear" w:color="auto" w:fill="auto"/>
          </w:tcPr>
          <w:p w:rsidR="00757F92" w:rsidRPr="00275FD4" w:rsidRDefault="00757F92" w:rsidP="00367AEE">
            <w:pPr>
              <w:pStyle w:val="TableText"/>
            </w:pPr>
            <w:r w:rsidRPr="00275FD4">
              <w:t>Group, face-to-face</w:t>
            </w:r>
          </w:p>
        </w:tc>
        <w:tc>
          <w:tcPr>
            <w:tcW w:w="410" w:type="pct"/>
            <w:shd w:val="clear" w:color="auto" w:fill="auto"/>
          </w:tcPr>
          <w:p w:rsidR="00757F92" w:rsidRPr="00275FD4" w:rsidRDefault="00757F92" w:rsidP="00367AEE">
            <w:pPr>
              <w:pStyle w:val="TableText"/>
            </w:pPr>
            <w:r w:rsidRPr="00275FD4">
              <w:t>1</w:t>
            </w:r>
          </w:p>
        </w:tc>
        <w:tc>
          <w:tcPr>
            <w:tcW w:w="478" w:type="pct"/>
            <w:shd w:val="clear" w:color="auto" w:fill="auto"/>
          </w:tcPr>
          <w:p w:rsidR="00757F92" w:rsidRPr="00275FD4" w:rsidRDefault="00757F92" w:rsidP="00367AEE">
            <w:pPr>
              <w:pStyle w:val="TableText"/>
            </w:pPr>
            <w:r w:rsidRPr="00275FD4">
              <w:t>Once</w:t>
            </w:r>
          </w:p>
        </w:tc>
        <w:tc>
          <w:tcPr>
            <w:tcW w:w="519" w:type="pct"/>
            <w:shd w:val="clear" w:color="auto" w:fill="auto"/>
          </w:tcPr>
          <w:p w:rsidR="00757F92" w:rsidRPr="00275FD4" w:rsidRDefault="00757F92" w:rsidP="00367AEE">
            <w:pPr>
              <w:pStyle w:val="TableText"/>
            </w:pPr>
            <w:r w:rsidRPr="00275FD4">
              <w:t>Bachelors-level facilitator</w:t>
            </w:r>
          </w:p>
        </w:tc>
      </w:tr>
    </w:tbl>
    <w:p w:rsidR="00757F92" w:rsidRPr="00DA46FC" w:rsidRDefault="00757F92" w:rsidP="00757F92">
      <w:pPr>
        <w:pStyle w:val="TableNote"/>
        <w:spacing w:after="0"/>
        <w:rPr>
          <w:rFonts w:ascii="Arial" w:hAnsi="Arial" w:cs="Arial"/>
          <w:sz w:val="16"/>
          <w:szCs w:val="16"/>
        </w:rPr>
      </w:pPr>
      <w:r w:rsidRPr="00DA46FC">
        <w:rPr>
          <w:rFonts w:ascii="Arial" w:hAnsi="Arial" w:cs="Arial"/>
          <w:b/>
          <w:sz w:val="16"/>
          <w:szCs w:val="16"/>
        </w:rPr>
        <w:t>Abbreviations:</w:t>
      </w:r>
      <w:r w:rsidRPr="00DA46FC">
        <w:rPr>
          <w:rFonts w:ascii="Arial" w:hAnsi="Arial" w:cs="Arial"/>
          <w:sz w:val="16"/>
          <w:szCs w:val="16"/>
        </w:rPr>
        <w:t xml:space="preserve"> CG = control group; IG = intervention group; NA = not applicable; NR = not reported; Q&amp;A = question and answer; STI = sexually transmitted infection.</w:t>
      </w:r>
    </w:p>
    <w:sectPr w:rsidR="00757F92" w:rsidRPr="00DA46FC" w:rsidSect="00B165CA">
      <w:headerReference w:type="default" r:id="rId8"/>
      <w:footerReference w:type="default" r:id="rId9"/>
      <w:pgSz w:w="15840" w:h="12240" w:orient="landscape" w:code="1"/>
      <w:pgMar w:top="1260" w:right="1440" w:bottom="990" w:left="1440" w:header="720" w:footer="720" w:gutter="0"/>
      <w:pgNumType w:start="10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4C" w:rsidRDefault="00F4094C" w:rsidP="007C6471">
      <w:r>
        <w:separator/>
      </w:r>
    </w:p>
  </w:endnote>
  <w:endnote w:type="continuationSeparator" w:id="0">
    <w:p w:rsidR="00F4094C" w:rsidRDefault="00F4094C" w:rsidP="007C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CA" w:rsidRPr="00541783" w:rsidRDefault="00B165CA" w:rsidP="00367AEE">
    <w:pPr>
      <w:pStyle w:val="Footer"/>
      <w:tabs>
        <w:tab w:val="clear" w:pos="4680"/>
        <w:tab w:val="clear" w:pos="9360"/>
        <w:tab w:val="center" w:pos="6480"/>
        <w:tab w:val="right" w:pos="12960"/>
      </w:tabs>
    </w:pPr>
    <w:r>
      <w:rPr>
        <w:rFonts w:ascii="Arial" w:hAnsi="Arial" w:cs="Arial"/>
        <w:sz w:val="16"/>
        <w:szCs w:val="16"/>
      </w:rPr>
      <w:t>Behavioral Counseling to Prevent STIs</w:t>
    </w:r>
    <w:r>
      <w:rPr>
        <w:rFonts w:ascii="Arial" w:hAnsi="Arial" w:cs="Arial"/>
        <w:sz w:val="16"/>
        <w:szCs w:val="16"/>
      </w:rPr>
      <w:tab/>
    </w:r>
    <w:r w:rsidRPr="00D26B2D">
      <w:rPr>
        <w:rFonts w:ascii="Arial" w:hAnsi="Arial" w:cs="Arial"/>
        <w:sz w:val="16"/>
        <w:szCs w:val="16"/>
      </w:rPr>
      <w:fldChar w:fldCharType="begin"/>
    </w:r>
    <w:r w:rsidRPr="00D26B2D">
      <w:rPr>
        <w:rFonts w:ascii="Arial" w:hAnsi="Arial" w:cs="Arial"/>
        <w:sz w:val="16"/>
        <w:szCs w:val="16"/>
      </w:rPr>
      <w:instrText xml:space="preserve"> PAGE   \* MERGEFORMAT </w:instrText>
    </w:r>
    <w:r w:rsidRPr="00D26B2D">
      <w:rPr>
        <w:rFonts w:ascii="Arial" w:hAnsi="Arial" w:cs="Arial"/>
        <w:sz w:val="16"/>
        <w:szCs w:val="16"/>
      </w:rPr>
      <w:fldChar w:fldCharType="separate"/>
    </w:r>
    <w:r>
      <w:rPr>
        <w:rFonts w:ascii="Arial" w:hAnsi="Arial" w:cs="Arial"/>
        <w:noProof/>
        <w:sz w:val="16"/>
        <w:szCs w:val="16"/>
      </w:rPr>
      <w:t>101</w:t>
    </w:r>
    <w:r w:rsidRPr="00D26B2D">
      <w:rPr>
        <w:rFonts w:ascii="Arial" w:hAnsi="Arial" w:cs="Arial"/>
        <w:noProof/>
        <w:sz w:val="16"/>
        <w:szCs w:val="16"/>
      </w:rPr>
      <w:fldChar w:fldCharType="end"/>
    </w:r>
    <w:r>
      <w:rPr>
        <w:rFonts w:ascii="Arial" w:hAnsi="Arial" w:cs="Arial"/>
        <w:noProof/>
        <w:sz w:val="16"/>
        <w:szCs w:val="16"/>
      </w:rPr>
      <w:tab/>
    </w:r>
    <w:r w:rsidRPr="00D26B2D">
      <w:rPr>
        <w:rFonts w:ascii="Arial" w:hAnsi="Arial" w:cs="Arial"/>
        <w:noProof/>
        <w:sz w:val="16"/>
        <w:szCs w:val="16"/>
      </w:rPr>
      <w:t>Kaiser Permanente Research Affiliates</w:t>
    </w:r>
    <w:r>
      <w:rPr>
        <w:rFonts w:ascii="Arial" w:hAnsi="Arial" w:cs="Arial"/>
        <w:noProof/>
        <w:sz w:val="16"/>
        <w:szCs w:val="16"/>
      </w:rPr>
      <w:t xml:space="preserve">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4C" w:rsidRDefault="00F4094C" w:rsidP="007C6471">
      <w:r>
        <w:separator/>
      </w:r>
    </w:p>
  </w:footnote>
  <w:footnote w:type="continuationSeparator" w:id="0">
    <w:p w:rsidR="00F4094C" w:rsidRDefault="00F4094C" w:rsidP="007C6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D1" w:rsidRPr="00EF5181" w:rsidRDefault="00B165CA" w:rsidP="00367AEE">
    <w:pPr>
      <w:pStyle w:val="Header"/>
    </w:pPr>
    <w:r w:rsidRPr="00EF5181">
      <w:rPr>
        <w:rFonts w:ascii="Arial" w:hAnsi="Arial" w:cs="Arial"/>
        <w:b/>
        <w:sz w:val="20"/>
        <w:szCs w:val="20"/>
      </w:rPr>
      <w:t xml:space="preserve">Appendix </w:t>
    </w:r>
    <w:r>
      <w:rPr>
        <w:rFonts w:ascii="Arial" w:hAnsi="Arial" w:cs="Arial"/>
        <w:b/>
        <w:sz w:val="20"/>
        <w:szCs w:val="20"/>
      </w:rPr>
      <w:t>C</w:t>
    </w:r>
    <w:r w:rsidRPr="00EF5181">
      <w:t xml:space="preserve"> </w:t>
    </w:r>
    <w:r w:rsidRPr="00EF5181">
      <w:rPr>
        <w:rFonts w:ascii="Arial" w:hAnsi="Arial" w:cs="Arial"/>
        <w:b/>
        <w:sz w:val="20"/>
        <w:szCs w:val="20"/>
      </w:rPr>
      <w:t xml:space="preserve">Table 1. Intervention </w:t>
    </w:r>
    <w:r>
      <w:rPr>
        <w:rFonts w:ascii="Arial" w:hAnsi="Arial" w:cs="Arial"/>
        <w:b/>
        <w:sz w:val="20"/>
        <w:szCs w:val="20"/>
      </w:rPr>
      <w:t>C</w:t>
    </w:r>
    <w:r w:rsidRPr="00EF5181">
      <w:rPr>
        <w:rFonts w:ascii="Arial" w:hAnsi="Arial" w:cs="Arial"/>
        <w:b/>
        <w:sz w:val="20"/>
        <w:szCs w:val="20"/>
      </w:rPr>
      <w:t>haracteristics of Included Studies Targeting Adolescents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6F4"/>
    <w:multiLevelType w:val="hybridMultilevel"/>
    <w:tmpl w:val="B694F0E0"/>
    <w:lvl w:ilvl="0" w:tplc="5748C4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26CE"/>
    <w:multiLevelType w:val="hybridMultilevel"/>
    <w:tmpl w:val="0BC28382"/>
    <w:lvl w:ilvl="0" w:tplc="174C0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D6291"/>
    <w:multiLevelType w:val="hybridMultilevel"/>
    <w:tmpl w:val="2416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04CEA"/>
    <w:multiLevelType w:val="hybridMultilevel"/>
    <w:tmpl w:val="29C00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5084A"/>
    <w:multiLevelType w:val="hybridMultilevel"/>
    <w:tmpl w:val="557C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E236E"/>
    <w:multiLevelType w:val="hybridMultilevel"/>
    <w:tmpl w:val="F0908CE4"/>
    <w:lvl w:ilvl="0" w:tplc="04090001">
      <w:start w:val="1"/>
      <w:numFmt w:val="bullet"/>
      <w:lvlText w:val=""/>
      <w:lvlJc w:val="left"/>
      <w:pPr>
        <w:tabs>
          <w:tab w:val="num" w:pos="720"/>
        </w:tabs>
        <w:ind w:left="720" w:hanging="360"/>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C17411"/>
    <w:multiLevelType w:val="hybridMultilevel"/>
    <w:tmpl w:val="1FAA3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C0794F"/>
    <w:multiLevelType w:val="hybridMultilevel"/>
    <w:tmpl w:val="385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14DE2"/>
    <w:multiLevelType w:val="hybridMultilevel"/>
    <w:tmpl w:val="4D3E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D7334"/>
    <w:multiLevelType w:val="hybridMultilevel"/>
    <w:tmpl w:val="27F89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74973"/>
    <w:multiLevelType w:val="hybridMultilevel"/>
    <w:tmpl w:val="0D96A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7F0B71"/>
    <w:multiLevelType w:val="hybridMultilevel"/>
    <w:tmpl w:val="210A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50DCE"/>
    <w:multiLevelType w:val="hybridMultilevel"/>
    <w:tmpl w:val="D660D312"/>
    <w:lvl w:ilvl="0" w:tplc="FB94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41E3C"/>
    <w:multiLevelType w:val="hybridMultilevel"/>
    <w:tmpl w:val="5B9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01ACE"/>
    <w:multiLevelType w:val="hybridMultilevel"/>
    <w:tmpl w:val="FF7E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04360"/>
    <w:multiLevelType w:val="hybridMultilevel"/>
    <w:tmpl w:val="EE4EB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3319B1"/>
    <w:multiLevelType w:val="hybridMultilevel"/>
    <w:tmpl w:val="7D7446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CB5F43"/>
    <w:multiLevelType w:val="hybridMultilevel"/>
    <w:tmpl w:val="BA1C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11571F"/>
    <w:multiLevelType w:val="hybridMultilevel"/>
    <w:tmpl w:val="365254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932CB3"/>
    <w:multiLevelType w:val="hybridMultilevel"/>
    <w:tmpl w:val="44C82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F05CC"/>
    <w:multiLevelType w:val="hybridMultilevel"/>
    <w:tmpl w:val="2710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96D22"/>
    <w:multiLevelType w:val="hybridMultilevel"/>
    <w:tmpl w:val="EAE0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613EEA"/>
    <w:multiLevelType w:val="hybridMultilevel"/>
    <w:tmpl w:val="27F89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E0ECE"/>
    <w:multiLevelType w:val="hybridMultilevel"/>
    <w:tmpl w:val="29C00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630354"/>
    <w:multiLevelType w:val="hybridMultilevel"/>
    <w:tmpl w:val="173CE0FA"/>
    <w:lvl w:ilvl="0" w:tplc="651C7E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8235F4"/>
    <w:multiLevelType w:val="hybridMultilevel"/>
    <w:tmpl w:val="0DC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6A0835"/>
    <w:multiLevelType w:val="hybridMultilevel"/>
    <w:tmpl w:val="331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854CF1"/>
    <w:multiLevelType w:val="hybridMultilevel"/>
    <w:tmpl w:val="3A44C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E21FD"/>
    <w:multiLevelType w:val="hybridMultilevel"/>
    <w:tmpl w:val="27F89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4518D7"/>
    <w:multiLevelType w:val="hybridMultilevel"/>
    <w:tmpl w:val="5694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85EB5"/>
    <w:multiLevelType w:val="hybridMultilevel"/>
    <w:tmpl w:val="27F89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653601"/>
    <w:multiLevelType w:val="hybridMultilevel"/>
    <w:tmpl w:val="1B8E8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21A6C"/>
    <w:multiLevelType w:val="hybridMultilevel"/>
    <w:tmpl w:val="A5B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2F500A"/>
    <w:multiLevelType w:val="hybridMultilevel"/>
    <w:tmpl w:val="974E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40312C"/>
    <w:multiLevelType w:val="hybridMultilevel"/>
    <w:tmpl w:val="3CB66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
  </w:num>
  <w:num w:numId="3">
    <w:abstractNumId w:val="30"/>
  </w:num>
  <w:num w:numId="4">
    <w:abstractNumId w:val="11"/>
  </w:num>
  <w:num w:numId="5">
    <w:abstractNumId w:val="26"/>
  </w:num>
  <w:num w:numId="6">
    <w:abstractNumId w:val="32"/>
  </w:num>
  <w:num w:numId="7">
    <w:abstractNumId w:val="34"/>
  </w:num>
  <w:num w:numId="8">
    <w:abstractNumId w:val="10"/>
  </w:num>
  <w:num w:numId="9">
    <w:abstractNumId w:val="24"/>
  </w:num>
  <w:num w:numId="10">
    <w:abstractNumId w:val="29"/>
  </w:num>
  <w:num w:numId="11">
    <w:abstractNumId w:val="15"/>
  </w:num>
  <w:num w:numId="12">
    <w:abstractNumId w:val="33"/>
  </w:num>
  <w:num w:numId="13">
    <w:abstractNumId w:val="9"/>
  </w:num>
  <w:num w:numId="14">
    <w:abstractNumId w:val="18"/>
  </w:num>
  <w:num w:numId="15">
    <w:abstractNumId w:val="35"/>
  </w:num>
  <w:num w:numId="16">
    <w:abstractNumId w:val="37"/>
  </w:num>
  <w:num w:numId="17">
    <w:abstractNumId w:val="20"/>
  </w:num>
  <w:num w:numId="18">
    <w:abstractNumId w:val="2"/>
  </w:num>
  <w:num w:numId="19">
    <w:abstractNumId w:val="13"/>
  </w:num>
  <w:num w:numId="20">
    <w:abstractNumId w:val="4"/>
  </w:num>
  <w:num w:numId="21">
    <w:abstractNumId w:val="31"/>
  </w:num>
  <w:num w:numId="22">
    <w:abstractNumId w:val="25"/>
  </w:num>
  <w:num w:numId="23">
    <w:abstractNumId w:val="3"/>
  </w:num>
  <w:num w:numId="24">
    <w:abstractNumId w:val="22"/>
  </w:num>
  <w:num w:numId="25">
    <w:abstractNumId w:val="12"/>
  </w:num>
  <w:num w:numId="26">
    <w:abstractNumId w:val="39"/>
  </w:num>
  <w:num w:numId="27">
    <w:abstractNumId w:val="28"/>
  </w:num>
  <w:num w:numId="28">
    <w:abstractNumId w:val="7"/>
  </w:num>
  <w:num w:numId="29">
    <w:abstractNumId w:val="1"/>
  </w:num>
  <w:num w:numId="30">
    <w:abstractNumId w:val="14"/>
  </w:num>
  <w:num w:numId="31">
    <w:abstractNumId w:val="38"/>
  </w:num>
  <w:num w:numId="32">
    <w:abstractNumId w:val="16"/>
  </w:num>
  <w:num w:numId="33">
    <w:abstractNumId w:val="23"/>
  </w:num>
  <w:num w:numId="34">
    <w:abstractNumId w:val="27"/>
  </w:num>
  <w:num w:numId="35">
    <w:abstractNumId w:val="8"/>
  </w:num>
  <w:num w:numId="36">
    <w:abstractNumId w:val="19"/>
  </w:num>
  <w:num w:numId="37">
    <w:abstractNumId w:val="0"/>
  </w:num>
  <w:num w:numId="38">
    <w:abstractNumId w:val="6"/>
  </w:num>
  <w:num w:numId="39">
    <w:abstractNumId w:val="1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57F92"/>
    <w:rsid w:val="00072652"/>
    <w:rsid w:val="000C5F99"/>
    <w:rsid w:val="00132F14"/>
    <w:rsid w:val="00141E4A"/>
    <w:rsid w:val="00181EFE"/>
    <w:rsid w:val="00203FD5"/>
    <w:rsid w:val="00207749"/>
    <w:rsid w:val="002A1795"/>
    <w:rsid w:val="002B1C8A"/>
    <w:rsid w:val="002B5025"/>
    <w:rsid w:val="0032076B"/>
    <w:rsid w:val="00367AEE"/>
    <w:rsid w:val="00395338"/>
    <w:rsid w:val="00412E71"/>
    <w:rsid w:val="004D247B"/>
    <w:rsid w:val="004F68F8"/>
    <w:rsid w:val="00553AC3"/>
    <w:rsid w:val="00595D0A"/>
    <w:rsid w:val="006754EB"/>
    <w:rsid w:val="006B6342"/>
    <w:rsid w:val="00757F92"/>
    <w:rsid w:val="007A4FCA"/>
    <w:rsid w:val="007C6471"/>
    <w:rsid w:val="00823849"/>
    <w:rsid w:val="0082725C"/>
    <w:rsid w:val="0085747D"/>
    <w:rsid w:val="00873B9A"/>
    <w:rsid w:val="0089040F"/>
    <w:rsid w:val="0089329F"/>
    <w:rsid w:val="008A729E"/>
    <w:rsid w:val="008C5C7A"/>
    <w:rsid w:val="008F7E97"/>
    <w:rsid w:val="009317A8"/>
    <w:rsid w:val="0096625D"/>
    <w:rsid w:val="009E124D"/>
    <w:rsid w:val="009F0B80"/>
    <w:rsid w:val="009F5CBE"/>
    <w:rsid w:val="00A454EA"/>
    <w:rsid w:val="00AF230D"/>
    <w:rsid w:val="00B165CA"/>
    <w:rsid w:val="00B87E20"/>
    <w:rsid w:val="00B913AC"/>
    <w:rsid w:val="00BB1F83"/>
    <w:rsid w:val="00CB5C0F"/>
    <w:rsid w:val="00DA0139"/>
    <w:rsid w:val="00DA46FC"/>
    <w:rsid w:val="00E45B66"/>
    <w:rsid w:val="00E51E89"/>
    <w:rsid w:val="00E52A71"/>
    <w:rsid w:val="00EC044D"/>
    <w:rsid w:val="00F1023C"/>
    <w:rsid w:val="00F4094C"/>
    <w:rsid w:val="00F903C5"/>
    <w:rsid w:val="00FE3793"/>
    <w:rsid w:val="00FE7984"/>
    <w:rsid w:val="00FF55D1"/>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92"/>
    <w:rPr>
      <w:rFonts w:ascii="Times" w:eastAsia="Times New Roman" w:hAnsi="Times" w:cs="Times New Roman"/>
      <w:sz w:val="24"/>
    </w:rPr>
  </w:style>
  <w:style w:type="paragraph" w:styleId="Heading1">
    <w:name w:val="heading 1"/>
    <w:basedOn w:val="Normal"/>
    <w:next w:val="Normal"/>
    <w:link w:val="Heading1Char"/>
    <w:uiPriority w:val="9"/>
    <w:qFormat/>
    <w:rsid w:val="00DA0139"/>
    <w:pPr>
      <w:keepNext/>
      <w:outlineLvl w:val="0"/>
    </w:pPr>
    <w:rPr>
      <w:i/>
      <w:iCs/>
    </w:rPr>
  </w:style>
  <w:style w:type="paragraph" w:styleId="Heading2">
    <w:name w:val="heading 2"/>
    <w:basedOn w:val="Normal"/>
    <w:next w:val="Normal"/>
    <w:link w:val="Heading2Char"/>
    <w:uiPriority w:val="9"/>
    <w:unhideWhenUsed/>
    <w:locked/>
    <w:rsid w:val="00757F9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locked/>
    <w:rsid w:val="00757F9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locked/>
    <w:rsid w:val="00757F9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locked/>
    <w:rsid w:val="00757F9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locked/>
    <w:rsid w:val="00757F9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locked/>
    <w:rsid w:val="00757F92"/>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locked/>
    <w:rsid w:val="00757F92"/>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locked/>
    <w:rsid w:val="00757F9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character" w:customStyle="1" w:styleId="Heading2Char">
    <w:name w:val="Heading 2 Char"/>
    <w:basedOn w:val="DefaultParagraphFont"/>
    <w:link w:val="Heading2"/>
    <w:uiPriority w:val="9"/>
    <w:rsid w:val="00757F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757F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57F92"/>
    <w:rPr>
      <w:rFonts w:eastAsia="Times New Roman" w:cs="Times New Roman"/>
      <w:b/>
      <w:bCs/>
      <w:sz w:val="28"/>
      <w:szCs w:val="28"/>
    </w:rPr>
  </w:style>
  <w:style w:type="character" w:customStyle="1" w:styleId="Heading5Char">
    <w:name w:val="Heading 5 Char"/>
    <w:basedOn w:val="DefaultParagraphFont"/>
    <w:link w:val="Heading5"/>
    <w:uiPriority w:val="9"/>
    <w:rsid w:val="00757F92"/>
    <w:rPr>
      <w:rFonts w:eastAsia="Times New Roman" w:cs="Times New Roman"/>
      <w:b/>
      <w:bCs/>
      <w:i/>
      <w:iCs/>
      <w:sz w:val="26"/>
      <w:szCs w:val="26"/>
    </w:rPr>
  </w:style>
  <w:style w:type="character" w:customStyle="1" w:styleId="Heading6Char">
    <w:name w:val="Heading 6 Char"/>
    <w:basedOn w:val="DefaultParagraphFont"/>
    <w:link w:val="Heading6"/>
    <w:uiPriority w:val="9"/>
    <w:rsid w:val="00757F92"/>
    <w:rPr>
      <w:rFonts w:eastAsia="Times New Roman" w:cs="Times New Roman"/>
      <w:b/>
      <w:bCs/>
      <w:sz w:val="22"/>
      <w:szCs w:val="22"/>
    </w:rPr>
  </w:style>
  <w:style w:type="character" w:customStyle="1" w:styleId="Heading7Char">
    <w:name w:val="Heading 7 Char"/>
    <w:basedOn w:val="DefaultParagraphFont"/>
    <w:link w:val="Heading7"/>
    <w:uiPriority w:val="9"/>
    <w:rsid w:val="00757F92"/>
    <w:rPr>
      <w:rFonts w:eastAsia="Times New Roman" w:cs="Times New Roman"/>
      <w:sz w:val="24"/>
      <w:szCs w:val="24"/>
    </w:rPr>
  </w:style>
  <w:style w:type="character" w:customStyle="1" w:styleId="Heading8Char">
    <w:name w:val="Heading 8 Char"/>
    <w:basedOn w:val="DefaultParagraphFont"/>
    <w:link w:val="Heading8"/>
    <w:uiPriority w:val="9"/>
    <w:rsid w:val="00757F92"/>
    <w:rPr>
      <w:rFonts w:eastAsia="Times New Roman" w:cs="Times New Roman"/>
      <w:i/>
      <w:iCs/>
      <w:sz w:val="24"/>
      <w:szCs w:val="24"/>
    </w:rPr>
  </w:style>
  <w:style w:type="character" w:customStyle="1" w:styleId="Heading9Char">
    <w:name w:val="Heading 9 Char"/>
    <w:basedOn w:val="DefaultParagraphFont"/>
    <w:link w:val="Heading9"/>
    <w:uiPriority w:val="9"/>
    <w:rsid w:val="00757F92"/>
    <w:rPr>
      <w:rFonts w:ascii="Cambria" w:eastAsia="Times New Roman" w:hAnsi="Cambria" w:cs="Times New Roman"/>
      <w:sz w:val="22"/>
      <w:szCs w:val="22"/>
    </w:rPr>
  </w:style>
  <w:style w:type="paragraph" w:customStyle="1" w:styleId="ParagraphIndent">
    <w:name w:val="ParagraphIndent"/>
    <w:qFormat/>
    <w:rsid w:val="00757F92"/>
    <w:pPr>
      <w:ind w:firstLine="360"/>
    </w:pPr>
    <w:rPr>
      <w:rFonts w:ascii="Times New Roman" w:hAnsi="Times New Roman" w:cs="Times New Roman"/>
      <w:color w:val="000000"/>
      <w:sz w:val="24"/>
      <w:szCs w:val="24"/>
    </w:rPr>
  </w:style>
  <w:style w:type="paragraph" w:customStyle="1" w:styleId="ParagraphNoIndent">
    <w:name w:val="ParagraphNoIndent"/>
    <w:qFormat/>
    <w:rsid w:val="00757F92"/>
    <w:rPr>
      <w:rFonts w:ascii="Times New Roman" w:eastAsia="Times New Roman" w:hAnsi="Times New Roman" w:cs="Times New Roman"/>
      <w:bCs/>
      <w:sz w:val="24"/>
      <w:szCs w:val="24"/>
    </w:rPr>
  </w:style>
  <w:style w:type="paragraph" w:customStyle="1" w:styleId="ReportType">
    <w:name w:val="ReportType"/>
    <w:qFormat/>
    <w:rsid w:val="00757F92"/>
    <w:rPr>
      <w:rFonts w:ascii="Times New Roman" w:eastAsia="Times New Roman" w:hAnsi="Times New Roman" w:cs="Times New Roman"/>
      <w:b/>
      <w:bCs/>
      <w:i/>
      <w:sz w:val="36"/>
      <w:szCs w:val="36"/>
    </w:rPr>
  </w:style>
  <w:style w:type="paragraph" w:customStyle="1" w:styleId="NumberLine">
    <w:name w:val="NumberLine"/>
    <w:qFormat/>
    <w:rsid w:val="00757F92"/>
    <w:rPr>
      <w:rFonts w:ascii="Arial" w:eastAsia="Times New Roman" w:hAnsi="Arial" w:cs="Times New Roman"/>
      <w:b/>
      <w:bCs/>
      <w:sz w:val="28"/>
      <w:szCs w:val="28"/>
    </w:rPr>
  </w:style>
  <w:style w:type="paragraph" w:customStyle="1" w:styleId="ReportTitle">
    <w:name w:val="ReportTitle"/>
    <w:uiPriority w:val="99"/>
    <w:qFormat/>
    <w:rsid w:val="00757F92"/>
    <w:rPr>
      <w:rFonts w:ascii="Arial" w:eastAsia="Times New Roman" w:hAnsi="Arial" w:cs="Times New Roman"/>
      <w:b/>
      <w:bCs/>
      <w:sz w:val="36"/>
      <w:szCs w:val="36"/>
    </w:rPr>
  </w:style>
  <w:style w:type="paragraph" w:styleId="NormalWeb">
    <w:name w:val="Normal (Web)"/>
    <w:basedOn w:val="Normal"/>
    <w:uiPriority w:val="99"/>
    <w:semiHidden/>
    <w:rsid w:val="00757F92"/>
    <w:pPr>
      <w:spacing w:before="100" w:beforeAutospacing="1" w:after="100" w:afterAutospacing="1"/>
    </w:pPr>
    <w:rPr>
      <w:rFonts w:ascii="Times New Roman" w:hAnsi="Times New Roman"/>
      <w:szCs w:val="24"/>
    </w:rPr>
  </w:style>
  <w:style w:type="paragraph" w:customStyle="1" w:styleId="PageNumber">
    <w:name w:val="PageNumber"/>
    <w:qFormat/>
    <w:rsid w:val="00757F92"/>
    <w:pPr>
      <w:jc w:val="center"/>
    </w:pPr>
    <w:rPr>
      <w:rFonts w:ascii="Times New Roman" w:hAnsi="Times New Roman" w:cs="Times New Roman"/>
      <w:sz w:val="24"/>
      <w:szCs w:val="24"/>
    </w:rPr>
  </w:style>
  <w:style w:type="paragraph" w:customStyle="1" w:styleId="FrontMatterHead">
    <w:name w:val="FrontMatterHead"/>
    <w:qFormat/>
    <w:rsid w:val="00757F92"/>
    <w:pPr>
      <w:keepNext/>
      <w:spacing w:before="240" w:after="60"/>
    </w:pPr>
    <w:rPr>
      <w:rFonts w:ascii="Arial" w:hAnsi="Arial"/>
      <w:b/>
      <w:sz w:val="32"/>
      <w:szCs w:val="32"/>
    </w:rPr>
  </w:style>
  <w:style w:type="table" w:customStyle="1" w:styleId="AHRQ1">
    <w:name w:val="AHRQ1"/>
    <w:basedOn w:val="TableGrid"/>
    <w:rsid w:val="00757F9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757F9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757F92"/>
    <w:pPr>
      <w:tabs>
        <w:tab w:val="right" w:leader="dot" w:pos="9350"/>
      </w:tabs>
    </w:pPr>
    <w:rPr>
      <w:rFonts w:ascii="Arial" w:hAnsi="Arial" w:cs="Arial"/>
      <w:b/>
      <w:noProof/>
      <w:szCs w:val="24"/>
      <w:lang w:val="en-CA"/>
    </w:rPr>
  </w:style>
  <w:style w:type="paragraph" w:styleId="TOC2">
    <w:name w:val="toc 2"/>
    <w:basedOn w:val="Normal"/>
    <w:next w:val="Normal"/>
    <w:autoRedefine/>
    <w:uiPriority w:val="39"/>
    <w:rsid w:val="00757F92"/>
    <w:pPr>
      <w:ind w:left="240"/>
    </w:pPr>
    <w:rPr>
      <w:rFonts w:ascii="Times New Roman" w:hAnsi="Times New Roman"/>
      <w:szCs w:val="24"/>
      <w:lang w:val="en-CA"/>
    </w:rPr>
  </w:style>
  <w:style w:type="paragraph" w:customStyle="1" w:styleId="ChapterHeading">
    <w:name w:val="ChapterHeading"/>
    <w:qFormat/>
    <w:rsid w:val="00757F92"/>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757F92"/>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757F92"/>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757F92"/>
    <w:pPr>
      <w:keepLines/>
      <w:spacing w:before="240" w:after="60"/>
    </w:pPr>
    <w:rPr>
      <w:rFonts w:ascii="Arial" w:eastAsia="Times New Roman" w:hAnsi="Arial"/>
      <w:iCs/>
      <w:sz w:val="28"/>
      <w:szCs w:val="28"/>
    </w:rPr>
  </w:style>
  <w:style w:type="paragraph" w:customStyle="1" w:styleId="TableTitle">
    <w:name w:val="TableTitle"/>
    <w:qFormat/>
    <w:rsid w:val="00757F92"/>
    <w:pPr>
      <w:keepNext/>
      <w:spacing w:before="240"/>
    </w:pPr>
    <w:rPr>
      <w:rFonts w:ascii="Arial" w:hAnsi="Arial" w:cs="Times New Roman"/>
      <w:b/>
      <w:color w:val="000000"/>
      <w:szCs w:val="24"/>
    </w:rPr>
  </w:style>
  <w:style w:type="paragraph" w:customStyle="1" w:styleId="TableNote">
    <w:name w:val="TableNote"/>
    <w:qFormat/>
    <w:rsid w:val="00757F92"/>
    <w:pPr>
      <w:spacing w:after="240"/>
    </w:pPr>
    <w:rPr>
      <w:rFonts w:ascii="Times New Roman" w:eastAsia="Times New Roman" w:hAnsi="Times New Roman" w:cs="Times New Roman"/>
      <w:bCs/>
      <w:sz w:val="18"/>
      <w:szCs w:val="24"/>
    </w:rPr>
  </w:style>
  <w:style w:type="paragraph" w:customStyle="1" w:styleId="Reference">
    <w:name w:val="Reference"/>
    <w:qFormat/>
    <w:rsid w:val="00757F92"/>
    <w:pPr>
      <w:keepLines/>
      <w:spacing w:before="120" w:after="120"/>
      <w:ind w:left="720" w:hanging="720"/>
    </w:pPr>
    <w:rPr>
      <w:rFonts w:ascii="Times New Roman" w:eastAsia="Times New Roman" w:hAnsi="Times New Roman" w:cs="Times New Roman"/>
      <w:bCs/>
      <w:szCs w:val="24"/>
    </w:rPr>
  </w:style>
  <w:style w:type="paragraph" w:styleId="Header">
    <w:name w:val="header"/>
    <w:basedOn w:val="Normal"/>
    <w:link w:val="HeaderChar"/>
    <w:uiPriority w:val="99"/>
    <w:unhideWhenUsed/>
    <w:rsid w:val="00757F9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57F92"/>
    <w:rPr>
      <w:rFonts w:cs="Times New Roman"/>
      <w:sz w:val="22"/>
      <w:szCs w:val="22"/>
    </w:rPr>
  </w:style>
  <w:style w:type="paragraph" w:customStyle="1" w:styleId="Level5Heading">
    <w:name w:val="Level5Heading"/>
    <w:qFormat/>
    <w:rsid w:val="00757F92"/>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757F92"/>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757F92"/>
    <w:rPr>
      <w:rFonts w:ascii="Tahoma" w:hAnsi="Tahoma" w:cs="Tahoma"/>
      <w:sz w:val="16"/>
      <w:szCs w:val="16"/>
    </w:rPr>
  </w:style>
  <w:style w:type="character" w:customStyle="1" w:styleId="BalloonTextChar">
    <w:name w:val="Balloon Text Char"/>
    <w:basedOn w:val="DefaultParagraphFont"/>
    <w:link w:val="BalloonText"/>
    <w:uiPriority w:val="99"/>
    <w:semiHidden/>
    <w:rsid w:val="00757F92"/>
    <w:rPr>
      <w:rFonts w:ascii="Tahoma" w:eastAsia="Times New Roman" w:hAnsi="Tahoma" w:cs="Tahoma"/>
      <w:sz w:val="16"/>
      <w:szCs w:val="16"/>
    </w:rPr>
  </w:style>
  <w:style w:type="character" w:styleId="CommentReference">
    <w:name w:val="annotation reference"/>
    <w:rsid w:val="00757F92"/>
    <w:rPr>
      <w:sz w:val="16"/>
      <w:szCs w:val="16"/>
    </w:rPr>
  </w:style>
  <w:style w:type="paragraph" w:styleId="CommentText">
    <w:name w:val="annotation text"/>
    <w:basedOn w:val="Normal"/>
    <w:link w:val="CommentTextChar"/>
    <w:rsid w:val="00757F92"/>
    <w:pPr>
      <w:spacing w:before="240" w:after="60"/>
    </w:pPr>
    <w:rPr>
      <w:rFonts w:ascii="Calibri" w:eastAsia="Calibri" w:hAnsi="Calibri"/>
      <w:sz w:val="20"/>
    </w:rPr>
  </w:style>
  <w:style w:type="character" w:customStyle="1" w:styleId="CommentTextChar">
    <w:name w:val="Comment Text Char"/>
    <w:basedOn w:val="DefaultParagraphFont"/>
    <w:link w:val="CommentText"/>
    <w:rsid w:val="00757F92"/>
    <w:rPr>
      <w:rFonts w:cs="Times New Roman"/>
    </w:rPr>
  </w:style>
  <w:style w:type="paragraph" w:styleId="CommentSubject">
    <w:name w:val="annotation subject"/>
    <w:basedOn w:val="CommentText"/>
    <w:next w:val="CommentText"/>
    <w:link w:val="CommentSubjectChar"/>
    <w:uiPriority w:val="99"/>
    <w:semiHidden/>
    <w:rsid w:val="00757F92"/>
    <w:rPr>
      <w:b/>
      <w:bCs/>
    </w:rPr>
  </w:style>
  <w:style w:type="character" w:customStyle="1" w:styleId="CommentSubjectChar">
    <w:name w:val="Comment Subject Char"/>
    <w:basedOn w:val="CommentTextChar"/>
    <w:link w:val="CommentSubject"/>
    <w:uiPriority w:val="99"/>
    <w:semiHidden/>
    <w:rsid w:val="00757F92"/>
    <w:rPr>
      <w:rFonts w:cs="Times New Roman"/>
      <w:b/>
      <w:bCs/>
    </w:rPr>
  </w:style>
  <w:style w:type="paragraph" w:customStyle="1" w:styleId="PreparedForText">
    <w:name w:val="PreparedForText"/>
    <w:qFormat/>
    <w:rsid w:val="00757F92"/>
    <w:rPr>
      <w:rFonts w:ascii="Times New Roman" w:eastAsia="Times New Roman" w:hAnsi="Times New Roman" w:cs="Times New Roman"/>
      <w:bCs/>
      <w:sz w:val="24"/>
      <w:szCs w:val="24"/>
    </w:rPr>
  </w:style>
  <w:style w:type="paragraph" w:customStyle="1" w:styleId="ParagraphNoIndentBold">
    <w:name w:val="ParagraphNoIndentBold"/>
    <w:qFormat/>
    <w:rsid w:val="00757F92"/>
    <w:rPr>
      <w:rFonts w:ascii="Times New Roman" w:eastAsia="Times New Roman" w:hAnsi="Times New Roman" w:cs="Times New Roman"/>
      <w:b/>
      <w:bCs/>
      <w:sz w:val="24"/>
      <w:szCs w:val="24"/>
    </w:rPr>
  </w:style>
  <w:style w:type="paragraph" w:customStyle="1" w:styleId="ContractNumber">
    <w:name w:val="ContractNumber"/>
    <w:next w:val="ParagraphNoIndent"/>
    <w:qFormat/>
    <w:rsid w:val="00757F92"/>
    <w:rPr>
      <w:rFonts w:ascii="Times New Roman" w:eastAsia="Times New Roman" w:hAnsi="Times New Roman" w:cs="Times New Roman"/>
      <w:b/>
      <w:bCs/>
      <w:sz w:val="24"/>
      <w:szCs w:val="24"/>
    </w:rPr>
  </w:style>
  <w:style w:type="paragraph" w:customStyle="1" w:styleId="PreparedByText">
    <w:name w:val="PreparedByText"/>
    <w:qFormat/>
    <w:rsid w:val="00757F92"/>
    <w:rPr>
      <w:rFonts w:ascii="Times New Roman" w:eastAsia="Times New Roman" w:hAnsi="Times New Roman" w:cs="Times New Roman"/>
      <w:bCs/>
      <w:sz w:val="24"/>
      <w:szCs w:val="24"/>
    </w:rPr>
  </w:style>
  <w:style w:type="paragraph" w:customStyle="1" w:styleId="Investigators">
    <w:name w:val="Investigators"/>
    <w:qFormat/>
    <w:rsid w:val="00757F92"/>
    <w:rPr>
      <w:rFonts w:ascii="Times New Roman" w:eastAsia="Times New Roman" w:hAnsi="Times New Roman" w:cs="Times New Roman"/>
      <w:bCs/>
      <w:sz w:val="24"/>
      <w:szCs w:val="24"/>
    </w:rPr>
  </w:style>
  <w:style w:type="paragraph" w:customStyle="1" w:styleId="PublicationNumberDate">
    <w:name w:val="PublicationNumberDate"/>
    <w:qFormat/>
    <w:rsid w:val="00757F92"/>
    <w:rPr>
      <w:rFonts w:ascii="Times New Roman" w:eastAsia="Times New Roman" w:hAnsi="Times New Roman" w:cs="Times New Roman"/>
      <w:b/>
      <w:bCs/>
      <w:sz w:val="24"/>
      <w:szCs w:val="24"/>
    </w:rPr>
  </w:style>
  <w:style w:type="paragraph" w:customStyle="1" w:styleId="SuggestedCitation">
    <w:name w:val="SuggestedCitation"/>
    <w:qFormat/>
    <w:rsid w:val="00757F92"/>
    <w:rPr>
      <w:rFonts w:ascii="Times New Roman" w:eastAsia="Times New Roman" w:hAnsi="Times New Roman" w:cs="Times New Roman"/>
      <w:bCs/>
      <w:sz w:val="24"/>
      <w:szCs w:val="24"/>
    </w:rPr>
  </w:style>
  <w:style w:type="paragraph" w:customStyle="1" w:styleId="Contents">
    <w:name w:val="Contents"/>
    <w:qFormat/>
    <w:rsid w:val="00757F92"/>
    <w:pPr>
      <w:keepNext/>
      <w:jc w:val="center"/>
    </w:pPr>
    <w:rPr>
      <w:rFonts w:ascii="Arial" w:hAnsi="Arial"/>
      <w:b/>
      <w:sz w:val="36"/>
      <w:szCs w:val="32"/>
    </w:rPr>
  </w:style>
  <w:style w:type="paragraph" w:customStyle="1" w:styleId="ContentsSubhead">
    <w:name w:val="ContentsSubhead"/>
    <w:qFormat/>
    <w:rsid w:val="00757F92"/>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757F92"/>
    <w:pPr>
      <w:keepNext/>
      <w:spacing w:before="240"/>
      <w:outlineLvl w:val="4"/>
    </w:pPr>
    <w:rPr>
      <w:rFonts w:ascii="Times New Roman" w:eastAsia="Times New Roman" w:hAnsi="Times New Roman" w:cs="Times New Roman"/>
      <w:b/>
      <w:bCs/>
      <w:sz w:val="28"/>
      <w:szCs w:val="24"/>
    </w:rPr>
  </w:style>
  <w:style w:type="paragraph" w:customStyle="1" w:styleId="TableColumnHead">
    <w:name w:val="TableColumnHead"/>
    <w:qFormat/>
    <w:rsid w:val="00757F92"/>
    <w:pPr>
      <w:jc w:val="center"/>
    </w:pPr>
    <w:rPr>
      <w:rFonts w:ascii="Arial" w:hAnsi="Arial"/>
      <w:b/>
      <w:bCs/>
      <w:sz w:val="18"/>
      <w:szCs w:val="18"/>
    </w:rPr>
  </w:style>
  <w:style w:type="paragraph" w:customStyle="1" w:styleId="TableSubhead">
    <w:name w:val="TableSubhead"/>
    <w:qFormat/>
    <w:rsid w:val="00757F92"/>
    <w:rPr>
      <w:rFonts w:ascii="Arial" w:hAnsi="Arial"/>
      <w:b/>
      <w:i/>
      <w:sz w:val="18"/>
      <w:szCs w:val="18"/>
    </w:rPr>
  </w:style>
  <w:style w:type="paragraph" w:customStyle="1" w:styleId="TableText">
    <w:name w:val="TableText"/>
    <w:qFormat/>
    <w:rsid w:val="00757F92"/>
    <w:rPr>
      <w:rFonts w:ascii="Arial" w:hAnsi="Arial"/>
      <w:sz w:val="18"/>
      <w:szCs w:val="18"/>
    </w:rPr>
  </w:style>
  <w:style w:type="paragraph" w:styleId="Footer">
    <w:name w:val="footer"/>
    <w:basedOn w:val="Normal"/>
    <w:link w:val="FooterChar"/>
    <w:uiPriority w:val="99"/>
    <w:unhideWhenUsed/>
    <w:rsid w:val="00757F92"/>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57F92"/>
    <w:rPr>
      <w:rFonts w:cs="Times New Roman"/>
      <w:sz w:val="22"/>
      <w:szCs w:val="22"/>
    </w:rPr>
  </w:style>
  <w:style w:type="paragraph" w:customStyle="1" w:styleId="Level6Heading">
    <w:name w:val="Level6Heading"/>
    <w:qFormat/>
    <w:rsid w:val="00757F92"/>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757F92"/>
    <w:pPr>
      <w:keepNext/>
    </w:pPr>
    <w:rPr>
      <w:rFonts w:ascii="Times New Roman" w:hAnsi="Times New Roman" w:cs="Times New Roman"/>
      <w:b/>
      <w:color w:val="000000"/>
      <w:sz w:val="24"/>
      <w:szCs w:val="24"/>
    </w:rPr>
  </w:style>
  <w:style w:type="paragraph" w:customStyle="1" w:styleId="Level8Heading">
    <w:name w:val="Level8Heading"/>
    <w:qFormat/>
    <w:rsid w:val="00757F92"/>
    <w:pPr>
      <w:keepNext/>
    </w:pPr>
    <w:rPr>
      <w:rFonts w:ascii="Times New Roman" w:eastAsia="Times New Roman" w:hAnsi="Times New Roman" w:cs="Times New Roman"/>
      <w:bCs/>
      <w:i/>
      <w:sz w:val="24"/>
      <w:szCs w:val="24"/>
    </w:rPr>
  </w:style>
  <w:style w:type="paragraph" w:customStyle="1" w:styleId="Bullet1">
    <w:name w:val="Bullet1"/>
    <w:qFormat/>
    <w:rsid w:val="00757F92"/>
    <w:pPr>
      <w:numPr>
        <w:numId w:val="3"/>
      </w:numPr>
    </w:pPr>
    <w:rPr>
      <w:rFonts w:ascii="Times New Roman" w:eastAsia="Times New Roman" w:hAnsi="Times New Roman" w:cs="Times New Roman"/>
      <w:bCs/>
      <w:sz w:val="24"/>
      <w:szCs w:val="24"/>
    </w:rPr>
  </w:style>
  <w:style w:type="paragraph" w:customStyle="1" w:styleId="Bullet2">
    <w:name w:val="Bullet2"/>
    <w:qFormat/>
    <w:rsid w:val="00757F92"/>
    <w:pPr>
      <w:numPr>
        <w:ilvl w:val="1"/>
        <w:numId w:val="3"/>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757F92"/>
    <w:pPr>
      <w:jc w:val="center"/>
    </w:pPr>
    <w:rPr>
      <w:rFonts w:ascii="Arial" w:hAnsi="Arial"/>
      <w:sz w:val="18"/>
      <w:szCs w:val="18"/>
    </w:rPr>
  </w:style>
  <w:style w:type="paragraph" w:customStyle="1" w:styleId="TableLeftText">
    <w:name w:val="TableLeftText"/>
    <w:qFormat/>
    <w:rsid w:val="00757F92"/>
    <w:rPr>
      <w:rFonts w:ascii="Arial" w:hAnsi="Arial"/>
      <w:sz w:val="18"/>
      <w:szCs w:val="18"/>
    </w:rPr>
  </w:style>
  <w:style w:type="paragraph" w:customStyle="1" w:styleId="TableBoldText">
    <w:name w:val="TableBoldText"/>
    <w:qFormat/>
    <w:rsid w:val="00757F92"/>
    <w:rPr>
      <w:rFonts w:ascii="Arial" w:hAnsi="Arial"/>
      <w:b/>
      <w:sz w:val="18"/>
      <w:szCs w:val="18"/>
    </w:rPr>
  </w:style>
  <w:style w:type="paragraph" w:customStyle="1" w:styleId="Studies1">
    <w:name w:val="Studies1"/>
    <w:qFormat/>
    <w:rsid w:val="00757F92"/>
    <w:pPr>
      <w:keepLines/>
      <w:spacing w:before="120" w:after="120"/>
    </w:pPr>
    <w:rPr>
      <w:rFonts w:ascii="Times New Roman" w:hAnsi="Times New Roman"/>
      <w:color w:val="000000"/>
      <w:sz w:val="24"/>
      <w:szCs w:val="32"/>
    </w:rPr>
  </w:style>
  <w:style w:type="paragraph" w:customStyle="1" w:styleId="Studies2">
    <w:name w:val="Studies2"/>
    <w:qFormat/>
    <w:rsid w:val="00757F92"/>
    <w:pPr>
      <w:keepLines/>
      <w:numPr>
        <w:numId w:val="4"/>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757F92"/>
    <w:pPr>
      <w:numPr>
        <w:numId w:val="5"/>
      </w:numPr>
      <w:ind w:left="720"/>
    </w:pPr>
  </w:style>
  <w:style w:type="paragraph" w:customStyle="1" w:styleId="ReportSubtitle">
    <w:name w:val="ReportSubtitle"/>
    <w:uiPriority w:val="99"/>
    <w:qFormat/>
    <w:rsid w:val="00757F92"/>
    <w:rPr>
      <w:rFonts w:ascii="Arial" w:eastAsia="Times New Roman" w:hAnsi="Arial" w:cs="Times New Roman"/>
      <w:b/>
      <w:bCs/>
      <w:sz w:val="24"/>
      <w:szCs w:val="24"/>
    </w:rPr>
  </w:style>
  <w:style w:type="paragraph" w:customStyle="1" w:styleId="FrontMatterSubhead">
    <w:name w:val="FrontMatterSubhead"/>
    <w:qFormat/>
    <w:rsid w:val="00757F92"/>
    <w:pPr>
      <w:keepNext/>
      <w:spacing w:before="120"/>
    </w:pPr>
    <w:rPr>
      <w:rFonts w:ascii="Arial" w:hAnsi="Arial"/>
      <w:b/>
      <w:sz w:val="24"/>
      <w:szCs w:val="32"/>
    </w:rPr>
  </w:style>
  <w:style w:type="character" w:styleId="Hyperlink">
    <w:name w:val="Hyperlink"/>
    <w:uiPriority w:val="99"/>
    <w:rsid w:val="00757F92"/>
    <w:rPr>
      <w:color w:val="0000FF"/>
      <w:u w:val="single"/>
    </w:rPr>
  </w:style>
  <w:style w:type="paragraph" w:customStyle="1" w:styleId="BodyText">
    <w:name w:val="BodyText"/>
    <w:basedOn w:val="Normal"/>
    <w:link w:val="BodyTextChar"/>
    <w:rsid w:val="00757F92"/>
    <w:pPr>
      <w:spacing w:after="120"/>
    </w:pPr>
    <w:rPr>
      <w:rFonts w:ascii="Times New Roman" w:hAnsi="Times New Roman"/>
      <w:szCs w:val="24"/>
    </w:rPr>
  </w:style>
  <w:style w:type="character" w:customStyle="1" w:styleId="BodyTextChar">
    <w:name w:val="BodyText Char"/>
    <w:link w:val="BodyText"/>
    <w:rsid w:val="00757F92"/>
    <w:rPr>
      <w:rFonts w:ascii="Times New Roman" w:eastAsia="Times New Roman" w:hAnsi="Times New Roman" w:cs="Times New Roman"/>
      <w:sz w:val="24"/>
      <w:szCs w:val="24"/>
    </w:rPr>
  </w:style>
  <w:style w:type="paragraph" w:customStyle="1" w:styleId="TitlePageReportNumber">
    <w:name w:val="Title Page Report Number"/>
    <w:basedOn w:val="Normal"/>
    <w:rsid w:val="00757F92"/>
    <w:rPr>
      <w:rFonts w:ascii="Arial" w:eastAsia="Times" w:hAnsi="Arial"/>
      <w:b/>
      <w:sz w:val="28"/>
    </w:rPr>
  </w:style>
  <w:style w:type="paragraph" w:customStyle="1" w:styleId="Default">
    <w:name w:val="Default"/>
    <w:rsid w:val="00757F92"/>
    <w:pPr>
      <w:autoSpaceDE w:val="0"/>
      <w:autoSpaceDN w:val="0"/>
      <w:adjustRightInd w:val="0"/>
    </w:pPr>
    <w:rPr>
      <w:rFonts w:ascii="Times New Roman" w:eastAsia="Times New Roman" w:hAnsi="Times New Roman" w:cs="Times New Roman"/>
      <w:color w:val="000000"/>
      <w:sz w:val="24"/>
      <w:szCs w:val="24"/>
    </w:rPr>
  </w:style>
  <w:style w:type="character" w:customStyle="1" w:styleId="SC2721">
    <w:name w:val="SC2721"/>
    <w:uiPriority w:val="99"/>
    <w:rsid w:val="00757F92"/>
    <w:rPr>
      <w:color w:val="000000"/>
    </w:rPr>
  </w:style>
  <w:style w:type="paragraph" w:styleId="BodyText0">
    <w:name w:val="Body Text"/>
    <w:basedOn w:val="Normal"/>
    <w:link w:val="BodyTextChar0"/>
    <w:rsid w:val="00757F92"/>
    <w:rPr>
      <w:rFonts w:ascii="Times New Roman" w:hAnsi="Times New Roman"/>
      <w:bCs/>
      <w:i/>
      <w:iCs/>
      <w:szCs w:val="24"/>
    </w:rPr>
  </w:style>
  <w:style w:type="character" w:customStyle="1" w:styleId="BodyTextChar0">
    <w:name w:val="Body Text Char"/>
    <w:basedOn w:val="DefaultParagraphFont"/>
    <w:link w:val="BodyText0"/>
    <w:rsid w:val="00757F92"/>
    <w:rPr>
      <w:rFonts w:ascii="Times New Roman" w:eastAsia="Times New Roman" w:hAnsi="Times New Roman" w:cs="Times New Roman"/>
      <w:bCs/>
      <w:i/>
      <w:iCs/>
      <w:sz w:val="24"/>
      <w:szCs w:val="24"/>
    </w:rPr>
  </w:style>
  <w:style w:type="paragraph" w:customStyle="1" w:styleId="FigureTitle">
    <w:name w:val="FigureTitle"/>
    <w:basedOn w:val="TableTitle"/>
    <w:qFormat/>
    <w:rsid w:val="00757F92"/>
  </w:style>
  <w:style w:type="paragraph" w:styleId="TOC3">
    <w:name w:val="toc 3"/>
    <w:basedOn w:val="Normal"/>
    <w:next w:val="Normal"/>
    <w:autoRedefine/>
    <w:uiPriority w:val="39"/>
    <w:unhideWhenUsed/>
    <w:rsid w:val="00757F92"/>
    <w:pPr>
      <w:ind w:left="480"/>
    </w:pPr>
  </w:style>
  <w:style w:type="paragraph" w:styleId="Revision">
    <w:name w:val="Revision"/>
    <w:hidden/>
    <w:uiPriority w:val="99"/>
    <w:semiHidden/>
    <w:rsid w:val="00757F92"/>
    <w:rPr>
      <w:rFonts w:ascii="Times" w:eastAsia="Times New Roman" w:hAnsi="Times" w:cs="Times New Roman"/>
      <w:sz w:val="24"/>
    </w:rPr>
  </w:style>
  <w:style w:type="character" w:styleId="FollowedHyperlink">
    <w:name w:val="FollowedHyperlink"/>
    <w:basedOn w:val="DefaultParagraphFont"/>
    <w:uiPriority w:val="99"/>
    <w:semiHidden/>
    <w:unhideWhenUsed/>
    <w:rsid w:val="00757F92"/>
    <w:rPr>
      <w:color w:val="800080" w:themeColor="followedHyperlink"/>
      <w:u w:val="single"/>
    </w:rPr>
  </w:style>
  <w:style w:type="character" w:styleId="LineNumber">
    <w:name w:val="line number"/>
    <w:basedOn w:val="DefaultParagraphFont"/>
    <w:uiPriority w:val="99"/>
    <w:semiHidden/>
    <w:unhideWhenUsed/>
    <w:rsid w:val="00757F92"/>
  </w:style>
  <w:style w:type="paragraph" w:styleId="PlainText">
    <w:name w:val="Plain Text"/>
    <w:basedOn w:val="Normal"/>
    <w:link w:val="PlainTextChar"/>
    <w:uiPriority w:val="99"/>
    <w:semiHidden/>
    <w:unhideWhenUsed/>
    <w:rsid w:val="00757F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57F92"/>
    <w:rPr>
      <w:rFonts w:eastAsiaTheme="minorHAnsi" w:cstheme="minorBidi"/>
      <w:sz w:val="22"/>
      <w:szCs w:val="21"/>
    </w:rPr>
  </w:style>
  <w:style w:type="character" w:styleId="PlaceholderText">
    <w:name w:val="Placeholder Text"/>
    <w:basedOn w:val="DefaultParagraphFont"/>
    <w:uiPriority w:val="99"/>
    <w:semiHidden/>
    <w:rsid w:val="00E51E8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Ratnamala Khopade</cp:lastModifiedBy>
  <cp:revision>11</cp:revision>
  <dcterms:created xsi:type="dcterms:W3CDTF">2014-09-12T18:33:00Z</dcterms:created>
  <dcterms:modified xsi:type="dcterms:W3CDTF">2014-10-20T08:29:00Z</dcterms:modified>
</cp:coreProperties>
</file>