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1980"/>
        <w:gridCol w:w="2340"/>
        <w:gridCol w:w="1890"/>
        <w:gridCol w:w="720"/>
        <w:gridCol w:w="2967"/>
      </w:tblGrid>
      <w:tr w:rsidR="00483EC9" w:rsidRPr="00483EC9" w:rsidTr="00483EC9">
        <w:trPr>
          <w:cantSplit/>
          <w:tblHeader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3EC9" w:rsidRPr="00483EC9" w:rsidRDefault="00483EC9" w:rsidP="00EC3D8F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>Study, First Author, Year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3EC9" w:rsidRPr="00483EC9" w:rsidRDefault="00483EC9" w:rsidP="00483EC9">
            <w:pPr>
              <w:pStyle w:val="TableTex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>Were harms prespecified and defined?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3EC9" w:rsidRPr="00483EC9" w:rsidRDefault="00483EC9" w:rsidP="00483EC9">
            <w:pPr>
              <w:pStyle w:val="TableText"/>
              <w:jc w:val="center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>Were ascertainment techniques for harms adequately described?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3EC9" w:rsidRDefault="00483EC9" w:rsidP="00483EC9">
            <w:pPr>
              <w:pStyle w:val="TableText"/>
              <w:ind w:left="-106" w:right="-108"/>
              <w:jc w:val="center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 xml:space="preserve">Were ascertainment techniques for harms </w:t>
            </w:r>
          </w:p>
          <w:p w:rsidR="00483EC9" w:rsidRPr="00483EC9" w:rsidRDefault="00483EC9" w:rsidP="00483EC9">
            <w:pPr>
              <w:pStyle w:val="TableText"/>
              <w:ind w:left="-106" w:right="-108"/>
              <w:jc w:val="center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>equal, valid, and reliable?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3EC9" w:rsidRPr="00483EC9" w:rsidRDefault="00483EC9" w:rsidP="00483EC9">
            <w:pPr>
              <w:pStyle w:val="TableText"/>
              <w:jc w:val="center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>Was duration of followup adequate for harms assessment?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3EC9" w:rsidRPr="00483EC9" w:rsidRDefault="00483EC9" w:rsidP="00483EC9">
            <w:pPr>
              <w:pStyle w:val="TableText"/>
              <w:ind w:left="-108" w:right="-110"/>
              <w:jc w:val="center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 xml:space="preserve">Harms </w:t>
            </w:r>
            <w:r>
              <w:rPr>
                <w:b/>
                <w:bCs/>
                <w:sz w:val="16"/>
                <w:szCs w:val="16"/>
              </w:rPr>
              <w:t>q</w:t>
            </w:r>
            <w:r w:rsidRPr="00483EC9">
              <w:rPr>
                <w:b/>
                <w:bCs/>
                <w:sz w:val="16"/>
                <w:szCs w:val="16"/>
              </w:rPr>
              <w:t xml:space="preserve">uality </w:t>
            </w:r>
            <w:r>
              <w:rPr>
                <w:b/>
                <w:bCs/>
                <w:sz w:val="16"/>
                <w:szCs w:val="16"/>
              </w:rPr>
              <w:t>r</w:t>
            </w:r>
            <w:r w:rsidRPr="00483EC9">
              <w:rPr>
                <w:b/>
                <w:bCs/>
                <w:sz w:val="16"/>
                <w:szCs w:val="16"/>
              </w:rPr>
              <w:t>ating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3EC9" w:rsidRPr="00483EC9" w:rsidRDefault="00483EC9" w:rsidP="00483EC9">
            <w:pPr>
              <w:pStyle w:val="TableText"/>
              <w:jc w:val="center"/>
              <w:rPr>
                <w:b/>
                <w:bCs/>
                <w:sz w:val="16"/>
                <w:szCs w:val="16"/>
              </w:rPr>
            </w:pPr>
            <w:r w:rsidRPr="00483EC9"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483EC9" w:rsidRPr="00483EC9" w:rsidTr="00483EC9">
        <w:trPr>
          <w:cantSplit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Default="00483EC9" w:rsidP="00483EC9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ACST, Halliday, 2004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18</w:t>
            </w:r>
            <w:r w:rsidRPr="00483EC9">
              <w:rPr>
                <w:sz w:val="16"/>
                <w:szCs w:val="16"/>
              </w:rPr>
              <w:t xml:space="preserve"> Halliday, 2010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19</w:t>
            </w:r>
            <w:r w:rsidRPr="00483EC9">
              <w:rPr>
                <w:sz w:val="16"/>
                <w:szCs w:val="16"/>
              </w:rPr>
              <w:t xml:space="preserve"> </w:t>
            </w:r>
          </w:p>
          <w:p w:rsidR="00483EC9" w:rsidRDefault="00483EC9" w:rsidP="00483EC9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den Hartog, 2013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20</w:t>
            </w:r>
            <w:r w:rsidRPr="00483EC9">
              <w:rPr>
                <w:sz w:val="16"/>
                <w:szCs w:val="16"/>
              </w:rPr>
              <w:t xml:space="preserve"> Halliday, 1994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21</w:t>
            </w:r>
            <w:r w:rsidRPr="00483EC9">
              <w:rPr>
                <w:sz w:val="16"/>
                <w:szCs w:val="16"/>
              </w:rPr>
              <w:t xml:space="preserve"> </w:t>
            </w:r>
          </w:p>
          <w:p w:rsidR="00483EC9" w:rsidRPr="00483EC9" w:rsidRDefault="00483EC9" w:rsidP="00483EC9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Halliday, 1995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483EC9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 xml:space="preserve">Yes for death or major stroke, perhaps less so for minor stroke and </w:t>
            </w:r>
            <w:r>
              <w:rPr>
                <w:sz w:val="16"/>
                <w:szCs w:val="16"/>
              </w:rPr>
              <w:t>myocardial infarction</w:t>
            </w:r>
            <w:r w:rsidRPr="00483EC9">
              <w:rPr>
                <w:sz w:val="16"/>
                <w:szCs w:val="16"/>
              </w:rPr>
              <w:t xml:space="preserve"> (without masking of providers making the initial assessments)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Fair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For perioperative morbidity, still no masking of initial outcome assessors; may introduce bias (some incentive to underreport harms for surgeons doing the procedure</w:t>
            </w:r>
            <w:r>
              <w:rPr>
                <w:sz w:val="16"/>
                <w:szCs w:val="16"/>
              </w:rPr>
              <w:t>,</w:t>
            </w:r>
            <w:r w:rsidRPr="00483EC9">
              <w:rPr>
                <w:sz w:val="16"/>
                <w:szCs w:val="16"/>
              </w:rPr>
              <w:t xml:space="preserve"> as the design paper explains that those with unacceptably high morbidity and mortality may be asked not to enter any more patients)</w:t>
            </w:r>
          </w:p>
        </w:tc>
      </w:tr>
      <w:tr w:rsidR="00483EC9" w:rsidRPr="00483EC9" w:rsidTr="00483EC9">
        <w:trPr>
          <w:cantSplit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ACAS, ACAS Study Group, 1995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23</w:t>
            </w:r>
            <w:r w:rsidRPr="00483EC9">
              <w:rPr>
                <w:sz w:val="16"/>
                <w:szCs w:val="16"/>
              </w:rPr>
              <w:t xml:space="preserve"> </w:t>
            </w:r>
          </w:p>
          <w:p w:rsid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Baker, 2000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24</w:t>
            </w:r>
            <w:r w:rsidRPr="00483EC9">
              <w:rPr>
                <w:sz w:val="16"/>
                <w:szCs w:val="16"/>
              </w:rPr>
              <w:t xml:space="preserve"> </w:t>
            </w:r>
          </w:p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Young, 1996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Good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For perioperative morbidity, still no masking of initial outcome assessors; may introduce bias (some incentive to underreport harms for surgeons doing the procedure)</w:t>
            </w:r>
          </w:p>
        </w:tc>
      </w:tr>
      <w:tr w:rsidR="00483EC9" w:rsidRPr="00483EC9" w:rsidTr="00483EC9">
        <w:trPr>
          <w:cantSplit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VACS, Towne, 1990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26</w:t>
            </w:r>
            <w:r w:rsidRPr="00483EC9">
              <w:rPr>
                <w:sz w:val="16"/>
                <w:szCs w:val="16"/>
              </w:rPr>
              <w:t xml:space="preserve"> Hobson, 1993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27</w:t>
            </w:r>
            <w:r w:rsidRPr="00483EC9">
              <w:rPr>
                <w:sz w:val="16"/>
                <w:szCs w:val="16"/>
              </w:rPr>
              <w:t xml:space="preserve"> </w:t>
            </w:r>
          </w:p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Hobson 1986</w:t>
            </w:r>
            <w:r w:rsidRPr="00483EC9">
              <w:rPr>
                <w:noProof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Good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EC9" w:rsidRPr="00483EC9" w:rsidRDefault="00483EC9" w:rsidP="00EC3D8F">
            <w:pPr>
              <w:pStyle w:val="TableText"/>
              <w:rPr>
                <w:sz w:val="16"/>
                <w:szCs w:val="16"/>
              </w:rPr>
            </w:pPr>
            <w:r w:rsidRPr="00483EC9">
              <w:rPr>
                <w:sz w:val="16"/>
                <w:szCs w:val="16"/>
              </w:rPr>
              <w:t>For perioperative morbidity, still no masking of initial outcome assessors; may introduce bias (some incentive to underreport harms for surgeons doing the procedure)</w:t>
            </w:r>
          </w:p>
        </w:tc>
      </w:tr>
    </w:tbl>
    <w:p w:rsidR="00483EC9" w:rsidRPr="0010715D" w:rsidRDefault="00483EC9" w:rsidP="00483EC9">
      <w:pPr>
        <w:pStyle w:val="TableNote"/>
        <w:spacing w:after="0"/>
        <w:rPr>
          <w:rFonts w:ascii="Arial" w:hAnsi="Arial" w:cs="Arial"/>
          <w:bCs w:val="0"/>
          <w:sz w:val="16"/>
          <w:szCs w:val="16"/>
        </w:rPr>
      </w:pPr>
      <w:r w:rsidRPr="0010715D">
        <w:rPr>
          <w:rFonts w:ascii="Arial" w:hAnsi="Arial" w:cs="Arial"/>
          <w:bCs w:val="0"/>
          <w:sz w:val="16"/>
          <w:szCs w:val="16"/>
        </w:rPr>
        <w:t xml:space="preserve">Good: Meets all criteria: </w:t>
      </w:r>
      <w:r>
        <w:rPr>
          <w:rFonts w:ascii="Arial" w:hAnsi="Arial" w:cs="Arial"/>
          <w:bCs w:val="0"/>
          <w:sz w:val="16"/>
          <w:szCs w:val="16"/>
        </w:rPr>
        <w:t>c</w:t>
      </w:r>
      <w:r w:rsidRPr="0010715D">
        <w:rPr>
          <w:rFonts w:ascii="Arial" w:hAnsi="Arial" w:cs="Arial"/>
          <w:bCs w:val="0"/>
          <w:sz w:val="16"/>
          <w:szCs w:val="16"/>
        </w:rPr>
        <w:t xml:space="preserve">omparable groups are assembled initially and maintained throughout the study (followup </w:t>
      </w:r>
      <w:r>
        <w:rPr>
          <w:rFonts w:ascii="Arial" w:hAnsi="Arial" w:cs="Arial"/>
          <w:bCs w:val="0"/>
          <w:sz w:val="16"/>
          <w:szCs w:val="16"/>
        </w:rPr>
        <w:t>≥</w:t>
      </w:r>
      <w:r w:rsidRPr="0010715D">
        <w:rPr>
          <w:rFonts w:ascii="Arial" w:hAnsi="Arial" w:cs="Arial"/>
          <w:bCs w:val="0"/>
          <w:sz w:val="16"/>
          <w:szCs w:val="16"/>
        </w:rPr>
        <w:t>80</w:t>
      </w:r>
      <w:r>
        <w:rPr>
          <w:rFonts w:ascii="Arial" w:hAnsi="Arial" w:cs="Arial"/>
          <w:bCs w:val="0"/>
          <w:sz w:val="16"/>
          <w:szCs w:val="16"/>
        </w:rPr>
        <w:t>%</w:t>
      </w:r>
      <w:r w:rsidRPr="0010715D">
        <w:rPr>
          <w:rFonts w:ascii="Arial" w:hAnsi="Arial" w:cs="Arial"/>
          <w:bCs w:val="0"/>
          <w:sz w:val="16"/>
          <w:szCs w:val="16"/>
        </w:rPr>
        <w:t>); reliable and valid measurement instruments are used and applied equally to the groups; interventions are spelled out clearly; all important outcomes are considered; and appropriate attention to confounders in analysis. In addition, for RCTs, intention to treat analysis is used.</w:t>
      </w:r>
    </w:p>
    <w:p w:rsidR="00483EC9" w:rsidRPr="0010715D" w:rsidRDefault="00483EC9" w:rsidP="00483EC9">
      <w:pPr>
        <w:pStyle w:val="TableNote"/>
        <w:spacing w:after="0"/>
        <w:rPr>
          <w:rFonts w:ascii="Arial" w:hAnsi="Arial" w:cs="Arial"/>
          <w:bCs w:val="0"/>
          <w:sz w:val="16"/>
          <w:szCs w:val="16"/>
        </w:rPr>
      </w:pPr>
      <w:r w:rsidRPr="0010715D">
        <w:rPr>
          <w:rFonts w:ascii="Arial" w:hAnsi="Arial" w:cs="Arial"/>
          <w:bCs w:val="0"/>
          <w:sz w:val="16"/>
          <w:szCs w:val="16"/>
        </w:rPr>
        <w:t xml:space="preserve">Fair: </w:t>
      </w:r>
      <w:r>
        <w:rPr>
          <w:rFonts w:ascii="Arial" w:hAnsi="Arial" w:cs="Arial"/>
          <w:bCs w:val="0"/>
          <w:sz w:val="16"/>
          <w:szCs w:val="16"/>
        </w:rPr>
        <w:t>A</w:t>
      </w:r>
      <w:r w:rsidRPr="0010715D">
        <w:rPr>
          <w:rFonts w:ascii="Arial" w:hAnsi="Arial" w:cs="Arial"/>
          <w:bCs w:val="0"/>
          <w:sz w:val="16"/>
          <w:szCs w:val="16"/>
        </w:rPr>
        <w:t xml:space="preserve">ny or all of the following problems occur, without the fatal flaws noted in the "poor" category: </w:t>
      </w:r>
      <w:r>
        <w:rPr>
          <w:rFonts w:ascii="Arial" w:hAnsi="Arial" w:cs="Arial"/>
          <w:bCs w:val="0"/>
          <w:sz w:val="16"/>
          <w:szCs w:val="16"/>
        </w:rPr>
        <w:t>g</w:t>
      </w:r>
      <w:r w:rsidRPr="0010715D">
        <w:rPr>
          <w:rFonts w:ascii="Arial" w:hAnsi="Arial" w:cs="Arial"/>
          <w:bCs w:val="0"/>
          <w:sz w:val="16"/>
          <w:szCs w:val="16"/>
        </w:rPr>
        <w:t>enerally comparable groups are assembled initially but some question remains whether some (although not major) differences occurred with followup; measurement instruments are acceptable (although not the best) and generally applied equally; some but not all important outcomes are considered; and some but not all potential confounders are accounted for. Intention to treat analysis is done for RCTs.</w:t>
      </w:r>
    </w:p>
    <w:p w:rsidR="00483EC9" w:rsidRPr="0010715D" w:rsidRDefault="00483EC9" w:rsidP="00483EC9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10715D">
        <w:rPr>
          <w:rFonts w:ascii="Arial" w:hAnsi="Arial" w:cs="Arial"/>
          <w:bCs w:val="0"/>
          <w:sz w:val="16"/>
          <w:szCs w:val="16"/>
        </w:rPr>
        <w:t xml:space="preserve">Poor: </w:t>
      </w:r>
      <w:r>
        <w:rPr>
          <w:rFonts w:ascii="Arial" w:hAnsi="Arial" w:cs="Arial"/>
          <w:bCs w:val="0"/>
          <w:sz w:val="16"/>
          <w:szCs w:val="16"/>
        </w:rPr>
        <w:t>A</w:t>
      </w:r>
      <w:r w:rsidRPr="0010715D">
        <w:rPr>
          <w:rFonts w:ascii="Arial" w:hAnsi="Arial" w:cs="Arial"/>
          <w:sz w:val="16"/>
          <w:szCs w:val="16"/>
        </w:rPr>
        <w:t xml:space="preserve">ny of the following fatal flaws exists: </w:t>
      </w:r>
      <w:r>
        <w:rPr>
          <w:rFonts w:ascii="Arial" w:hAnsi="Arial" w:cs="Arial"/>
          <w:sz w:val="16"/>
          <w:szCs w:val="16"/>
        </w:rPr>
        <w:t>g</w:t>
      </w:r>
      <w:r w:rsidRPr="0010715D">
        <w:rPr>
          <w:rFonts w:ascii="Arial" w:hAnsi="Arial" w:cs="Arial"/>
          <w:sz w:val="16"/>
          <w:szCs w:val="16"/>
        </w:rPr>
        <w:t>roups assembled initially are not close to being comparable or maintained throughout the study; unreliable or invalid measurement instruments are used or not applied at all equally among groups (including not masking outcome assessment); and key confounders are given little or no attention. For RCTs, intention to treat analysis is lacking.</w:t>
      </w:r>
    </w:p>
    <w:p w:rsidR="002B1C8A" w:rsidRDefault="002B1C8A"/>
    <w:p w:rsidR="00483EC9" w:rsidRPr="00483EC9" w:rsidRDefault="00483EC9">
      <w:pPr>
        <w:rPr>
          <w:rFonts w:ascii="Arial" w:hAnsi="Arial" w:cs="Arial"/>
          <w:sz w:val="16"/>
          <w:szCs w:val="16"/>
        </w:rPr>
      </w:pPr>
      <w:r w:rsidRPr="00483EC9">
        <w:rPr>
          <w:rFonts w:ascii="Arial" w:hAnsi="Arial" w:cs="Arial"/>
          <w:b/>
          <w:sz w:val="16"/>
          <w:szCs w:val="16"/>
        </w:rPr>
        <w:t>Abbreviation</w:t>
      </w:r>
      <w:r>
        <w:rPr>
          <w:rFonts w:ascii="Arial" w:hAnsi="Arial" w:cs="Arial"/>
          <w:b/>
          <w:sz w:val="16"/>
          <w:szCs w:val="16"/>
        </w:rPr>
        <w:t>s</w:t>
      </w:r>
      <w:r w:rsidRPr="00483EC9">
        <w:rPr>
          <w:rFonts w:ascii="Arial" w:hAnsi="Arial" w:cs="Arial"/>
          <w:b/>
          <w:sz w:val="16"/>
          <w:szCs w:val="16"/>
        </w:rPr>
        <w:t>:</w:t>
      </w:r>
      <w:r w:rsidRPr="00483EC9">
        <w:rPr>
          <w:rFonts w:ascii="Arial" w:hAnsi="Arial" w:cs="Arial"/>
          <w:sz w:val="16"/>
          <w:szCs w:val="16"/>
        </w:rPr>
        <w:t xml:space="preserve"> KQ = key question</w:t>
      </w:r>
      <w:r>
        <w:rPr>
          <w:rFonts w:ascii="Arial" w:hAnsi="Arial" w:cs="Arial"/>
          <w:sz w:val="16"/>
          <w:szCs w:val="16"/>
        </w:rPr>
        <w:t>; RCT = randomized, controlled trial</w:t>
      </w:r>
      <w:r w:rsidRPr="00483EC9">
        <w:rPr>
          <w:rFonts w:ascii="Arial" w:hAnsi="Arial" w:cs="Arial"/>
          <w:sz w:val="16"/>
          <w:szCs w:val="16"/>
        </w:rPr>
        <w:t>.</w:t>
      </w:r>
    </w:p>
    <w:sectPr w:rsidR="00483EC9" w:rsidRPr="00483EC9" w:rsidSect="00483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C9" w:rsidRDefault="00483EC9" w:rsidP="00483EC9">
      <w:r>
        <w:separator/>
      </w:r>
    </w:p>
  </w:endnote>
  <w:endnote w:type="continuationSeparator" w:id="0">
    <w:p w:rsidR="00483EC9" w:rsidRDefault="00483EC9" w:rsidP="0048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C5" w:rsidRDefault="006F3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2257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483EC9" w:rsidRPr="00483EC9" w:rsidRDefault="00483EC9" w:rsidP="00483EC9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 w:rsidRPr="00583FAA">
          <w:rPr>
            <w:rFonts w:ascii="Arial" w:hAnsi="Arial"/>
            <w:sz w:val="16"/>
            <w:szCs w:val="16"/>
          </w:rPr>
          <w:t xml:space="preserve">Screening for Carotid Artery Stenosis </w:t>
        </w:r>
        <w:r>
          <w:rPr>
            <w:rFonts w:ascii="Arial" w:hAnsi="Arial"/>
            <w:sz w:val="16"/>
            <w:szCs w:val="16"/>
          </w:rPr>
          <w:tab/>
        </w:r>
        <w:r w:rsidR="006F37C5">
          <w:rPr>
            <w:rFonts w:ascii="Arial" w:hAnsi="Arial"/>
            <w:sz w:val="16"/>
            <w:szCs w:val="16"/>
          </w:rPr>
          <w:t>103</w:t>
        </w:r>
        <w:bookmarkStart w:id="0" w:name="_GoBack"/>
        <w:bookmarkEnd w:id="0"/>
        <w:r>
          <w:rPr>
            <w:rFonts w:ascii="Arial" w:hAnsi="Arial"/>
            <w:bCs/>
            <w:sz w:val="16"/>
            <w:szCs w:val="16"/>
          </w:rPr>
          <w:tab/>
        </w:r>
        <w:r w:rsidRPr="00583FAA">
          <w:rPr>
            <w:rFonts w:ascii="Arial" w:hAnsi="Arial"/>
            <w:bCs/>
            <w:sz w:val="16"/>
            <w:szCs w:val="16"/>
          </w:rPr>
          <w:t>RTI International–University of North Carolina</w:t>
        </w:r>
        <w:r w:rsidRPr="00583FAA">
          <w:rPr>
            <w:rFonts w:ascii="Arial" w:hAnsi="Arial"/>
            <w:sz w:val="16"/>
            <w:szCs w:val="16"/>
          </w:rPr>
          <w:t xml:space="preserve"> EPC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C5" w:rsidRDefault="006F3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C9" w:rsidRDefault="00483EC9" w:rsidP="00483EC9">
      <w:r>
        <w:separator/>
      </w:r>
    </w:p>
  </w:footnote>
  <w:footnote w:type="continuationSeparator" w:id="0">
    <w:p w:rsidR="00483EC9" w:rsidRDefault="00483EC9" w:rsidP="0048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C5" w:rsidRDefault="006F3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C9" w:rsidRPr="00483EC9" w:rsidRDefault="00483EC9">
    <w:pPr>
      <w:pStyle w:val="Head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Appendix D </w:t>
    </w:r>
    <w:r w:rsidRPr="00483EC9">
      <w:rPr>
        <w:rFonts w:ascii="Arial" w:hAnsi="Arial"/>
        <w:b/>
        <w:sz w:val="20"/>
        <w:szCs w:val="20"/>
      </w:rPr>
      <w:t xml:space="preserve">Table 6. Quality Ratings </w:t>
    </w:r>
    <w:r>
      <w:rPr>
        <w:rFonts w:ascii="Arial" w:hAnsi="Arial"/>
        <w:b/>
        <w:sz w:val="20"/>
        <w:szCs w:val="20"/>
      </w:rPr>
      <w:t>f</w:t>
    </w:r>
    <w:r w:rsidRPr="00483EC9">
      <w:rPr>
        <w:rFonts w:ascii="Arial" w:hAnsi="Arial"/>
        <w:b/>
        <w:sz w:val="20"/>
        <w:szCs w:val="20"/>
      </w:rPr>
      <w:t>or Randomized</w:t>
    </w:r>
    <w:r>
      <w:rPr>
        <w:rFonts w:ascii="Arial" w:hAnsi="Arial"/>
        <w:b/>
        <w:sz w:val="20"/>
        <w:szCs w:val="20"/>
      </w:rPr>
      <w:t>,</w:t>
    </w:r>
    <w:r w:rsidRPr="00483EC9">
      <w:rPr>
        <w:rFonts w:ascii="Arial" w:hAnsi="Arial"/>
        <w:b/>
        <w:sz w:val="20"/>
        <w:szCs w:val="20"/>
      </w:rPr>
      <w:t xml:space="preserve"> Controlled Trials </w:t>
    </w:r>
    <w:r>
      <w:rPr>
        <w:rFonts w:ascii="Arial" w:hAnsi="Arial"/>
        <w:b/>
        <w:sz w:val="20"/>
        <w:szCs w:val="20"/>
      </w:rPr>
      <w:t>f</w:t>
    </w:r>
    <w:r w:rsidRPr="00483EC9">
      <w:rPr>
        <w:rFonts w:ascii="Arial" w:hAnsi="Arial"/>
        <w:b/>
        <w:sz w:val="20"/>
        <w:szCs w:val="20"/>
      </w:rPr>
      <w:t xml:space="preserve">or Harms </w:t>
    </w:r>
    <w:r>
      <w:rPr>
        <w:rFonts w:ascii="Arial" w:hAnsi="Arial"/>
        <w:b/>
        <w:sz w:val="20"/>
        <w:szCs w:val="20"/>
      </w:rPr>
      <w:t>o</w:t>
    </w:r>
    <w:r w:rsidRPr="00483EC9">
      <w:rPr>
        <w:rFonts w:ascii="Arial" w:hAnsi="Arial"/>
        <w:b/>
        <w:sz w:val="20"/>
        <w:szCs w:val="20"/>
      </w:rPr>
      <w:t>f Treatment (KQ 8)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C5" w:rsidRDefault="006F3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EC9"/>
    <w:rsid w:val="002A1795"/>
    <w:rsid w:val="002B1C8A"/>
    <w:rsid w:val="00412E71"/>
    <w:rsid w:val="00483EC9"/>
    <w:rsid w:val="006B6342"/>
    <w:rsid w:val="006F37C5"/>
    <w:rsid w:val="0082725C"/>
    <w:rsid w:val="0085747D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9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83EC9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3E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EC9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83EC9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483EC9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483EC9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Lisa Nicolella</cp:lastModifiedBy>
  <cp:revision>2</cp:revision>
  <dcterms:created xsi:type="dcterms:W3CDTF">2014-06-26T17:59:00Z</dcterms:created>
  <dcterms:modified xsi:type="dcterms:W3CDTF">2014-07-01T13:50:00Z</dcterms:modified>
</cp:coreProperties>
</file>