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170"/>
        <w:gridCol w:w="1144"/>
        <w:gridCol w:w="1736"/>
        <w:gridCol w:w="900"/>
        <w:gridCol w:w="1173"/>
        <w:gridCol w:w="1067"/>
        <w:gridCol w:w="1018"/>
      </w:tblGrid>
      <w:tr w:rsidR="000619EE" w:rsidRPr="00E93169" w:rsidTr="000619EE">
        <w:trPr>
          <w:cantSplit/>
          <w:tblHeader/>
        </w:trPr>
        <w:tc>
          <w:tcPr>
            <w:tcW w:w="1368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category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ind w:left="-108" w:right="-1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range (mean age)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ind w:left="-108"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Followup time (m)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ind w:left="-108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619EE" w:rsidRPr="00E93169" w:rsidRDefault="000619EE" w:rsidP="00061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 w:val="restart"/>
            <w:shd w:val="clear" w:color="auto" w:fill="auto"/>
          </w:tcPr>
          <w:p w:rsidR="000619EE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 behavioral therapy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619EE" w:rsidRPr="00547D47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Esposito-Smythers 2011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163,189</w:t>
            </w:r>
          </w:p>
        </w:tc>
        <w:tc>
          <w:tcPr>
            <w:tcW w:w="1144" w:type="dxa"/>
            <w:vMerge w:val="restart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13-17 (16)</w:t>
            </w:r>
          </w:p>
        </w:tc>
        <w:tc>
          <w:tcPr>
            <w:tcW w:w="1736" w:type="dxa"/>
            <w:shd w:val="clear" w:color="auto" w:fill="auto"/>
          </w:tcPr>
          <w:p w:rsidR="000619EE" w:rsidRPr="00547D47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% of participants with an ED visit</w:t>
            </w:r>
          </w:p>
        </w:tc>
        <w:tc>
          <w:tcPr>
            <w:tcW w:w="900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3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7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18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619EE" w:rsidRPr="00547D47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auto"/>
          </w:tcPr>
          <w:p w:rsidR="000619EE" w:rsidRPr="00547D47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% of participants with a psychiatric hospitalization</w:t>
            </w:r>
          </w:p>
        </w:tc>
        <w:tc>
          <w:tcPr>
            <w:tcW w:w="900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3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7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18" w:type="dxa"/>
            <w:shd w:val="clear" w:color="auto" w:fill="auto"/>
          </w:tcPr>
          <w:p w:rsidR="000619EE" w:rsidRPr="00547D47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7D47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Greenfield 2002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156</w:t>
            </w:r>
          </w:p>
        </w:tc>
        <w:tc>
          <w:tcPr>
            <w:tcW w:w="1144" w:type="dxa"/>
            <w:vMerge w:val="restart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(14)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participants with hospitalization related to suicidality since baseline</w:t>
            </w: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18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619EE" w:rsidRPr="00E93169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0619EE" w:rsidRPr="00E93169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18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619EE" w:rsidRPr="00E93169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(14)</w:t>
            </w:r>
          </w:p>
        </w:tc>
        <w:tc>
          <w:tcPr>
            <w:tcW w:w="1736" w:type="dxa"/>
            <w:shd w:val="clear" w:color="auto" w:fill="auto"/>
          </w:tcPr>
          <w:p w:rsidR="000619EE" w:rsidRPr="00E93169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participants with ED visit</w:t>
            </w:r>
          </w:p>
        </w:tc>
        <w:tc>
          <w:tcPr>
            <w:tcW w:w="900" w:type="dxa"/>
            <w:shd w:val="clear" w:color="auto" w:fill="auto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7" w:type="dxa"/>
            <w:shd w:val="clear" w:color="auto" w:fill="auto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8" w:type="dxa"/>
            <w:shd w:val="clear" w:color="auto" w:fill="auto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Developmental group therapy</w:t>
            </w:r>
          </w:p>
        </w:tc>
        <w:tc>
          <w:tcPr>
            <w:tcW w:w="1170" w:type="dxa"/>
            <w:shd w:val="clear" w:color="auto" w:fill="auto"/>
          </w:tcPr>
          <w:p w:rsidR="000619EE" w:rsidRPr="00E93169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2011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155,190</w:t>
            </w:r>
          </w:p>
        </w:tc>
        <w:tc>
          <w:tcPr>
            <w:tcW w:w="1144" w:type="dxa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(NR)</w:t>
            </w:r>
          </w:p>
        </w:tc>
        <w:tc>
          <w:tcPr>
            <w:tcW w:w="1736" w:type="dxa"/>
            <w:shd w:val="clear" w:color="auto" w:fill="auto"/>
          </w:tcPr>
          <w:p w:rsidR="000619EE" w:rsidRPr="00E93169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Inpatient psychiatric days, mean (SD)</w:t>
            </w: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 (42.0)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 (29.1)</w:t>
            </w:r>
          </w:p>
        </w:tc>
        <w:tc>
          <w:tcPr>
            <w:tcW w:w="1018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Pr="00E93169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Hazell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1144" w:type="dxa"/>
            <w:vMerge w:val="restart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12-16 (15)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participants with ≥1 psychiatric hospital admission</w:t>
            </w: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018" w:type="dxa"/>
            <w:shd w:val="clear" w:color="auto" w:fill="auto"/>
          </w:tcPr>
          <w:p w:rsidR="000619EE" w:rsidRPr="00D85D2B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D85D2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Pr="00E93169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619EE" w:rsidRPr="00E93169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0619EE" w:rsidRPr="00E93169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18" w:type="dxa"/>
            <w:shd w:val="clear" w:color="auto" w:fill="auto"/>
          </w:tcPr>
          <w:p w:rsidR="000619EE" w:rsidRPr="00D85D2B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D85D2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without direct therapeutic contact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King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144" w:type="dxa"/>
            <w:vMerge w:val="restart"/>
          </w:tcPr>
          <w:p w:rsidR="000619EE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13-17 (16)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0619EE" w:rsidRPr="00E93169" w:rsidRDefault="000619EE" w:rsidP="000619EE">
            <w:pPr>
              <w:ind w:right="-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participants with psychiatric hospitalization since the last followup period</w:t>
            </w: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8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8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8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0619EE" w:rsidRPr="00E93169" w:rsidTr="000619EE">
        <w:trPr>
          <w:cantSplit/>
        </w:trPr>
        <w:tc>
          <w:tcPr>
            <w:tcW w:w="1368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3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67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18" w:type="dxa"/>
            <w:shd w:val="clear" w:color="auto" w:fill="auto"/>
          </w:tcPr>
          <w:p w:rsidR="000619EE" w:rsidRPr="00E93169" w:rsidRDefault="000619EE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</w:tbl>
    <w:p w:rsidR="002B1C8A" w:rsidRPr="000619EE" w:rsidRDefault="000619EE">
      <w:pPr>
        <w:rPr>
          <w:rFonts w:ascii="Arial" w:hAnsi="Arial" w:cs="Arial"/>
          <w:sz w:val="16"/>
          <w:szCs w:val="16"/>
        </w:rPr>
      </w:pPr>
      <w:r w:rsidRPr="000619EE">
        <w:rPr>
          <w:rFonts w:ascii="Arial" w:hAnsi="Arial" w:cs="Arial"/>
          <w:b/>
          <w:sz w:val="16"/>
          <w:szCs w:val="16"/>
        </w:rPr>
        <w:t>Abbreviations:</w:t>
      </w:r>
      <w:r w:rsidRPr="000619EE">
        <w:rPr>
          <w:rFonts w:ascii="Arial" w:hAnsi="Arial" w:cs="Arial"/>
          <w:sz w:val="16"/>
          <w:szCs w:val="16"/>
        </w:rPr>
        <w:t xml:space="preserve"> NR</w:t>
      </w:r>
      <w:r>
        <w:rPr>
          <w:rFonts w:ascii="Arial" w:hAnsi="Arial" w:cs="Arial"/>
          <w:sz w:val="16"/>
          <w:szCs w:val="16"/>
        </w:rPr>
        <w:t xml:space="preserve"> =</w:t>
      </w:r>
      <w:r w:rsidRPr="000619EE">
        <w:rPr>
          <w:rFonts w:ascii="Arial" w:hAnsi="Arial" w:cs="Arial"/>
          <w:sz w:val="16"/>
          <w:szCs w:val="16"/>
        </w:rPr>
        <w:t xml:space="preserve"> not reported; NSD</w:t>
      </w:r>
      <w:r>
        <w:rPr>
          <w:rFonts w:ascii="Arial" w:hAnsi="Arial" w:cs="Arial"/>
          <w:sz w:val="16"/>
          <w:szCs w:val="16"/>
        </w:rPr>
        <w:t xml:space="preserve"> =</w:t>
      </w:r>
      <w:r w:rsidRPr="000619EE">
        <w:rPr>
          <w:rFonts w:ascii="Arial" w:hAnsi="Arial" w:cs="Arial"/>
          <w:sz w:val="16"/>
          <w:szCs w:val="16"/>
        </w:rPr>
        <w:t xml:space="preserve"> no significant difference; SD</w:t>
      </w:r>
      <w:r>
        <w:rPr>
          <w:rFonts w:ascii="Arial" w:hAnsi="Arial" w:cs="Arial"/>
          <w:sz w:val="16"/>
          <w:szCs w:val="16"/>
        </w:rPr>
        <w:t xml:space="preserve"> =</w:t>
      </w:r>
      <w:r w:rsidRPr="000619EE">
        <w:rPr>
          <w:rFonts w:ascii="Arial" w:hAnsi="Arial" w:cs="Arial"/>
          <w:sz w:val="16"/>
          <w:szCs w:val="16"/>
        </w:rPr>
        <w:t xml:space="preserve"> standard deviation</w:t>
      </w:r>
      <w:r>
        <w:rPr>
          <w:rFonts w:ascii="Arial" w:hAnsi="Arial" w:cs="Arial"/>
          <w:sz w:val="16"/>
          <w:szCs w:val="16"/>
        </w:rPr>
        <w:t>.</w:t>
      </w:r>
    </w:p>
    <w:sectPr w:rsidR="002B1C8A" w:rsidRPr="000619EE" w:rsidSect="000619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EE" w:rsidRDefault="000619EE" w:rsidP="000619EE">
      <w:r>
        <w:separator/>
      </w:r>
    </w:p>
  </w:endnote>
  <w:endnote w:type="continuationSeparator" w:id="0">
    <w:p w:rsidR="000619EE" w:rsidRDefault="000619EE" w:rsidP="0006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EE" w:rsidRDefault="000619EE">
    <w:pPr>
      <w:pStyle w:val="Footer"/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Pr="00454731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170</w:t>
    </w:r>
    <w:r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EE" w:rsidRDefault="000619EE" w:rsidP="000619EE">
      <w:r>
        <w:separator/>
      </w:r>
    </w:p>
  </w:footnote>
  <w:footnote w:type="continuationSeparator" w:id="0">
    <w:p w:rsidR="000619EE" w:rsidRDefault="000619EE" w:rsidP="0006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EE" w:rsidRPr="000619EE" w:rsidRDefault="000619EE">
    <w:pPr>
      <w:pStyle w:val="Header"/>
      <w:rPr>
        <w:rFonts w:ascii="Arial" w:hAnsi="Arial"/>
        <w:b/>
        <w:sz w:val="20"/>
        <w:szCs w:val="20"/>
      </w:rPr>
    </w:pPr>
    <w:r w:rsidRPr="000619EE">
      <w:rPr>
        <w:rFonts w:ascii="Arial" w:hAnsi="Arial"/>
        <w:b/>
        <w:sz w:val="20"/>
        <w:szCs w:val="20"/>
      </w:rPr>
      <w:t xml:space="preserve">Table 10. Other Health Outcomes: Hospitalization </w:t>
    </w:r>
    <w:r>
      <w:rPr>
        <w:rFonts w:ascii="Arial" w:hAnsi="Arial"/>
        <w:b/>
        <w:sz w:val="20"/>
        <w:szCs w:val="20"/>
      </w:rPr>
      <w:t>o</w:t>
    </w:r>
    <w:r w:rsidRPr="000619EE">
      <w:rPr>
        <w:rFonts w:ascii="Arial" w:hAnsi="Arial"/>
        <w:b/>
        <w:sz w:val="20"/>
        <w:szCs w:val="20"/>
      </w:rPr>
      <w:t>r Emergency Department Use</w:t>
    </w:r>
    <w:r>
      <w:rPr>
        <w:rFonts w:ascii="Arial" w:hAnsi="Arial"/>
        <w:b/>
        <w:sz w:val="20"/>
        <w:szCs w:val="20"/>
      </w:rPr>
      <w:t>,</w:t>
    </w:r>
    <w:r w:rsidRPr="000619EE">
      <w:rPr>
        <w:rFonts w:ascii="Arial" w:hAnsi="Arial"/>
        <w:b/>
        <w:sz w:val="20"/>
        <w:szCs w:val="20"/>
      </w:rPr>
      <w:t xml:space="preserve"> Adolescents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619EE"/>
    <w:rsid w:val="000619EE"/>
    <w:rsid w:val="002B1C8A"/>
    <w:rsid w:val="00607EF1"/>
    <w:rsid w:val="006B6342"/>
    <w:rsid w:val="0082725C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EE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619EE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19E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19EE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19E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DHHS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2013-04-11T17:56:00Z</dcterms:created>
  <dcterms:modified xsi:type="dcterms:W3CDTF">2013-04-11T18:00:00Z</dcterms:modified>
</cp:coreProperties>
</file>