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7F3A9A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proofErr w:type="spellStart"/>
      <w:r w:rsidRPr="00BD0191">
        <w:rPr>
          <w:rFonts w:ascii="Arial" w:eastAsia="Calibri" w:hAnsi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KQ1 Evidence Table (Reference ID #1179)</w:t>
      </w:r>
      <w:r w:rsidRPr="00BD0191">
        <w:rPr>
          <w:rFonts w:ascii="Arial" w:eastAsia="Calibri" w:hAnsi="Arial"/>
          <w:b/>
          <w:bCs/>
          <w:color w:val="000000"/>
          <w:sz w:val="20"/>
          <w:szCs w:val="24"/>
        </w:rPr>
        <w:t xml:space="preserve"> </w:t>
      </w:r>
    </w:p>
    <w:tbl>
      <w:tblPr>
        <w:tblStyle w:val="TableGrid2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44"/>
        <w:gridCol w:w="2354"/>
        <w:gridCol w:w="2440"/>
        <w:gridCol w:w="1919"/>
        <w:gridCol w:w="2472"/>
        <w:gridCol w:w="2061"/>
      </w:tblGrid>
      <w:tr w:rsidR="0068123F" w:rsidRPr="00BD0191" w:rsidTr="008C5F18">
        <w:trPr>
          <w:tblHeader/>
          <w:jc w:val="center"/>
        </w:trPr>
        <w:tc>
          <w:tcPr>
            <w:tcW w:w="200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43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52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198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553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2127" w:type="dxa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2005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Vargyas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et al., 1987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Academic medical center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RCT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(crossover)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ind w:left="216" w:hanging="216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Patients, clinicians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Meclofenamate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sodium (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meclomen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), 100 mg three times per day for two cycles followed by placebo for two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Placebo, three times per day for two cycles, followed by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meclomen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for two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Medication initiated after onset of menses and continued for 6 days or until end of menses whichever came first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Meclomen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first then placebo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Placebo first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thenmeclomen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ind w:left="216" w:hanging="216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Meclomen</w:t>
            </w:r>
            <w:proofErr w:type="spellEnd"/>
          </w:p>
          <w:p w:rsidR="0068123F" w:rsidRPr="00BD0191" w:rsidRDefault="0068123F" w:rsidP="008C5F18">
            <w:pPr>
              <w:ind w:left="216" w:hanging="216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Observation phase: 2 months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Treatment phase: 2 months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16 to 42 years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History of menorrhagia 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&gt;60 ml in one observation cycle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Negative pregnancy test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Anovulatory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cycles (proliferative endometrium)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Histological evidence of pathological changes in the endometrium (hyperplasia or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atypia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Extrauterine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Palpable leiomyoma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Known sensitivity to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fenamates</w:t>
            </w:r>
            <w:proofErr w:type="spellEnd"/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Anticoagulant therapy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Thyroid dysfunction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Hepatic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Renal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Abnormal cervical cytological findings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follow-up: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13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36.4 (19, 45)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35.3 (29, 43)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Race/ethnicity, 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White: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Black: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Weight, mean pounds (range):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149.3 (108, 213)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164.7 (120, 130)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Parity: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All but 4 patients had one or more living children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Contraception,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Intrauterine device: 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 (21)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Previous sterilization: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(18)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Barrier methods: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 2 (15)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Partners with vasectomies or not sexually active: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Dysmenorrhea,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Severe: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 (31)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Moderate: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 (50)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Dysmenorrheic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(18)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method, mean ml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141 (17.5)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141.8 (26.5)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 141.6 (15.9)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Number of bleeding days per cycle, mean (SE):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G1+G2: 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6.3 (0.41)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Hemoglobin, median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gm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/dl: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Hematocrit, median %: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39.4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Ferritin, median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ng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/ml: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method, during treatment and placebo cycles, mean ml (SE):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69.0 (6.34)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135.6 (11.3)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% change during treatment and placebo cycles from baseline, mean (SE):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-48.9 (3.7)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-9.2 (5.3)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vs. Gb: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Number of bleeding days per cycle, mean (SE):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4.8 (0.20)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5.4 (0.18)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p&lt;0.0003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Gb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vs. Gb: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p&lt;0.0003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Number of pads/tampons used, mean (SE):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15.5 (0.9)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27.6 (2.1)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Gb vs. BL: </w:t>
            </w:r>
            <w:r w:rsidRPr="00BD0191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vs. Gb: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Hemoglobin,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gm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/dl, median: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G1+G2: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12.8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G1+G2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Hematocrit, %, median: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38.9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G1+G2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Ferritin,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ng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/ml, median: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G1+G2 vs. BL: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ind w:left="216" w:hanging="216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 xml:space="preserve">Menstrual symptom severity assessed by patient </w:t>
            </w: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rating,</w:t>
            </w:r>
            <w:r w:rsidRPr="00BD0191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mean score per cycle: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Dysmenorrhea: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0.89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1.38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vs. Gb: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p&lt;0.006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Backache: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0.20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0.50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vs. Gb: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p&lt;0.02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Headache: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0.25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0.63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vs. Gb: </w:t>
            </w:r>
            <w:r w:rsidRPr="00BD0191">
              <w:rPr>
                <w:rFonts w:ascii="Arial" w:hAnsi="Arial" w:cs="Arial"/>
                <w:sz w:val="18"/>
                <w:szCs w:val="18"/>
              </w:rPr>
              <w:t>p&lt;0.002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Nausea: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0.13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0.17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vs. Gb: </w:t>
            </w:r>
            <w:r w:rsidRPr="00BD0191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Vomiting: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0.0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0.05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vs. Gb: </w:t>
            </w:r>
            <w:r w:rsidRPr="00BD0191">
              <w:rPr>
                <w:rFonts w:ascii="Arial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Adverse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events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Nausea/vomiting, 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Epigastric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distress, 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Good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68123F" w:rsidRPr="00BD0191" w:rsidRDefault="0068123F" w:rsidP="0068123F">
      <w:pPr>
        <w:spacing w:after="240"/>
        <w:rPr>
          <w:rFonts w:ascii="Arial" w:eastAsia="Calibri" w:hAnsi="Arial"/>
          <w:b/>
          <w:bCs/>
          <w:color w:val="000000"/>
          <w:sz w:val="20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</w:t>
      </w:r>
      <w:r w:rsidRPr="00BD0191">
        <w:rPr>
          <w:rFonts w:ascii="Times New Roman" w:hAnsi="Times New Roman"/>
          <w:bCs/>
          <w:sz w:val="18"/>
          <w:szCs w:val="24"/>
        </w:rPr>
        <w:t xml:space="preserve">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a</w:t>
      </w:r>
      <w:r w:rsidRPr="00BD0191">
        <w:rPr>
          <w:rFonts w:ascii="Times New Roman" w:hAnsi="Times New Roman"/>
          <w:bCs/>
          <w:sz w:val="18"/>
          <w:szCs w:val="24"/>
        </w:rPr>
        <w:t xml:space="preserve"> Patient rated on a daily basis from none=0 to severe=3;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b </w:t>
      </w:r>
      <w:r w:rsidRPr="00BD0191">
        <w:rPr>
          <w:rFonts w:ascii="Times New Roman" w:hAnsi="Times New Roman"/>
          <w:bCs/>
          <w:sz w:val="18"/>
          <w:szCs w:val="24"/>
        </w:rPr>
        <w:t xml:space="preserve">One patient discontinued the study because of gastric distress after one cycle of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Meclomen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>. Two patients discontinued after screening phase for personal reasons.</w:t>
      </w:r>
    </w:p>
    <w:p w:rsidR="0068123F" w:rsidRDefault="0068123F" w:rsidP="007F3A9A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7F3A9A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07"/>
          <w:cols w:space="720"/>
          <w:docGrid w:linePitch="360"/>
        </w:sectPr>
      </w:pPr>
      <w:bookmarkStart w:id="0" w:name="_GoBack"/>
      <w:bookmarkEnd w:id="0"/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C6" w:rsidRDefault="00B472C6">
      <w:r>
        <w:separator/>
      </w:r>
    </w:p>
  </w:endnote>
  <w:endnote w:type="continuationSeparator" w:id="0">
    <w:p w:rsidR="00B472C6" w:rsidRDefault="00B472C6">
      <w:r>
        <w:continuationSeparator/>
      </w:r>
    </w:p>
  </w:endnote>
  <w:endnote w:type="continuationNotice" w:id="1">
    <w:p w:rsidR="00B472C6" w:rsidRDefault="00B47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7F3A9A">
          <w:rPr>
            <w:noProof/>
          </w:rPr>
          <w:t>108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7F3A9A">
          <w:rPr>
            <w:noProof/>
          </w:rPr>
          <w:t>110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C6" w:rsidRDefault="00B472C6">
      <w:r>
        <w:separator/>
      </w:r>
    </w:p>
  </w:footnote>
  <w:footnote w:type="continuationSeparator" w:id="0">
    <w:p w:rsidR="00B472C6" w:rsidRDefault="00B472C6">
      <w:r>
        <w:continuationSeparator/>
      </w:r>
    </w:p>
  </w:footnote>
  <w:footnote w:type="continuationNotice" w:id="1">
    <w:p w:rsidR="00B472C6" w:rsidRDefault="00B472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7F3A9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2C6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F9FF-FE2E-4AE2-97CE-FF49A786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4017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4</cp:revision>
  <cp:lastPrinted>2013-01-17T16:38:00Z</cp:lastPrinted>
  <dcterms:created xsi:type="dcterms:W3CDTF">2013-03-13T17:19:00Z</dcterms:created>
  <dcterms:modified xsi:type="dcterms:W3CDTF">2013-04-16T08:18:00Z</dcterms:modified>
</cp:coreProperties>
</file>