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</w:pPr>
      <w:r w:rsidRPr="00E24239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33</w:t>
      </w:r>
      <w:r w:rsidRPr="00BD75EA">
        <w:rPr>
          <w:rFonts w:ascii="Arial" w:hAnsi="Arial" w:cs="Arial"/>
        </w:rPr>
        <w:t xml:space="preserve">. Patient </w:t>
      </w:r>
      <w:r>
        <w:rPr>
          <w:rFonts w:ascii="Arial" w:hAnsi="Arial" w:cs="Arial"/>
        </w:rPr>
        <w:t>c</w:t>
      </w:r>
      <w:r w:rsidRPr="00BD75EA">
        <w:rPr>
          <w:rFonts w:ascii="Arial" w:hAnsi="Arial" w:cs="Arial"/>
        </w:rPr>
        <w:t>haracteristics–chlorpromazine versus ziprasidone</w:t>
      </w:r>
      <w:r w:rsidRPr="00BD75EA"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  <w:tab/>
      </w:r>
    </w:p>
    <w:tbl>
      <w:tblPr>
        <w:tblW w:w="12881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0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Kane et al. 2006</w:t>
            </w:r>
            <w:r w:rsidRPr="00034DD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DSM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BD75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(n = 8)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Outpatient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(Pfizer)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yes (6 wks)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12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Men and Women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18yrs with chronic or subchronic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Sz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; Tx resistant; Haloperidol nonresponders; total score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45 on the BPRS; a score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4 on at least two PANSS core psychosis items (conceptual disorganization, hallucinatory behavior, delusions and suspiciousness); and a score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4 on the CGI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S scale.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Respond to haloperidol during run in phase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right" w:pos="230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34.40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8.20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ab/>
            </w:r>
          </w:p>
          <w:p w:rsidR="006F7B64" w:rsidRPr="00AC051F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Males (n(%)):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122/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154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(79.2%)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BL symptom scores: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BPRS (mean±SD): 50.54±NR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35.60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9.50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Males (n(%)):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103/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152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(67.8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50.47±NR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Chlorpromazine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1200mg/d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Ziprasidone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160mg/d</w:t>
            </w:r>
          </w:p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</w:tc>
      </w:tr>
    </w:tbl>
    <w:p w:rsidR="006F7B64" w:rsidRPr="00F64E37" w:rsidRDefault="006F7B64" w:rsidP="00F64E3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 = antipsychotic; BID</w:t>
      </w:r>
      <w:r w:rsidRPr="003C4153">
        <w:rPr>
          <w:rFonts w:ascii="Times New Roman" w:hAnsi="Times New Roman"/>
          <w:sz w:val="18"/>
          <w:szCs w:val="18"/>
        </w:rPr>
        <w:t>  = Twice daily</w:t>
      </w:r>
      <w:r>
        <w:rPr>
          <w:rFonts w:ascii="Times New Roman" w:hAnsi="Times New Roman"/>
          <w:sz w:val="18"/>
          <w:szCs w:val="18"/>
        </w:rPr>
        <w:t xml:space="preserve">; BL = baseline; BPRS = Brief Psychiatric Rating Scale; CGI = Clinical Global Impressions; d = day; DSM = Diagnostic and Statistical Manual of Mental Disorders; FGA = first-generation antipsychotic; mg = milligram; NA = not applicable; n = number; NR = not reported; </w:t>
      </w:r>
      <w:r w:rsidRPr="003C4153">
        <w:rPr>
          <w:rFonts w:ascii="Times New Roman" w:hAnsi="Times New Roman"/>
          <w:sz w:val="18"/>
          <w:szCs w:val="18"/>
        </w:rPr>
        <w:t>PANSS  = Positive and Negative Syndrome Scale;</w:t>
      </w:r>
      <w:r>
        <w:rPr>
          <w:rFonts w:ascii="Times New Roman" w:hAnsi="Times New Roman"/>
          <w:sz w:val="18"/>
          <w:szCs w:val="18"/>
        </w:rPr>
        <w:t xml:space="preserve"> pts = patients; 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Tx = treatment; wk = week; yr = year</w:t>
      </w:r>
    </w:p>
    <w:sectPr w:rsidR="006F7B64" w:rsidRPr="00F64E37" w:rsidSect="000E456A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B2" w:rsidRDefault="00B847B2">
      <w:r>
        <w:separator/>
      </w:r>
    </w:p>
  </w:endnote>
  <w:endnote w:type="continuationSeparator" w:id="0">
    <w:p w:rsidR="00B847B2" w:rsidRDefault="00B8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D74DB2">
          <w:rPr>
            <w:rFonts w:ascii="Times New Roman" w:hAnsi="Times New Roman"/>
            <w:sz w:val="24"/>
          </w:rPr>
          <w:t>9</w:t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B2" w:rsidRDefault="00B847B2">
      <w:r>
        <w:separator/>
      </w:r>
    </w:p>
  </w:footnote>
  <w:footnote w:type="continuationSeparator" w:id="0">
    <w:p w:rsidR="00B847B2" w:rsidRDefault="00B84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255D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18B6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C24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7B2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4DB2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4E37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4410-B939-4443-935E-4463CCFF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2012-08-30T08:12:00Z</dcterms:created>
  <dcterms:modified xsi:type="dcterms:W3CDTF">2012-08-30T08:40:00Z</dcterms:modified>
</cp:coreProperties>
</file>