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E1070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DE1070">
        <w:t>133.</w:t>
      </w:r>
      <w:proofErr w:type="gramEnd"/>
      <w:r w:rsidR="00DE1070">
        <w:t xml:space="preserve"> </w:t>
      </w:r>
      <w:r w:rsidRPr="00253718">
        <w:t>KQ3</w:t>
      </w:r>
      <w:r w:rsidR="00DE1070">
        <w:rPr>
          <w:rFonts w:cs="Arial"/>
        </w:rPr>
        <w:t>—</w:t>
      </w:r>
      <w:r w:rsidRPr="00E40AE6">
        <w:t>Dichotomous</w:t>
      </w:r>
      <w:r w:rsidR="00DE1070">
        <w:rPr>
          <w:rFonts w:cs="Arial"/>
        </w:rPr>
        <w:t>—</w:t>
      </w:r>
      <w:r w:rsidRPr="00E40AE6">
        <w:t>Gastrointestinal</w:t>
      </w:r>
      <w:r w:rsidR="00DA0955">
        <w:t xml:space="preserve"> </w:t>
      </w:r>
      <w:r w:rsidRPr="00E40AE6">
        <w:t>adverse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  <w:gridCol w:w="1074"/>
        <w:gridCol w:w="1003"/>
        <w:gridCol w:w="1423"/>
        <w:gridCol w:w="1352"/>
        <w:gridCol w:w="517"/>
        <w:gridCol w:w="690"/>
        <w:gridCol w:w="1039"/>
        <w:gridCol w:w="517"/>
        <w:gridCol w:w="690"/>
        <w:gridCol w:w="1203"/>
        <w:gridCol w:w="1135"/>
        <w:gridCol w:w="1286"/>
      </w:tblGrid>
      <w:tr w:rsidR="00980857" w:rsidRPr="00E40AE6" w:rsidTr="00DE1070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Davidson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D’Arcangues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 Low and/or Moderate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(80)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Treatment course was for 10 days. But followup went on for up to 1 year.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Garg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and/or pentoxiphylline (NR)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Medium-high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Roth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 (130)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Dehmer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1988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belching, dyspepsia flatulence in tx group vs. Dyspepsia in control group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(325)+ Dipyridamole (225) + Calcium channel blockers (NR)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Eritsland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Eritsland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 (300)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Maki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DE1070" w:rsidRDefault="00DE1070">
      <w:pPr>
        <w:spacing w:after="0"/>
        <w:ind w:firstLine="0"/>
      </w:pPr>
      <w:r>
        <w:br w:type="page"/>
      </w:r>
    </w:p>
    <w:p w:rsidR="00DE1070" w:rsidRPr="00E40AE6" w:rsidRDefault="00DE1070" w:rsidP="00DE1070">
      <w:pPr>
        <w:pStyle w:val="TableTitle"/>
      </w:pPr>
      <w:proofErr w:type="gramStart"/>
      <w:r>
        <w:rPr>
          <w:szCs w:val="20"/>
        </w:rPr>
        <w:lastRenderedPageBreak/>
        <w:t xml:space="preserve">Evidence </w:t>
      </w:r>
      <w:r w:rsidRPr="00253718">
        <w:t xml:space="preserve">Table </w:t>
      </w:r>
      <w:r>
        <w:t>133.</w:t>
      </w:r>
      <w:proofErr w:type="gramEnd"/>
      <w:r>
        <w:t xml:space="preserve"> </w:t>
      </w:r>
      <w:r w:rsidRPr="00253718">
        <w:t>KQ3</w:t>
      </w:r>
      <w:r>
        <w:rPr>
          <w:rFonts w:cs="Arial"/>
        </w:rPr>
        <w:t>—</w:t>
      </w:r>
      <w:r w:rsidRPr="00E40AE6">
        <w:t>Dichotomous</w:t>
      </w:r>
      <w:r>
        <w:rPr>
          <w:rFonts w:cs="Arial"/>
        </w:rPr>
        <w:t>—</w:t>
      </w:r>
      <w:r w:rsidRPr="00E40AE6">
        <w:t>Gastrointestinal</w:t>
      </w:r>
      <w:r>
        <w:t xml:space="preserve"> </w:t>
      </w:r>
      <w:r w:rsidRPr="00E40AE6">
        <w:t>adverse events</w:t>
      </w:r>
      <w:r>
        <w:t xml:space="preserve"> (continued)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"/>
        <w:gridCol w:w="1197"/>
        <w:gridCol w:w="1152"/>
        <w:gridCol w:w="919"/>
        <w:gridCol w:w="1446"/>
        <w:gridCol w:w="447"/>
        <w:gridCol w:w="738"/>
        <w:gridCol w:w="1072"/>
        <w:gridCol w:w="447"/>
        <w:gridCol w:w="738"/>
        <w:gridCol w:w="1324"/>
        <w:gridCol w:w="1186"/>
        <w:gridCol w:w="1448"/>
      </w:tblGrid>
      <w:tr w:rsidR="00DE1070" w:rsidRPr="00E40AE6" w:rsidTr="00DE1070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DE1070" w:rsidRPr="00E40AE6" w:rsidRDefault="00DE1070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DE1070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Wolf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(500)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DE1070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Mauro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(0.5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611EBD" w:rsidRDefault="00611EBD" w:rsidP="00611EBD">
      <w:pPr>
        <w:rPr>
          <w:rFonts w:ascii="Arial" w:hAnsi="Arial" w:cs="Arial"/>
          <w:sz w:val="18"/>
          <w:szCs w:val="18"/>
        </w:rPr>
      </w:pPr>
    </w:p>
    <w:sectPr w:rsidR="00611EBD" w:rsidSect="00611EBD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1EB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16E4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318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2012-05-25T15:36:00Z</dcterms:modified>
</cp:coreProperties>
</file>