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60A63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D60A63">
        <w:t xml:space="preserve"> 115.</w:t>
      </w:r>
      <w:proofErr w:type="gramEnd"/>
      <w:r w:rsidRPr="00253718">
        <w:t xml:space="preserve"> KQ3</w:t>
      </w:r>
      <w:r w:rsidR="00D60A63">
        <w:rPr>
          <w:rFonts w:cs="Arial"/>
        </w:rPr>
        <w:t>—</w:t>
      </w:r>
      <w:r w:rsidR="00D60A63">
        <w:t>D</w:t>
      </w:r>
      <w:r w:rsidRPr="00E40AE6">
        <w:t>ichotomous</w:t>
      </w:r>
      <w:r w:rsidR="00D60A63">
        <w:rPr>
          <w:rFonts w:cs="Arial"/>
        </w:rPr>
        <w:t>—</w:t>
      </w:r>
      <w:r w:rsidRPr="00E40AE6">
        <w:t>Alanine transaminase (ALT) (</w:t>
      </w:r>
      <w:r>
        <w:t>r</w:t>
      </w:r>
      <w:r w:rsidRPr="00E40AE6">
        <w:t>aised)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A0"/>
      </w:tblPr>
      <w:tblGrid>
        <w:gridCol w:w="1028"/>
        <w:gridCol w:w="1028"/>
        <w:gridCol w:w="1817"/>
        <w:gridCol w:w="1754"/>
        <w:gridCol w:w="1391"/>
        <w:gridCol w:w="485"/>
        <w:gridCol w:w="665"/>
        <w:gridCol w:w="1054"/>
        <w:gridCol w:w="549"/>
        <w:gridCol w:w="665"/>
        <w:gridCol w:w="1211"/>
        <w:gridCol w:w="1536"/>
        <w:gridCol w:w="1333"/>
      </w:tblGrid>
      <w:tr w:rsidR="00980857" w:rsidRPr="00E40AE6" w:rsidTr="00BD03FC">
        <w:trPr>
          <w:cantSplit/>
          <w:tblHeader/>
        </w:trPr>
        <w:tc>
          <w:tcPr>
            <w:tcW w:w="354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354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626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604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47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167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22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363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18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22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417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52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459" w:type="pct"/>
            <w:shd w:val="pct10" w:color="D9D9D9" w:fill="D9D9D9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Bays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(10-40)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Young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&gt; 3 times the upper level of normal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Mod and high risk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(10-40)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Exclusion criteria included: alanine aminotransferase or aspartate aminotransferase &gt; 3 times the upper level of normal and results state: "Liver... function, </w:t>
            </w: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…[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>was] not altered with either regime." Thus, counts of 0 and 0 were added for each arm</w:t>
            </w:r>
          </w:p>
        </w:tc>
        <w:tc>
          <w:tcPr>
            <w:tcW w:w="45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Davidson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mild elevation of ALT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  <w:tc>
          <w:tcPr>
            <w:tcW w:w="45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Davidson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ALT &gt;3.0 x ULN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Study reports: no cases of clinically significant increases in hepatic transaminase levels (&gt;3.0 x ULN) in either group.</w:t>
            </w:r>
          </w:p>
        </w:tc>
        <w:tc>
          <w:tcPr>
            <w:tcW w:w="45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BD03FC" w:rsidRDefault="00BD03FC">
      <w:pPr>
        <w:spacing w:after="0"/>
        <w:ind w:firstLine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A0"/>
      </w:tblPr>
      <w:tblGrid>
        <w:gridCol w:w="1027"/>
        <w:gridCol w:w="1027"/>
        <w:gridCol w:w="1817"/>
        <w:gridCol w:w="1754"/>
        <w:gridCol w:w="1391"/>
        <w:gridCol w:w="485"/>
        <w:gridCol w:w="665"/>
        <w:gridCol w:w="1054"/>
        <w:gridCol w:w="549"/>
        <w:gridCol w:w="665"/>
        <w:gridCol w:w="1211"/>
        <w:gridCol w:w="1536"/>
        <w:gridCol w:w="1335"/>
      </w:tblGrid>
      <w:tr w:rsidR="00BD03FC" w:rsidRPr="00E40AE6" w:rsidTr="00BD03FC">
        <w:trPr>
          <w:cantSplit/>
          <w:tblHeader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D9D9D9" w:fill="FFFFFF" w:themeFill="background1"/>
            <w:vAlign w:val="center"/>
          </w:tcPr>
          <w:p w:rsidR="00BD03FC" w:rsidRPr="00BD03FC" w:rsidRDefault="00BD03FC" w:rsidP="00BD03FC">
            <w:pPr>
              <w:pStyle w:val="TableTitle"/>
            </w:pPr>
            <w:r>
              <w:rPr>
                <w:szCs w:val="20"/>
              </w:rPr>
              <w:lastRenderedPageBreak/>
              <w:t xml:space="preserve">Evidence </w:t>
            </w:r>
            <w:r w:rsidRPr="00253718">
              <w:t>Table</w:t>
            </w:r>
            <w:r>
              <w:t xml:space="preserve"> 115.</w:t>
            </w:r>
            <w:r w:rsidRPr="00253718">
              <w:t xml:space="preserve"> KQ3</w:t>
            </w:r>
            <w:r>
              <w:rPr>
                <w:rFonts w:cs="Arial"/>
              </w:rPr>
              <w:t>—</w:t>
            </w:r>
            <w:r>
              <w:t>D</w:t>
            </w:r>
            <w:r w:rsidRPr="00E40AE6">
              <w:t>ichotomous</w:t>
            </w:r>
            <w:r>
              <w:rPr>
                <w:rFonts w:cs="Arial"/>
              </w:rPr>
              <w:t>—</w:t>
            </w:r>
            <w:r w:rsidRPr="00E40AE6">
              <w:t>Alanine transaminase (ALT) (</w:t>
            </w:r>
            <w:r>
              <w:t>r</w:t>
            </w:r>
            <w:r w:rsidRPr="00E40AE6">
              <w:t>aised)</w:t>
            </w:r>
            <w:r>
              <w:t xml:space="preserve"> (continued)</w:t>
            </w:r>
          </w:p>
        </w:tc>
      </w:tr>
      <w:tr w:rsidR="00BD03FC" w:rsidRPr="00E40AE6" w:rsidTr="00BD03FC">
        <w:trPr>
          <w:cantSplit/>
          <w:tblHeader/>
        </w:trPr>
        <w:tc>
          <w:tcPr>
            <w:tcW w:w="354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354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626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604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479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167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229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363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189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229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417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529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460" w:type="pct"/>
            <w:shd w:val="pct10" w:color="D9D9D9" w:fill="D9D9D9"/>
            <w:vAlign w:val="center"/>
          </w:tcPr>
          <w:p w:rsidR="00BD03FC" w:rsidRPr="00E40AE6" w:rsidRDefault="00BD03FC" w:rsidP="00ED0CC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Duffy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 Mod and high risk.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(10-40)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Napoli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Pravastatin (20-40)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“..</w:t>
            </w: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 xml:space="preserve"> differences in routine laboratory tests or adverse events were registered during the study (data not shown); in particular there were no differences between the values recorded in each individual after treatment compared to baseline values, and no differences between the treatment groups.”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Chan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2002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moderate/moderately high risk for CHD (2+ risk factors)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Liu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tested for liver function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(10)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Playford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Fenofibrate (200)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Gosai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reference range males: 0-46 U/L; females: 0-36 U/L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Rosuvastatin (40)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 Spirito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Balestrieri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 to high risk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(10-40)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Paolissa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Nifedipine (88)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Watson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66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ACE inhibitors (no description), furosemide, digoxin, also hydralazine and/or nitrates (NR)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BD03FC">
        <w:trPr>
          <w:cantSplit/>
        </w:trPr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Kim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35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26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604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Ticlopidine (250 –single dose)</w:t>
            </w:r>
          </w:p>
        </w:tc>
        <w:tc>
          <w:tcPr>
            <w:tcW w:w="47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16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18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29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60" w:type="pct"/>
            <w:vAlign w:val="center"/>
          </w:tcPr>
          <w:p w:rsidR="00980857" w:rsidRPr="00E40AE6" w:rsidRDefault="00980857" w:rsidP="00D60A63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1C44D5" w:rsidRDefault="001C44D5" w:rsidP="001C44D5">
      <w:pPr>
        <w:rPr>
          <w:rFonts w:ascii="Arial" w:hAnsi="Arial" w:cs="Arial"/>
          <w:sz w:val="18"/>
          <w:szCs w:val="18"/>
        </w:rPr>
      </w:pPr>
    </w:p>
    <w:sectPr w:rsidR="001C44D5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4D5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37D85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514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2012-05-25T14:52:00Z</dcterms:modified>
</cp:coreProperties>
</file>