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Pr="00D13AB4" w:rsidRDefault="00A5680A" w:rsidP="005E1063">
      <w:pPr>
        <w:pStyle w:val="CERTableTitle"/>
      </w:pPr>
      <w:bookmarkStart w:id="0" w:name="_Toc273086686"/>
      <w:bookmarkStart w:id="1" w:name="_Toc301338778"/>
      <w:bookmarkStart w:id="2" w:name="_GoBack"/>
      <w:bookmarkEnd w:id="2"/>
      <w:proofErr w:type="gramStart"/>
      <w:r>
        <w:t>Table 7</w:t>
      </w:r>
      <w:r w:rsidRPr="00D13AB4">
        <w:t>.</w:t>
      </w:r>
      <w:proofErr w:type="gramEnd"/>
      <w:r w:rsidRPr="00D13AB4">
        <w:t xml:space="preserve"> </w:t>
      </w:r>
      <w:r>
        <w:t xml:space="preserve">Procedural characteristics of randomized controlled trials evaluating </w:t>
      </w:r>
      <w:proofErr w:type="spellStart"/>
      <w:r>
        <w:t>patinets</w:t>
      </w:r>
      <w:proofErr w:type="spellEnd"/>
      <w:r>
        <w:t xml:space="preserve"> who had major orthopedic surgery.</w:t>
      </w:r>
      <w:bookmarkEnd w:id="1"/>
      <w:r>
        <w:t xml:space="preserve"> </w:t>
      </w:r>
    </w:p>
    <w:tbl>
      <w:tblPr>
        <w:tblW w:w="13176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51"/>
        <w:gridCol w:w="657"/>
        <w:gridCol w:w="927"/>
        <w:gridCol w:w="1116"/>
        <w:gridCol w:w="1350"/>
        <w:gridCol w:w="1404"/>
        <w:gridCol w:w="1296"/>
        <w:gridCol w:w="1647"/>
        <w:gridCol w:w="1008"/>
      </w:tblGrid>
      <w:tr w:rsidR="00A5680A" w:rsidRPr="00B513C1">
        <w:trPr>
          <w:cantSplit/>
          <w:tblHeader/>
        </w:trPr>
        <w:tc>
          <w:tcPr>
            <w:tcW w:w="1620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 xml:space="preserve">Study, </w:t>
            </w:r>
          </w:p>
          <w:p w:rsidR="00A5680A" w:rsidRPr="0028015C" w:rsidRDefault="00A5680A" w:rsidP="005E1063">
            <w:pPr>
              <w:pStyle w:val="CERTableColumnHeading9pt"/>
            </w:pPr>
            <w:r w:rsidRPr="0028015C">
              <w:t>Year</w:t>
            </w:r>
          </w:p>
        </w:tc>
        <w:tc>
          <w:tcPr>
            <w:tcW w:w="2151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>Group</w:t>
            </w:r>
          </w:p>
        </w:tc>
        <w:tc>
          <w:tcPr>
            <w:tcW w:w="657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>N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>Primary surgery %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 xml:space="preserve">Cemented fixation </w:t>
            </w:r>
          </w:p>
          <w:p w:rsidR="00A5680A" w:rsidRPr="0028015C" w:rsidRDefault="00A5680A" w:rsidP="005E1063">
            <w:pPr>
              <w:pStyle w:val="CERTableColumnHeading9pt"/>
            </w:pPr>
            <w:r w:rsidRPr="0028015C">
              <w:t>%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>Surgical approach %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 xml:space="preserve">Mean duration of surgery </w:t>
            </w:r>
          </w:p>
          <w:p w:rsidR="00A5680A" w:rsidRPr="0028015C" w:rsidRDefault="00A5680A" w:rsidP="005E1063">
            <w:pPr>
              <w:pStyle w:val="CERTableColumnHeading9pt"/>
            </w:pPr>
            <w:r w:rsidRPr="0028015C">
              <w:t>min (SD)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>Mean duration of anesthesia</w:t>
            </w:r>
          </w:p>
          <w:p w:rsidR="00A5680A" w:rsidRPr="0028015C" w:rsidRDefault="00A5680A" w:rsidP="005E1063">
            <w:pPr>
              <w:pStyle w:val="CERTableColumnHeading9pt"/>
            </w:pPr>
            <w:r w:rsidRPr="0028015C">
              <w:t>min (SD)</w:t>
            </w: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 xml:space="preserve">Anesthesia </w:t>
            </w:r>
          </w:p>
          <w:p w:rsidR="00A5680A" w:rsidRPr="0028015C" w:rsidRDefault="00A5680A" w:rsidP="005E1063">
            <w:pPr>
              <w:pStyle w:val="CERTableColumnHeading9pt"/>
            </w:pPr>
            <w:r w:rsidRPr="0028015C">
              <w:t>%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A5680A" w:rsidRPr="0028015C" w:rsidRDefault="00A5680A" w:rsidP="005E1063">
            <w:pPr>
              <w:pStyle w:val="CERTableColumnHeading9pt"/>
            </w:pPr>
            <w:r w:rsidRPr="0028015C">
              <w:t>Mean LOS, d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>
              <w:t>Yokote</w:t>
            </w:r>
            <w:proofErr w:type="spellEnd"/>
            <w:r>
              <w:t>, 2011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84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AL: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Enoxaparin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83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AL: 100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 xml:space="preserve">GA: 100 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2C0D2F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83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AL: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2C0D2F"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Fuji, 2010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Dabigatran</w:t>
            </w:r>
            <w:proofErr w:type="spellEnd"/>
            <w:r>
              <w:t xml:space="preserve"> 150mg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126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109.2 (44.2)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GA: 77.0</w:t>
            </w:r>
            <w:r>
              <w:br/>
              <w:t>Non-GA: 23.0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</w:p>
        </w:tc>
      </w:tr>
      <w:tr w:rsidR="00A5680A" w:rsidRPr="00B513C1" w:rsidTr="005E1063">
        <w:trPr>
          <w:cantSplit/>
          <w:trHeight w:val="495"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Dabigatran</w:t>
            </w:r>
            <w:proofErr w:type="spellEnd"/>
            <w:r>
              <w:t xml:space="preserve"> 220mg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129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108.9 (44.2)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GA: 74.4</w:t>
            </w:r>
            <w:r>
              <w:br/>
              <w:t>Non-GA: 25.6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124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108.8 (46.9)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GA: 74.2</w:t>
            </w:r>
            <w:r>
              <w:br/>
              <w:t>Non-GA: 25.8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Chin, 2009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110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93.0 (55-155)</w:t>
            </w:r>
            <w:r>
              <w:t>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58.18</w:t>
            </w:r>
            <w:r>
              <w:t xml:space="preserve">  </w:t>
            </w:r>
            <w:r>
              <w:br/>
            </w:r>
            <w:r w:rsidRPr="003F5306">
              <w:t>RA: 41.82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8.1 </w:t>
            </w:r>
            <w:r>
              <w:br/>
            </w:r>
            <w:r w:rsidRPr="003F5306">
              <w:t>(4-19)</w:t>
            </w:r>
            <w:r>
              <w:t>*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Control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110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94.2 (45-195)</w:t>
            </w:r>
            <w:r>
              <w:t>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57.27</w:t>
            </w:r>
            <w:r>
              <w:br/>
            </w:r>
            <w:r w:rsidRPr="003F5306">
              <w:t>RA: 42.73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7.9 </w:t>
            </w:r>
            <w:r>
              <w:br/>
            </w:r>
            <w:r w:rsidRPr="003F5306">
              <w:t>(4-24)</w:t>
            </w:r>
            <w:r>
              <w:t>*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Ginsberg, 2009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Dabigatran</w:t>
            </w:r>
            <w:proofErr w:type="spellEnd"/>
            <w:r>
              <w:t xml:space="preserve"> 150mg QD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871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DD556A" w:rsidRDefault="00A5680A" w:rsidP="005E1063">
            <w:pPr>
              <w:pStyle w:val="CERTableText9pt"/>
            </w:pPr>
            <w:r w:rsidRPr="00DD556A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91 (30)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B513C1" w:rsidRDefault="00A5680A" w:rsidP="005E1063">
            <w:pPr>
              <w:pStyle w:val="CERTableText9pt"/>
            </w:pPr>
            <w:r>
              <w:t xml:space="preserve">GA: 54.0   </w:t>
            </w:r>
            <w:r>
              <w:br/>
            </w:r>
            <w:r w:rsidRPr="00B513C1">
              <w:t>RA</w:t>
            </w:r>
            <w:r>
              <w:t>: 45.8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Dabigatran</w:t>
            </w:r>
            <w:proofErr w:type="spellEnd"/>
            <w:r>
              <w:t xml:space="preserve"> 220mg QD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857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DD556A" w:rsidRDefault="00A5680A" w:rsidP="005E1063">
            <w:pPr>
              <w:pStyle w:val="CERTableText9pt"/>
            </w:pPr>
            <w:r w:rsidRPr="00DD556A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91 (28)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B513C1" w:rsidRDefault="00A5680A" w:rsidP="005E1063">
            <w:pPr>
              <w:pStyle w:val="CERTableText9pt"/>
            </w:pPr>
            <w:r>
              <w:t xml:space="preserve">GA: 52.9  </w:t>
            </w:r>
            <w:r>
              <w:br/>
            </w:r>
            <w:r w:rsidRPr="00B513C1">
              <w:t>RA</w:t>
            </w:r>
            <w:r>
              <w:t>: 46.3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868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DD556A" w:rsidRDefault="00A5680A" w:rsidP="005E1063">
            <w:pPr>
              <w:pStyle w:val="CERTableText9pt"/>
            </w:pPr>
            <w:r w:rsidRPr="00DD556A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90 (28)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9F145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B513C1" w:rsidRDefault="00A5680A" w:rsidP="005E1063">
            <w:pPr>
              <w:pStyle w:val="CERTableText9pt"/>
            </w:pPr>
            <w:r>
              <w:t xml:space="preserve">GA: 51.7   </w:t>
            </w:r>
            <w:r>
              <w:br/>
            </w:r>
            <w:r w:rsidRPr="00B513C1">
              <w:t>RA</w:t>
            </w:r>
            <w:r>
              <w:t>: 47.5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Edwards, 2008 THA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 + IPC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3.0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59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3.13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Edwards, 2008 TKA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 + IPC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3.1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3.3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Fuji, 2008 THA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 40mg QD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80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43.8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123.6 (39)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16.3</w:t>
            </w:r>
            <w:r>
              <w:t xml:space="preserve">   </w:t>
            </w:r>
            <w:r w:rsidRPr="003F5306">
              <w:t>RA: 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 20mg BID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46.7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123 (39.6)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21.1</w:t>
            </w:r>
            <w:r>
              <w:t xml:space="preserve">   </w:t>
            </w:r>
            <w:r w:rsidRPr="003F5306">
              <w:t>RA: 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86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40.7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129 (46.8)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16.3</w:t>
            </w:r>
            <w:r>
              <w:t xml:space="preserve">   </w:t>
            </w:r>
            <w:r w:rsidRPr="003F5306">
              <w:t>RA: 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Fuji, 2008 TKA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 40mg QD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74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77.0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132 (46.8)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18.9</w:t>
            </w:r>
            <w:r>
              <w:t xml:space="preserve">   </w:t>
            </w:r>
            <w:r w:rsidRPr="003F5306">
              <w:t>RA: 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 20mg BID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84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84.5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127.2 (37.2)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21.4</w:t>
            </w:r>
            <w:r>
              <w:t xml:space="preserve">   </w:t>
            </w:r>
            <w:r w:rsidRPr="003F5306">
              <w:t>RA: 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78.5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126.6 (39)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12.7</w:t>
            </w:r>
            <w:r>
              <w:t xml:space="preserve">   </w:t>
            </w:r>
            <w:r w:rsidRPr="003F5306">
              <w:t>RA: 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</w:tcPr>
          <w:p w:rsidR="00A5680A" w:rsidRPr="00FD504D" w:rsidRDefault="00A5680A" w:rsidP="005E1063">
            <w:pPr>
              <w:pStyle w:val="CERTableText9pt"/>
            </w:pPr>
            <w:proofErr w:type="spellStart"/>
            <w:r w:rsidRPr="00FD504D">
              <w:t>Thorey</w:t>
            </w:r>
            <w:proofErr w:type="spellEnd"/>
            <w:r w:rsidRPr="00FD504D">
              <w:t>, 2008</w:t>
            </w:r>
          </w:p>
        </w:tc>
        <w:tc>
          <w:tcPr>
            <w:tcW w:w="2151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Early release tourniquet</w:t>
            </w:r>
          </w:p>
        </w:tc>
        <w:tc>
          <w:tcPr>
            <w:tcW w:w="657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20</w:t>
            </w:r>
          </w:p>
        </w:tc>
        <w:tc>
          <w:tcPr>
            <w:tcW w:w="927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58 (18)</w:t>
            </w:r>
          </w:p>
        </w:tc>
        <w:tc>
          <w:tcPr>
            <w:tcW w:w="1296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Late release tourniquet</w:t>
            </w:r>
          </w:p>
        </w:tc>
        <w:tc>
          <w:tcPr>
            <w:tcW w:w="657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20</w:t>
            </w:r>
          </w:p>
        </w:tc>
        <w:tc>
          <w:tcPr>
            <w:tcW w:w="927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51 (17)</w:t>
            </w:r>
          </w:p>
        </w:tc>
        <w:tc>
          <w:tcPr>
            <w:tcW w:w="1296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Eriksson, 2007a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Dabigatran</w:t>
            </w:r>
            <w:proofErr w:type="spellEnd"/>
            <w:r>
              <w:br/>
              <w:t>150mg QD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703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DD556A" w:rsidRDefault="00A5680A" w:rsidP="005E1063">
            <w:pPr>
              <w:pStyle w:val="CERTableText9pt"/>
            </w:pPr>
            <w:r w:rsidRPr="00DD556A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91 (30)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GA: 24</w:t>
            </w:r>
            <w:r>
              <w:t xml:space="preserve">      </w:t>
            </w:r>
            <w:r w:rsidRPr="009F1455">
              <w:t>RA: 47</w:t>
            </w:r>
            <w:r>
              <w:br/>
              <w:t>GA+RA</w:t>
            </w:r>
            <w:r w:rsidRPr="009F1455">
              <w:t>: 29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Dabigatran</w:t>
            </w:r>
            <w:proofErr w:type="spellEnd"/>
            <w:r>
              <w:br/>
              <w:t>220mg QD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679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DD556A" w:rsidRDefault="00A5680A" w:rsidP="005E1063">
            <w:pPr>
              <w:pStyle w:val="CERTableText9pt"/>
            </w:pPr>
            <w:r w:rsidRPr="00DD556A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91 (28)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GA: 22</w:t>
            </w:r>
            <w:r>
              <w:t xml:space="preserve">      </w:t>
            </w:r>
            <w:r w:rsidRPr="009F1455">
              <w:t>RA: 49</w:t>
            </w:r>
            <w:r>
              <w:br/>
              <w:t>GA+RA</w:t>
            </w:r>
            <w:r w:rsidRPr="009F1455">
              <w:t>: 29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694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DD556A" w:rsidRDefault="00A5680A" w:rsidP="005E1063">
            <w:pPr>
              <w:pStyle w:val="CERTableText9pt"/>
            </w:pPr>
            <w:r w:rsidRPr="00DD556A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90 (28)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9F145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GA: 22</w:t>
            </w:r>
            <w:r>
              <w:t xml:space="preserve">      </w:t>
            </w:r>
            <w:r w:rsidRPr="009F1455">
              <w:t>RA: 48</w:t>
            </w:r>
            <w:r>
              <w:br/>
              <w:t>GA+RA</w:t>
            </w:r>
            <w:r w:rsidRPr="009F1455">
              <w:t>: 30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Eriksson, 2007</w:t>
            </w:r>
            <w:r>
              <w:t>b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Dabigatran</w:t>
            </w:r>
            <w:proofErr w:type="spellEnd"/>
            <w:r>
              <w:br/>
            </w:r>
            <w:r w:rsidRPr="00297065">
              <w:t>150mg QD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1163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85 (29)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24</w:t>
            </w:r>
            <w:r>
              <w:t xml:space="preserve">     </w:t>
            </w:r>
            <w:r w:rsidRPr="00297065">
              <w:t>RA: 66</w:t>
            </w:r>
            <w:r>
              <w:br/>
            </w:r>
            <w:r w:rsidRPr="00297065">
              <w:t>GA+RA: 10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 xml:space="preserve">9 </w:t>
            </w:r>
            <w:r>
              <w:br/>
            </w:r>
            <w:r w:rsidRPr="00297065">
              <w:t>(7-12)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Dabigatran</w:t>
            </w:r>
            <w:proofErr w:type="spellEnd"/>
            <w:r>
              <w:br/>
            </w:r>
            <w:r w:rsidRPr="00297065">
              <w:t>220mg QD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1146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85 (29)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26</w:t>
            </w:r>
            <w:r>
              <w:t xml:space="preserve">      </w:t>
            </w:r>
            <w:r w:rsidRPr="00297065">
              <w:t>RA: 66</w:t>
            </w:r>
            <w:r>
              <w:br/>
            </w:r>
            <w:r w:rsidRPr="00297065">
              <w:t>GA+RA: 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 xml:space="preserve">9 </w:t>
            </w:r>
            <w:r>
              <w:br/>
            </w:r>
            <w:r w:rsidRPr="00297065">
              <w:t>(7-12)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1154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87 (29)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24</w:t>
            </w:r>
            <w:r>
              <w:t xml:space="preserve">      </w:t>
            </w:r>
            <w:r w:rsidRPr="00297065">
              <w:t>RA: 68</w:t>
            </w:r>
            <w:r>
              <w:br/>
            </w:r>
            <w:r w:rsidRPr="00297065">
              <w:t>GA+RA: 8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 xml:space="preserve">9 </w:t>
            </w:r>
            <w:r>
              <w:br/>
            </w:r>
            <w:r w:rsidRPr="00297065">
              <w:t>(7-12)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Lassen, 2007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152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96 (42-199.8)</w:t>
            </w:r>
            <w:r>
              <w:t>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3F5306">
              <w:t>GA: 30.2</w:t>
            </w:r>
            <w:r>
              <w:t xml:space="preserve">   </w:t>
            </w:r>
          </w:p>
          <w:p w:rsidR="00A5680A" w:rsidRPr="003F5306" w:rsidRDefault="00A5680A" w:rsidP="005E1063">
            <w:pPr>
              <w:pStyle w:val="CERTableText9pt"/>
            </w:pPr>
            <w:r w:rsidRPr="003F5306">
              <w:t>RA: 54.4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6 </w:t>
            </w:r>
            <w:r>
              <w:br/>
            </w:r>
            <w:r w:rsidRPr="003F5306">
              <w:t>(2-24)</w:t>
            </w:r>
            <w:r>
              <w:t>*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Warfarin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153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96.6 </w:t>
            </w:r>
            <w:r>
              <w:br/>
            </w:r>
            <w:r w:rsidRPr="003F5306">
              <w:t>(40.2- 250.2)</w:t>
            </w:r>
            <w:r>
              <w:t>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3F5306">
              <w:t>GA: 35.8</w:t>
            </w:r>
            <w:r>
              <w:t xml:space="preserve">   </w:t>
            </w:r>
          </w:p>
          <w:p w:rsidR="00A5680A" w:rsidRPr="003F5306" w:rsidRDefault="00A5680A" w:rsidP="005E1063">
            <w:pPr>
              <w:pStyle w:val="CERTableText9pt"/>
            </w:pPr>
            <w:r w:rsidRPr="003F5306">
              <w:t>RA: 50.3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6 </w:t>
            </w:r>
            <w:r>
              <w:br/>
            </w:r>
            <w:r w:rsidRPr="003F5306">
              <w:t>(3-38)</w:t>
            </w:r>
            <w:r>
              <w:t>*</w:t>
            </w:r>
          </w:p>
        </w:tc>
      </w:tr>
      <w:tr w:rsidR="00A5680A" w:rsidRPr="001275B7">
        <w:trPr>
          <w:cantSplit/>
          <w:trHeight w:val="161"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Bonneux</w:t>
            </w:r>
            <w:proofErr w:type="spellEnd"/>
            <w:r w:rsidRPr="00297065">
              <w:t>, 2006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Fondaparinux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96.36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GA+RA:100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54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92.59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GA+RA:100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Senaran</w:t>
            </w:r>
            <w:proofErr w:type="spellEnd"/>
            <w:r w:rsidRPr="00297065">
              <w:t>,</w:t>
            </w:r>
            <w:r>
              <w:t xml:space="preserve"> </w:t>
            </w:r>
            <w:r w:rsidRPr="00297065">
              <w:t>2006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Heparin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proofErr w:type="spellStart"/>
            <w:r w:rsidRPr="00FD504D">
              <w:t>Westrich</w:t>
            </w:r>
            <w:proofErr w:type="spellEnd"/>
            <w:r w:rsidRPr="00FD504D">
              <w:t>, 2006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 xml:space="preserve">Minimum </w:t>
            </w:r>
            <w:proofErr w:type="spellStart"/>
            <w:r w:rsidRPr="00FD504D">
              <w:t>hyperflexed</w:t>
            </w:r>
            <w:proofErr w:type="spellEnd"/>
            <w:r w:rsidRPr="00FD504D">
              <w:t xml:space="preserve"> knee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55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 xml:space="preserve">Standard </w:t>
            </w:r>
            <w:proofErr w:type="spellStart"/>
            <w:r w:rsidRPr="00FD504D">
              <w:t>hyperflexed</w:t>
            </w:r>
            <w:proofErr w:type="spellEnd"/>
            <w:r w:rsidRPr="00FD504D">
              <w:t xml:space="preserve"> knee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63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Eriksson, 2005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Dabigatran</w:t>
            </w:r>
            <w:proofErr w:type="spellEnd"/>
            <w:r>
              <w:t xml:space="preserve"> </w:t>
            </w:r>
            <w:r w:rsidRPr="00297065">
              <w:t>50mg BID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389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84 (30-234)</w:t>
            </w:r>
            <w:r>
              <w:t>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26.3</w:t>
            </w:r>
            <w:r>
              <w:t xml:space="preserve">   </w:t>
            </w:r>
            <w:r w:rsidRPr="00297065">
              <w:t>RA:73.7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Dabigatran</w:t>
            </w:r>
            <w:proofErr w:type="spellEnd"/>
            <w:r>
              <w:t xml:space="preserve"> </w:t>
            </w:r>
            <w:r w:rsidRPr="00297065">
              <w:t>150mg BID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390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90 (30-324)</w:t>
            </w:r>
            <w:r>
              <w:t>*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 27.3</w:t>
            </w:r>
            <w:r>
              <w:t xml:space="preserve">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72.7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Dabigatran</w:t>
            </w:r>
            <w:proofErr w:type="spellEnd"/>
            <w:r>
              <w:t xml:space="preserve"> </w:t>
            </w:r>
            <w:r w:rsidRPr="00297065">
              <w:t>300mg QD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385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84 (30-234)</w:t>
            </w:r>
            <w:r>
              <w:t>*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 25.8</w:t>
            </w:r>
            <w:r>
              <w:t xml:space="preserve">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74.2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Dabigatran</w:t>
            </w:r>
            <w:proofErr w:type="spellEnd"/>
            <w:r>
              <w:t xml:space="preserve"> </w:t>
            </w:r>
            <w:r w:rsidRPr="00297065">
              <w:t>225mg BID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393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84 (30-216)</w:t>
            </w:r>
            <w:r>
              <w:t>*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 27.5</w:t>
            </w:r>
            <w:r>
              <w:t xml:space="preserve">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72.5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392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90 (24-276)</w:t>
            </w:r>
            <w:r>
              <w:t>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 27.9</w:t>
            </w:r>
            <w:r>
              <w:t xml:space="preserve">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72.1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proofErr w:type="spellStart"/>
            <w:r w:rsidRPr="00FD504D">
              <w:t>Farag</w:t>
            </w:r>
            <w:proofErr w:type="spellEnd"/>
            <w:r w:rsidRPr="00FD504D">
              <w:t>, 2005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Epidural Anesthesia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Spinal Anesthesia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22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Lachiewicz</w:t>
            </w:r>
            <w:proofErr w:type="spellEnd"/>
            <w:r>
              <w:t>, 2004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IPC (</w:t>
            </w:r>
            <w:proofErr w:type="spellStart"/>
            <w:r>
              <w:t>Venaflow</w:t>
            </w:r>
            <w:proofErr w:type="spellEnd"/>
            <w:r>
              <w:t>)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206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DD556A" w:rsidRDefault="00A5680A" w:rsidP="005E1063">
            <w:pPr>
              <w:pStyle w:val="CERTableText9pt"/>
            </w:pPr>
            <w:r>
              <w:t>86.89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B513C1" w:rsidRDefault="00A5680A" w:rsidP="005E1063">
            <w:pPr>
              <w:pStyle w:val="CERTableText9pt"/>
            </w:pPr>
            <w:r>
              <w:t xml:space="preserve">GA:  14.56 </w:t>
            </w:r>
            <w:r>
              <w:br/>
            </w:r>
            <w:r w:rsidRPr="00B513C1">
              <w:t>RA</w:t>
            </w:r>
            <w:r>
              <w:t>: 84.95</w:t>
            </w:r>
            <w:r>
              <w:br/>
              <w:t>GA+RA: 0.49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IPC (Kendal)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217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DD556A" w:rsidRDefault="00A5680A" w:rsidP="005E1063">
            <w:pPr>
              <w:pStyle w:val="CERTableText9pt"/>
            </w:pPr>
            <w:r>
              <w:t>82.95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9F145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B513C1" w:rsidRDefault="00A5680A" w:rsidP="005E1063">
            <w:pPr>
              <w:pStyle w:val="CERTableText9pt"/>
            </w:pPr>
            <w:r>
              <w:t>GA: 11.98</w:t>
            </w:r>
            <w:r>
              <w:br/>
            </w:r>
            <w:r w:rsidRPr="00B513C1">
              <w:t>RA</w:t>
            </w:r>
            <w:r>
              <w:t>: 87.56</w:t>
            </w:r>
            <w:r>
              <w:br/>
              <w:t>GA+RA: 0.46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Silbersack</w:t>
            </w:r>
            <w:proofErr w:type="spellEnd"/>
            <w:r>
              <w:t>, 2004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Enoxaparin + IPC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68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DD556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42.65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>
              <w:t>89 (55-177)*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133 </w:t>
            </w:r>
          </w:p>
          <w:p w:rsidR="00A5680A" w:rsidRPr="009F1455" w:rsidRDefault="00A5680A" w:rsidP="005E1063">
            <w:pPr>
              <w:pStyle w:val="CERTableText9pt"/>
            </w:pPr>
            <w:r>
              <w:t>(80-195)*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 w:rsidRPr="009F1455">
              <w:t>GA:</w:t>
            </w:r>
            <w:r>
              <w:t xml:space="preserve"> 27.94 </w:t>
            </w:r>
            <w:r>
              <w:br/>
            </w:r>
            <w:r w:rsidRPr="009F1455">
              <w:t xml:space="preserve">RA: </w:t>
            </w:r>
            <w:r>
              <w:t>72.06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Enoxaparin + GCS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63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DD556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46.03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9F1455" w:rsidRDefault="00A5680A" w:rsidP="005E1063">
            <w:pPr>
              <w:pStyle w:val="CERTableText9pt"/>
            </w:pPr>
            <w:r>
              <w:t>93 (46-159)*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137 </w:t>
            </w:r>
          </w:p>
          <w:p w:rsidR="00A5680A" w:rsidRPr="009F1455" w:rsidRDefault="00A5680A" w:rsidP="005E1063">
            <w:pPr>
              <w:pStyle w:val="CERTableText9pt"/>
            </w:pPr>
            <w:r>
              <w:t>(70-210)*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9F1455" w:rsidRDefault="00A5680A" w:rsidP="005E1063">
            <w:pPr>
              <w:pStyle w:val="CERTableText9pt"/>
            </w:pPr>
            <w:r>
              <w:t>GA: 26.98</w:t>
            </w:r>
            <w:r>
              <w:br/>
            </w:r>
            <w:r w:rsidRPr="009F1455">
              <w:t xml:space="preserve">RA: </w:t>
            </w:r>
            <w:r>
              <w:t>73.02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Eriksson, 2003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 xml:space="preserve">Extended </w:t>
            </w:r>
            <w:proofErr w:type="spellStart"/>
            <w:r>
              <w:t>fondaparinux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327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23.9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99 (27-335)*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31.2   </w:t>
            </w:r>
          </w:p>
          <w:p w:rsidR="00A5680A" w:rsidRPr="00B513C1" w:rsidRDefault="00A5680A" w:rsidP="005E1063">
            <w:pPr>
              <w:pStyle w:val="CERTableText9pt"/>
            </w:pPr>
            <w:r>
              <w:t>RA: 67.6</w:t>
            </w:r>
            <w:r>
              <w:br/>
              <w:t>GA+RA: 1.2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65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329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25.2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>95 (27-255)*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31.0   </w:t>
            </w:r>
          </w:p>
          <w:p w:rsidR="00A5680A" w:rsidRPr="00B513C1" w:rsidRDefault="00A5680A" w:rsidP="005E1063">
            <w:pPr>
              <w:pStyle w:val="CERTableText9pt"/>
            </w:pPr>
            <w:r>
              <w:t>RA: 67.5</w:t>
            </w:r>
            <w:r>
              <w:br/>
              <w:t>GA+RA: 1.5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Kim, 2003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Cemented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51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50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Non-cemented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51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Lassen,</w:t>
            </w:r>
            <w:r>
              <w:t xml:space="preserve"> </w:t>
            </w:r>
            <w:r w:rsidRPr="00297065">
              <w:t>2002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Fondaparinux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1140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89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60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138 (48)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35</w:t>
            </w:r>
            <w:r>
              <w:t xml:space="preserve">      </w:t>
            </w:r>
            <w:r w:rsidRPr="00297065">
              <w:t>RA: 61</w:t>
            </w:r>
            <w:r>
              <w:br/>
            </w:r>
            <w:r w:rsidRPr="00297065">
              <w:t>GA+RA: 5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1133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87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60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144 (52.2)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38</w:t>
            </w:r>
            <w:r>
              <w:t xml:space="preserve">      </w:t>
            </w:r>
            <w:r w:rsidRPr="00297065">
              <w:t>RA: 57</w:t>
            </w:r>
            <w:r>
              <w:br/>
            </w:r>
            <w:r w:rsidRPr="00297065">
              <w:t>GA+RA: 4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proofErr w:type="spellStart"/>
            <w:r w:rsidRPr="00FD504D">
              <w:t>Pitto</w:t>
            </w:r>
            <w:proofErr w:type="spellEnd"/>
            <w:r w:rsidRPr="00FD504D">
              <w:t>, 2002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Bone vacuum cement technique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65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DL: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75 (8)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11.5 (2)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Standard cement technique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65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DL: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71 (11)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12 (2.5)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proofErr w:type="spellStart"/>
            <w:r>
              <w:t>Prandoni</w:t>
            </w:r>
            <w:proofErr w:type="spellEnd"/>
            <w:r>
              <w:t>, 2002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Extended warfarin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184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9F1455" w:rsidRDefault="00A5680A" w:rsidP="005E1063">
            <w:pPr>
              <w:pStyle w:val="CERTableText9pt"/>
            </w:pPr>
            <w:r>
              <w:t>GA: 97.0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 xml:space="preserve">9 </w:t>
            </w:r>
            <w:r>
              <w:br/>
              <w:t>(5-18)*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176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9F1455" w:rsidRDefault="00A5680A" w:rsidP="005E1063">
            <w:pPr>
              <w:pStyle w:val="CERTableText9pt"/>
            </w:pPr>
            <w:r>
              <w:t>GA: 97.2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8015C" w:rsidRDefault="00A5680A" w:rsidP="005E1063">
            <w:pPr>
              <w:pStyle w:val="CERTableText9pt"/>
            </w:pPr>
            <w:r>
              <w:t xml:space="preserve">9 </w:t>
            </w:r>
            <w:r>
              <w:br/>
              <w:t>(4-20)*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lastRenderedPageBreak/>
              <w:t>Turpie</w:t>
            </w:r>
            <w:proofErr w:type="spellEnd"/>
            <w:r w:rsidRPr="00297065">
              <w:t>,</w:t>
            </w:r>
            <w:r>
              <w:t xml:space="preserve"> </w:t>
            </w:r>
            <w:r w:rsidRPr="00297065">
              <w:t>2002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Fondaparinux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1128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84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51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148.8 (57)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70</w:t>
            </w:r>
            <w:r>
              <w:t xml:space="preserve">      </w:t>
            </w:r>
            <w:r w:rsidRPr="00297065">
              <w:t>RA: 26</w:t>
            </w:r>
            <w:r>
              <w:br/>
            </w:r>
            <w:r w:rsidRPr="00297065">
              <w:t>GA+RA: 4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 w:rsidTr="005E1063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1129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87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53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147 (57)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72</w:t>
            </w:r>
            <w:r>
              <w:t xml:space="preserve">      </w:t>
            </w:r>
            <w:r w:rsidRPr="00297065">
              <w:t>RA: 23</w:t>
            </w:r>
            <w:r>
              <w:br/>
            </w:r>
            <w:r w:rsidRPr="00297065">
              <w:t>GA+RA: 5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Warwick,</w:t>
            </w:r>
            <w:r>
              <w:t xml:space="preserve"> </w:t>
            </w:r>
            <w:r w:rsidRPr="00297065">
              <w:t>2002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RA: 83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VFP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RA: 86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Barden, 2001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Modified position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84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AL: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Conventional figure four positioning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76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AL: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Bauer,</w:t>
            </w:r>
            <w:r>
              <w:t xml:space="preserve"> </w:t>
            </w:r>
            <w:r w:rsidRPr="00297065">
              <w:t>2001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Fondaparinux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517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92.5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93.2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127 (39)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 74.7</w:t>
            </w:r>
            <w:r>
              <w:t xml:space="preserve">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24.4</w:t>
            </w:r>
            <w:r>
              <w:br/>
            </w:r>
            <w:r w:rsidRPr="00297065">
              <w:t>GA+RA: 1.0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517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92.6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93.6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128 (42)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GA:71.4</w:t>
            </w:r>
            <w:r>
              <w:t xml:space="preserve"> 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27.5</w:t>
            </w:r>
            <w:r>
              <w:br/>
            </w:r>
            <w:r w:rsidRPr="00297065">
              <w:t>GA+ RA: 1.2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Comp, 2001 THR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Extended 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224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78.6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75.0  </w:t>
            </w:r>
          </w:p>
          <w:p w:rsidR="00A5680A" w:rsidRPr="007A3FD3" w:rsidRDefault="00A5680A" w:rsidP="005E1063">
            <w:pPr>
              <w:pStyle w:val="CERTableText9pt"/>
            </w:pPr>
            <w:r>
              <w:t>RA: 25.0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211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78.2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69.7  </w:t>
            </w:r>
          </w:p>
          <w:p w:rsidR="00A5680A" w:rsidRPr="007A3FD3" w:rsidRDefault="00A5680A" w:rsidP="005E1063">
            <w:pPr>
              <w:pStyle w:val="CERTableText9pt"/>
            </w:pPr>
            <w:r>
              <w:t>RA: 30.3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Comp, 2001 TKR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Extended 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217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72.4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67.7  </w:t>
            </w:r>
          </w:p>
          <w:p w:rsidR="00A5680A" w:rsidRPr="007A3FD3" w:rsidRDefault="00A5680A" w:rsidP="005E1063">
            <w:pPr>
              <w:pStyle w:val="CERTableText9pt"/>
            </w:pPr>
            <w:r>
              <w:t>RA: 32.3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221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76.0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67.9  </w:t>
            </w:r>
          </w:p>
          <w:p w:rsidR="00A5680A" w:rsidRPr="007A3FD3" w:rsidRDefault="00A5680A" w:rsidP="005E1063">
            <w:pPr>
              <w:pStyle w:val="CERTableText9pt"/>
            </w:pPr>
            <w:r>
              <w:t>RA: 32.1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Eriksson,</w:t>
            </w:r>
            <w:r>
              <w:t xml:space="preserve"> </w:t>
            </w:r>
            <w:r w:rsidRPr="00297065">
              <w:t>2001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Fondaparinux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831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21.2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101 (39)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GA:31.5</w:t>
            </w:r>
            <w:r>
              <w:t xml:space="preserve">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66.7</w:t>
            </w:r>
            <w:r>
              <w:br/>
            </w:r>
            <w:r w:rsidRPr="00297065">
              <w:t>GA+RA: 1.8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842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21.8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104 (44)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GA:32.8</w:t>
            </w:r>
            <w:r>
              <w:t xml:space="preserve">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65.2</w:t>
            </w:r>
            <w:r>
              <w:br/>
            </w:r>
            <w:r w:rsidRPr="00297065">
              <w:t>GA+RA: 2.0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Fitzgerald,</w:t>
            </w:r>
            <w:r>
              <w:t xml:space="preserve"> </w:t>
            </w:r>
            <w:r w:rsidRPr="00297065">
              <w:t>2001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Warfarin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176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92.0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121.2 (55.8)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 61.9</w:t>
            </w:r>
            <w:r>
              <w:t xml:space="preserve">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38.1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173</w:t>
            </w:r>
          </w:p>
        </w:tc>
        <w:tc>
          <w:tcPr>
            <w:tcW w:w="927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91.3</w:t>
            </w:r>
          </w:p>
        </w:tc>
        <w:tc>
          <w:tcPr>
            <w:tcW w:w="1350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119.4 (44.4)</w:t>
            </w:r>
          </w:p>
        </w:tc>
        <w:tc>
          <w:tcPr>
            <w:tcW w:w="1296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 64.7</w:t>
            </w:r>
            <w:r>
              <w:t xml:space="preserve">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35.3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lastRenderedPageBreak/>
              <w:t>Hull,</w:t>
            </w:r>
            <w:r>
              <w:t xml:space="preserve"> </w:t>
            </w:r>
            <w:r w:rsidRPr="00297065">
              <w:t>2000</w:t>
            </w:r>
          </w:p>
        </w:tc>
        <w:tc>
          <w:tcPr>
            <w:tcW w:w="2151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Dalteparin</w:t>
            </w:r>
            <w:proofErr w:type="spellEnd"/>
            <w:r>
              <w:br/>
              <w:t>(preoperative)</w:t>
            </w:r>
          </w:p>
        </w:tc>
        <w:tc>
          <w:tcPr>
            <w:tcW w:w="657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496</w:t>
            </w:r>
          </w:p>
        </w:tc>
        <w:tc>
          <w:tcPr>
            <w:tcW w:w="927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81.85</w:t>
            </w:r>
          </w:p>
        </w:tc>
        <w:tc>
          <w:tcPr>
            <w:tcW w:w="1116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22.58</w:t>
            </w:r>
          </w:p>
        </w:tc>
        <w:tc>
          <w:tcPr>
            <w:tcW w:w="1350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Dalteparin</w:t>
            </w:r>
            <w:proofErr w:type="spellEnd"/>
            <w:r>
              <w:br/>
              <w:t>(postoperative)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487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81.52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25.05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Warfarin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489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85.89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22.49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Kennedy,</w:t>
            </w:r>
            <w:r>
              <w:t xml:space="preserve"> </w:t>
            </w:r>
            <w:r w:rsidRPr="00297065">
              <w:t>2000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Aspirin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73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64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 45.21</w:t>
            </w:r>
            <w:r>
              <w:br/>
            </w:r>
            <w:r w:rsidRPr="00297065">
              <w:t>RA: 54.79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VFP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70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59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297065">
              <w:t>GA: 60</w:t>
            </w:r>
            <w:r>
              <w:t xml:space="preserve">    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RA: 41.43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 xml:space="preserve">Colwell, 1999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1516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Warfarin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1495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Levy, 1999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Fibrin adhesive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29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No fibrin adhesive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29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Planes, 1999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248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89 (44)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161 (56)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>
              <w:t>Tinzaparin</w:t>
            </w:r>
            <w:proofErr w:type="spellEnd"/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251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87 (39)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159 (61)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TIFDED Study Group, 1999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66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69 (33)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  <w:r w:rsidRPr="00297065">
              <w:t xml:space="preserve"> 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66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70 (26)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  <w:r w:rsidRPr="00297065">
              <w:t xml:space="preserve"> 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proofErr w:type="spellStart"/>
            <w:r w:rsidRPr="00FD504D">
              <w:t>Wakankar</w:t>
            </w:r>
            <w:proofErr w:type="spellEnd"/>
            <w:r w:rsidRPr="00FD504D">
              <w:t>, 1999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Tourniquet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37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No tourniquet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40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Kim, 1998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Aspirin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50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Modified Gibson</w:t>
            </w:r>
            <w:r w:rsidRPr="003F5306">
              <w:t>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Control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50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0                      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Modified Gibson</w:t>
            </w:r>
            <w:r w:rsidRPr="003F5306">
              <w:t>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Lassen, 1998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 xml:space="preserve">Extended </w:t>
            </w: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140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88.2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61.43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PL: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110 (55-280)*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GA: 37.14</w:t>
            </w:r>
            <w:r>
              <w:br/>
              <w:t>RA: 62.86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141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67.38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PL: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105 (50-275)*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GA: 38.30</w:t>
            </w:r>
            <w:r>
              <w:br/>
              <w:t>RA: 61.70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1275B7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Ra</w:t>
            </w:r>
            <w:r w:rsidRPr="00297065">
              <w:t>der, 1998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Heparin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116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THA L: 100</w:t>
            </w:r>
            <w:r>
              <w:br/>
            </w:r>
            <w:r w:rsidRPr="00297065">
              <w:t>TKA AM: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THA: 72(14)</w:t>
            </w:r>
            <w:r w:rsidRPr="00297065">
              <w:br/>
              <w:t>TKA: 86(18)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GA:45.69</w:t>
            </w:r>
            <w:r>
              <w:br/>
            </w:r>
            <w:r w:rsidRPr="00297065">
              <w:t>RA:54.31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16.4</w:t>
            </w:r>
          </w:p>
          <w:p w:rsidR="00A5680A" w:rsidRPr="00297065" w:rsidRDefault="00A5680A" w:rsidP="005E1063">
            <w:pPr>
              <w:pStyle w:val="CERTableText9pt"/>
            </w:pPr>
            <w:r w:rsidRPr="00297065">
              <w:t>(13-21)</w:t>
            </w:r>
            <w:r>
              <w:t>*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130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THA L:100</w:t>
            </w:r>
            <w:r>
              <w:br/>
            </w:r>
            <w:r w:rsidRPr="00297065">
              <w:t>TKA AM: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THA:74(17)</w:t>
            </w:r>
            <w:r w:rsidRPr="00297065">
              <w:br/>
              <w:t>TKA: 88(15)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GA:40.77</w:t>
            </w:r>
            <w:r>
              <w:br/>
            </w:r>
            <w:r w:rsidRPr="00297065">
              <w:t>RA:59.23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Ryan, 1998</w:t>
            </w:r>
          </w:p>
        </w:tc>
        <w:tc>
          <w:tcPr>
            <w:tcW w:w="2151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 xml:space="preserve">IPC 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50</w:t>
            </w: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RA: 100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 xml:space="preserve">GCS </w:t>
            </w:r>
          </w:p>
        </w:tc>
        <w:tc>
          <w:tcPr>
            <w:tcW w:w="657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50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RA: 100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Warwick,</w:t>
            </w:r>
            <w:r>
              <w:t xml:space="preserve"> </w:t>
            </w:r>
            <w:r w:rsidRPr="00297065">
              <w:t>1998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143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64.34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P: 61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RA: 87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VFP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147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66.67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P: 56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RA: 84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Andersen, 1997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 xml:space="preserve">Extended </w:t>
            </w: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20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35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99 (60-140)*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149 </w:t>
            </w:r>
          </w:p>
          <w:p w:rsidR="00A5680A" w:rsidRPr="007A3FD3" w:rsidRDefault="00A5680A" w:rsidP="005E1063">
            <w:pPr>
              <w:pStyle w:val="CERTableText9pt"/>
            </w:pPr>
            <w:r>
              <w:t>(120-180)*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top w:val="nil"/>
            </w:tcBorders>
          </w:tcPr>
          <w:p w:rsidR="00A5680A" w:rsidRPr="00CA2286" w:rsidRDefault="00A5680A" w:rsidP="005E1063">
            <w:pPr>
              <w:pStyle w:val="CERTableText9pt"/>
            </w:pPr>
            <w:r>
              <w:t>21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43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105 (60-180)*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165 </w:t>
            </w:r>
          </w:p>
          <w:p w:rsidR="00A5680A" w:rsidRPr="00297065" w:rsidRDefault="00A5680A" w:rsidP="005E1063">
            <w:pPr>
              <w:pStyle w:val="CERTableText9pt"/>
            </w:pPr>
            <w:r>
              <w:t>(120-270)*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Dahl, 1997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 xml:space="preserve">Extended </w:t>
            </w: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117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92.5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79.1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107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GA: 0.88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  <w:r>
              <w:br/>
              <w:t>RA: 99.12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110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84.1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107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1008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Eriksson</w:t>
            </w:r>
            <w:r>
              <w:t xml:space="preserve">, </w:t>
            </w:r>
            <w:r w:rsidRPr="00297065">
              <w:t>1997</w:t>
            </w:r>
            <w:r>
              <w:t>a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Desirudin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225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81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101 (30)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GA:5</w:t>
            </w:r>
            <w:r>
              <w:t xml:space="preserve">       </w:t>
            </w:r>
            <w:r w:rsidRPr="00297065">
              <w:t>RA: 88</w:t>
            </w:r>
            <w:r>
              <w:br/>
            </w:r>
            <w:r w:rsidRPr="00297065">
              <w:t>GA+RA: 6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UFH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220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75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104 (30)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GA:6</w:t>
            </w:r>
            <w:r>
              <w:t xml:space="preserve">       </w:t>
            </w:r>
            <w:r w:rsidRPr="00297065">
              <w:t>RA: 86</w:t>
            </w:r>
            <w:r>
              <w:br/>
            </w:r>
            <w:r w:rsidRPr="00297065">
              <w:t>GA+RA: 9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Eriksson, 1997</w:t>
            </w:r>
            <w:r>
              <w:t>b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Desirudin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1043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44.6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82.0 (22-297)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RA: 55.7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1036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44.3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80.0 (25-345)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RA: 55.8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Francis,</w:t>
            </w:r>
            <w:r>
              <w:t xml:space="preserve"> </w:t>
            </w:r>
            <w:r w:rsidRPr="00297065">
              <w:t>1997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271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76.38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29.52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161 (72)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221 (75)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GA:67.53</w:t>
            </w:r>
            <w:r w:rsidRPr="00297065">
              <w:br/>
              <w:t>RA:32.47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Warfarin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279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69.53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29.75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163 (62)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225 (67)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GA:63.44</w:t>
            </w:r>
            <w:r w:rsidRPr="00297065">
              <w:br/>
              <w:t>RA:36.56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Nilsson, 1997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Extended 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131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L:100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102 (66-312)*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3.8     </w:t>
            </w:r>
          </w:p>
          <w:p w:rsidR="00A5680A" w:rsidRPr="00297065" w:rsidRDefault="00A5680A" w:rsidP="005E1063">
            <w:pPr>
              <w:pStyle w:val="CERTableText9pt"/>
            </w:pPr>
            <w:r>
              <w:t>RA: 86.3</w:t>
            </w:r>
            <w:r>
              <w:br/>
              <w:t>GA+RA: 9.9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 xml:space="preserve">Enoxaparin 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131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114 (60-300)*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6.1     </w:t>
            </w:r>
          </w:p>
          <w:p w:rsidR="00A5680A" w:rsidRPr="00297065" w:rsidRDefault="00A5680A" w:rsidP="005E1063">
            <w:pPr>
              <w:pStyle w:val="CERTableText9pt"/>
            </w:pPr>
            <w:r>
              <w:t>RA: 84.0</w:t>
            </w:r>
            <w:r>
              <w:br/>
              <w:t>GA+RA: 9.9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Planes, 1997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Extended 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90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AL: 6.36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  <w:r>
              <w:br/>
              <w:t>PL: 93.64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127.67 (19.95)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GA: 58.38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  <w:r>
              <w:br/>
              <w:t>RA: 41.62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>
              <w:t>89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1404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125.83 (19.77)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1008" w:type="dxa"/>
            <w:tcBorders>
              <w:top w:val="nil"/>
            </w:tcBorders>
          </w:tcPr>
          <w:p w:rsidR="00A5680A" w:rsidRPr="007A3FD3" w:rsidRDefault="00A5680A" w:rsidP="005E1063">
            <w:pPr>
              <w:pStyle w:val="CERTableText9pt"/>
            </w:pPr>
            <w:r w:rsidRPr="007A3FD3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Samama</w:t>
            </w:r>
            <w:proofErr w:type="spellEnd"/>
            <w:r w:rsidRPr="003F5306">
              <w:t>, 1997</w:t>
            </w:r>
          </w:p>
        </w:tc>
        <w:tc>
          <w:tcPr>
            <w:tcW w:w="2151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85</w:t>
            </w: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74.1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A: 24.7   </w:t>
            </w:r>
            <w:r>
              <w:br/>
            </w:r>
            <w:r w:rsidRPr="003F5306">
              <w:t>P: 71.8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70.1 (27.3)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RA: 100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85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67.1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A: 21.2</w:t>
            </w:r>
            <w:r>
              <w:br/>
            </w:r>
            <w:r w:rsidRPr="003F5306">
              <w:t>P: 71.6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69.2 (27.9)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RA: 100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Eriksson,</w:t>
            </w:r>
            <w:r>
              <w:t xml:space="preserve"> </w:t>
            </w:r>
            <w:r w:rsidRPr="00297065">
              <w:t>1996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proofErr w:type="spellStart"/>
            <w:r w:rsidRPr="00297065">
              <w:t>Desirudin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277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67.7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RA: 51.5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UFH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277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67.5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RA: 51.6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Kalodiki</w:t>
            </w:r>
            <w:proofErr w:type="spellEnd"/>
            <w:r w:rsidRPr="003F5306">
              <w:t>, 1996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Enoxaparin + GCS 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98 (50-185)</w:t>
            </w:r>
            <w:r>
              <w:t>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98 (45-215)</w:t>
            </w:r>
            <w:r>
              <w:t>*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100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14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96 (60-135)</w:t>
            </w:r>
            <w:r>
              <w:t>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proofErr w:type="spellStart"/>
            <w:r w:rsidRPr="00FD504D">
              <w:t>Laupacis</w:t>
            </w:r>
            <w:proofErr w:type="spellEnd"/>
            <w:r w:rsidRPr="00FD504D">
              <w:t>, 1996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Cemented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124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DL: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85.5</w:t>
            </w:r>
          </w:p>
          <w:p w:rsidR="00A5680A" w:rsidRPr="00FD504D" w:rsidRDefault="00A5680A" w:rsidP="005E1063">
            <w:pPr>
              <w:pStyle w:val="CERTableText9pt"/>
            </w:pPr>
            <w:r w:rsidRPr="00FD504D">
              <w:t>RA: 14.5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Non-cemented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126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DL: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90.5</w:t>
            </w:r>
          </w:p>
          <w:p w:rsidR="00A5680A" w:rsidRPr="00FD504D" w:rsidRDefault="00A5680A" w:rsidP="005E1063">
            <w:pPr>
              <w:pStyle w:val="CERTableText9pt"/>
            </w:pPr>
            <w:r w:rsidRPr="00FD504D">
              <w:t>RA: 9.5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Leclerc,</w:t>
            </w:r>
            <w:r>
              <w:t xml:space="preserve"> </w:t>
            </w:r>
            <w:r w:rsidRPr="00297065">
              <w:t>1996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334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93.4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89.2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124.3 (38.5)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97065" w:rsidRDefault="00A5680A" w:rsidP="005E1063">
            <w:pPr>
              <w:pStyle w:val="CERTableText9pt"/>
            </w:pPr>
            <w:r w:rsidRPr="00297065">
              <w:t>GA:85.9</w:t>
            </w:r>
            <w:r>
              <w:t xml:space="preserve">     </w:t>
            </w:r>
            <w:r w:rsidRPr="00297065">
              <w:t>RA:14.1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336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92.3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89.0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126.2 (44.7)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GA:87.2     </w:t>
            </w:r>
            <w:r w:rsidRPr="00D305C0">
              <w:t>RA:</w:t>
            </w:r>
            <w:r>
              <w:t>12.8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Lotke,1996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Asp</w:t>
            </w:r>
            <w:r>
              <w:t>i</w:t>
            </w:r>
            <w:r w:rsidRPr="0082341F">
              <w:t>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166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Warfarin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136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proofErr w:type="spellStart"/>
            <w:r w:rsidRPr="0082341F">
              <w:t>Schwartsmann</w:t>
            </w:r>
            <w:proofErr w:type="spellEnd"/>
            <w:r w:rsidRPr="0082341F">
              <w:t>,</w:t>
            </w:r>
            <w:r>
              <w:t xml:space="preserve"> </w:t>
            </w:r>
            <w:r w:rsidRPr="0082341F">
              <w:t>1996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52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62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AL: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90.8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D305C0">
              <w:t>RA:</w:t>
            </w:r>
            <w:r>
              <w:t xml:space="preserve">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UFH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47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47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AL: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93.6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82341F">
              <w:t>GA: 2</w:t>
            </w:r>
            <w:r>
              <w:t xml:space="preserve">      </w:t>
            </w:r>
          </w:p>
          <w:p w:rsidR="00A5680A" w:rsidRPr="0082341F" w:rsidRDefault="00A5680A" w:rsidP="005E1063">
            <w:pPr>
              <w:pStyle w:val="CERTableText9pt"/>
            </w:pPr>
            <w:r w:rsidRPr="0082341F">
              <w:t>RA: 97.87</w:t>
            </w:r>
            <w:r>
              <w:br/>
              <w:t>GA+RA: 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>
              <w:t>Stannard</w:t>
            </w:r>
            <w:proofErr w:type="spellEnd"/>
            <w:r>
              <w:t xml:space="preserve">, 1996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UFH then aspirin + VFP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25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88.0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P: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106 (85-128)*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16.0   </w:t>
            </w:r>
          </w:p>
          <w:p w:rsidR="00A5680A" w:rsidRPr="003F5306" w:rsidRDefault="00A5680A" w:rsidP="005E1063">
            <w:pPr>
              <w:pStyle w:val="CERTableText9pt"/>
            </w:pPr>
            <w:r>
              <w:t>RA: 84.0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UFH then aspirin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25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P: 100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111 (87-140)*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12.0   </w:t>
            </w:r>
          </w:p>
          <w:p w:rsidR="00A5680A" w:rsidRPr="003F5306" w:rsidRDefault="00A5680A" w:rsidP="005E1063">
            <w:pPr>
              <w:pStyle w:val="CERTableText9pt"/>
            </w:pPr>
            <w:r>
              <w:t>RA: 88.0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VFP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25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92.0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P: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113 (91-135)*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GA: 20.0   </w:t>
            </w:r>
          </w:p>
          <w:p w:rsidR="00A5680A" w:rsidRPr="003F5306" w:rsidRDefault="00A5680A" w:rsidP="005E1063">
            <w:pPr>
              <w:pStyle w:val="CERTableText9pt"/>
            </w:pPr>
            <w:r>
              <w:t>RA: 80.0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Stone,</w:t>
            </w:r>
            <w:r>
              <w:t xml:space="preserve"> </w:t>
            </w:r>
            <w:r w:rsidRPr="0082341F">
              <w:t>1996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25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P: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IPC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25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P: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82341F" w:rsidRDefault="00A5680A" w:rsidP="005E1063">
            <w:pPr>
              <w:pStyle w:val="CERTableText9pt"/>
            </w:pPr>
            <w:r w:rsidRPr="0082341F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Westrich</w:t>
            </w:r>
            <w:proofErr w:type="spellEnd"/>
            <w:r w:rsidRPr="003F5306">
              <w:t xml:space="preserve">, 1996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Aspirin + VFP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RA: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Aspirin</w:t>
            </w:r>
          </w:p>
        </w:tc>
        <w:tc>
          <w:tcPr>
            <w:tcW w:w="657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61</w:t>
            </w:r>
          </w:p>
        </w:tc>
        <w:tc>
          <w:tcPr>
            <w:tcW w:w="927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350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RA: 100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lastRenderedPageBreak/>
              <w:t>Abdel-Salam, 1995</w:t>
            </w:r>
          </w:p>
        </w:tc>
        <w:tc>
          <w:tcPr>
            <w:tcW w:w="2151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Tourniquet</w:t>
            </w:r>
          </w:p>
        </w:tc>
        <w:tc>
          <w:tcPr>
            <w:tcW w:w="657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40</w:t>
            </w:r>
          </w:p>
        </w:tc>
        <w:tc>
          <w:tcPr>
            <w:tcW w:w="927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60-105</w:t>
            </w:r>
            <w:r w:rsidRPr="001C719B">
              <w:rPr>
                <w:rFonts w:cs="Arial"/>
                <w:szCs w:val="18"/>
                <w:vertAlign w:val="superscript"/>
              </w:rPr>
              <w:t>§</w:t>
            </w:r>
          </w:p>
        </w:tc>
        <w:tc>
          <w:tcPr>
            <w:tcW w:w="1296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single" w:sz="12" w:space="0" w:color="auto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FD504D">
              <w:t xml:space="preserve">12 </w:t>
            </w:r>
          </w:p>
          <w:p w:rsidR="00A5680A" w:rsidRPr="00FD504D" w:rsidRDefault="00A5680A" w:rsidP="005E1063">
            <w:pPr>
              <w:pStyle w:val="CERTableText9pt"/>
            </w:pPr>
            <w:r w:rsidRPr="00FD504D">
              <w:t>(9-20)</w:t>
            </w:r>
            <w:r>
              <w:t>*</w:t>
            </w:r>
          </w:p>
        </w:tc>
      </w:tr>
      <w:tr w:rsidR="00A5680A" w:rsidRPr="00B513C1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No tourniquet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40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60-95</w:t>
            </w:r>
            <w:r w:rsidRPr="001C719B">
              <w:rPr>
                <w:rFonts w:cs="Arial"/>
                <w:szCs w:val="18"/>
                <w:vertAlign w:val="superscript"/>
              </w:rPr>
              <w:t>§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12 (8-19)</w:t>
            </w:r>
            <w:r>
              <w:t>*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proofErr w:type="spellStart"/>
            <w:r>
              <w:t>Avikainen</w:t>
            </w:r>
            <w:proofErr w:type="spellEnd"/>
            <w:r>
              <w:t>, 1995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83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42.17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GA:29.69  RA:78.31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84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30.95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GA:1.19</w:t>
            </w:r>
            <w:r>
              <w:br/>
              <w:t>RA: 72.62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Colwell, 1995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228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Heparin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225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Warwick, 1995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78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Control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78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Williams-Russo, 1996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General Anesthesia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81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88 (32)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12.7 (4.3)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Regional Anesthesia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97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85 (33)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12.1 (4.5)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Colwell, 1994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Enoxaparin 30mg Q12h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195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86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23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GA:66      RA:33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Enoxaparin 40mg QD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203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83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27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GA:63      RA:35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209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87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29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GA:65      RA:34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Fauno</w:t>
            </w:r>
            <w:proofErr w:type="spellEnd"/>
            <w:r>
              <w:t>, 1994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92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65.22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104 (20)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GA: 10.87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93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62.37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102 (24)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GA: 19.35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>
              <w:t>Leiberman</w:t>
            </w:r>
            <w:proofErr w:type="spellEnd"/>
            <w:r>
              <w:t xml:space="preserve">, 1994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Aspirin + IPC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113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17.74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PL: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86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Hypotensive regional: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118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13.49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PL: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87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Hypotensive regional: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Menzin</w:t>
            </w:r>
            <w:proofErr w:type="spellEnd"/>
            <w:r>
              <w:t>, 1994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209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162 (78)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11.3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 40mg QD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202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156 (84)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9.9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 30mg Q12h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192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150 (66)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9.5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Santori,1994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Heparin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65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DL: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65 (9.89)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VFP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67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DL: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70 (11.98)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Hull,</w:t>
            </w:r>
            <w:r>
              <w:t xml:space="preserve"> </w:t>
            </w:r>
            <w:r w:rsidRPr="001B31F8">
              <w:t>1993</w:t>
            </w:r>
          </w:p>
        </w:tc>
        <w:tc>
          <w:tcPr>
            <w:tcW w:w="2151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proofErr w:type="spellStart"/>
            <w:r w:rsidRPr="001B31F8">
              <w:t>Tinzaparin</w:t>
            </w:r>
            <w:proofErr w:type="spellEnd"/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715</w:t>
            </w: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84.62</w:t>
            </w: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54.13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---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---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>
              <w:t xml:space="preserve">128 </w:t>
            </w:r>
            <w:r w:rsidRPr="001B31F8">
              <w:t>(52)</w:t>
            </w: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GA:53.85</w:t>
            </w:r>
            <w:r>
              <w:br/>
            </w:r>
            <w:r w:rsidRPr="001B31F8">
              <w:t>RA: 20.97</w:t>
            </w:r>
            <w:r>
              <w:br/>
            </w:r>
            <w:r w:rsidRPr="001B31F8">
              <w:t>GA+RA: 25.17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Warfarin</w:t>
            </w:r>
          </w:p>
        </w:tc>
        <w:tc>
          <w:tcPr>
            <w:tcW w:w="657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721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84.47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57.98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---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---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127 (48)</w:t>
            </w: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GA:53.81</w:t>
            </w:r>
            <w:r>
              <w:br/>
            </w:r>
            <w:r w:rsidRPr="001B31F8">
              <w:t>RA: 20.94</w:t>
            </w:r>
            <w:r>
              <w:br/>
            </w:r>
            <w:r w:rsidRPr="001B31F8">
              <w:t>GA+RA: 25.24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A5680A" w:rsidRPr="001B31F8" w:rsidRDefault="00A5680A" w:rsidP="005E1063">
            <w:pPr>
              <w:pStyle w:val="CERTableText9pt"/>
            </w:pPr>
            <w:r w:rsidRPr="001B31F8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Fordyce, 1992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VFP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39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DL: 12.82</w:t>
            </w:r>
            <w:r>
              <w:br/>
            </w:r>
            <w:r w:rsidRPr="003F5306">
              <w:t>P: 87.18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104.5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7.69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Control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40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DL: 17.50</w:t>
            </w:r>
            <w:r>
              <w:br/>
            </w:r>
            <w:r w:rsidRPr="003F5306">
              <w:t xml:space="preserve">P: 82.50 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112.6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15.00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Francis, 1992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24.53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AL: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198 (36)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GA: 69.90</w:t>
            </w:r>
            <w:r>
              <w:br/>
              <w:t>RA: 30.10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9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EPC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98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25.51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AL: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205 (40)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GA: 61.22</w:t>
            </w:r>
            <w:r>
              <w:br/>
              <w:t>RA: 38.78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Jorgensen, 1992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57 (25 -115)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3F5306">
              <w:t>GA: 66.67</w:t>
            </w:r>
            <w:r>
              <w:t xml:space="preserve">    </w:t>
            </w:r>
          </w:p>
          <w:p w:rsidR="00A5680A" w:rsidRPr="003F5306" w:rsidRDefault="00A5680A" w:rsidP="005E1063">
            <w:pPr>
              <w:pStyle w:val="CERTableText9pt"/>
            </w:pPr>
            <w:r w:rsidRPr="003F5306">
              <w:t>RA: 30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14 </w:t>
            </w:r>
            <w:r>
              <w:br/>
            </w:r>
            <w:r w:rsidRPr="003F5306">
              <w:t>(2-117)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38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60 (35-105)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3F5306">
              <w:t>GA: 53</w:t>
            </w:r>
            <w:r>
              <w:t xml:space="preserve">         </w:t>
            </w:r>
          </w:p>
          <w:p w:rsidR="00A5680A" w:rsidRPr="003F5306" w:rsidRDefault="00A5680A" w:rsidP="005E1063">
            <w:pPr>
              <w:pStyle w:val="CERTableText9pt"/>
            </w:pPr>
            <w:r w:rsidRPr="003F5306">
              <w:t>RA: 45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16 </w:t>
            </w:r>
            <w:r>
              <w:br/>
            </w:r>
            <w:r w:rsidRPr="003F5306">
              <w:t>(3-50)</w:t>
            </w:r>
            <w:r w:rsidRPr="00B7400D">
              <w:rPr>
                <w:rFonts w:cs="Arial"/>
                <w:szCs w:val="18"/>
                <w:vertAlign w:val="superscript"/>
              </w:rPr>
              <w:t>†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Wilson, 1992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VFP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28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139.2 (34.9)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Control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31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132.1 (32.4)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Bailey, 1991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45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57.8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80.9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L:100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GA: 82.2   RA:6.7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IPC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50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54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75.5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L:100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GA: 80      RA:14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Eriksson,1991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67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79.10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AL: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123 (22)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GA: 14.93 RA:85.07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69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79.71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AL: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124 (29)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GA: 7.25</w:t>
            </w:r>
            <w:r>
              <w:br/>
              <w:t>RA:92.75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Jorgensen, 1991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General Anesthesia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22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Epidural Anesthesia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 xml:space="preserve">Lassen, 1991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Tinzaparin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65.6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117 (55-200)</w:t>
            </w:r>
            <w:r w:rsidRPr="00B7400D">
              <w:rPr>
                <w:rFonts w:cs="Arial"/>
                <w:szCs w:val="18"/>
                <w:vertAlign w:val="superscript"/>
              </w:rPr>
              <w:t xml:space="preserve"> †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 w:rsidRPr="003F5306">
              <w:t>GA: 72.0</w:t>
            </w:r>
            <w:r>
              <w:t xml:space="preserve">   </w:t>
            </w:r>
          </w:p>
          <w:p w:rsidR="00A5680A" w:rsidRPr="003F5306" w:rsidRDefault="00A5680A" w:rsidP="005E1063">
            <w:pPr>
              <w:pStyle w:val="CERTableText9pt"/>
            </w:pPr>
            <w:r w:rsidRPr="003F5306">
              <w:t>RA: 28.0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97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65AA0" w:rsidRDefault="00A5680A" w:rsidP="005E1063">
            <w:pPr>
              <w:pStyle w:val="CERTableText9pt"/>
            </w:pPr>
            <w:r w:rsidRPr="00F65AA0">
              <w:t>71.1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C9799C" w:rsidRDefault="00A5680A" w:rsidP="005E1063">
            <w:pPr>
              <w:pStyle w:val="CERTableText9pt"/>
            </w:pPr>
            <w:r w:rsidRPr="00C9799C">
              <w:t>PL: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C9799C" w:rsidRDefault="00A5680A" w:rsidP="005E1063">
            <w:pPr>
              <w:pStyle w:val="CERTableText9pt"/>
            </w:pPr>
            <w:r w:rsidRPr="00C9799C">
              <w:t>123 (50-250)</w:t>
            </w:r>
            <w:r w:rsidRPr="00B7400D">
              <w:rPr>
                <w:rFonts w:cs="Arial"/>
                <w:szCs w:val="18"/>
                <w:vertAlign w:val="superscript"/>
              </w:rPr>
              <w:t xml:space="preserve"> †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 w:rsidRPr="003F5306">
              <w:t>GA: 69.1</w:t>
            </w:r>
            <w:r>
              <w:t xml:space="preserve">   </w:t>
            </w:r>
          </w:p>
          <w:p w:rsidR="00A5680A" w:rsidRPr="003F5306" w:rsidRDefault="00A5680A" w:rsidP="005E1063">
            <w:pPr>
              <w:pStyle w:val="CERTableText9pt"/>
            </w:pPr>
            <w:r w:rsidRPr="003F5306">
              <w:t>RA: 30.9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Levine, 1991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333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38.74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166 (56.6)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332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39.16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172 (67.7)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Mitchell, 1991</w:t>
            </w:r>
          </w:p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General Anesthesia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38</w:t>
            </w: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76.4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121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11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Epidural Anesthesia</w:t>
            </w:r>
          </w:p>
        </w:tc>
        <w:tc>
          <w:tcPr>
            <w:tcW w:w="657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34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122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10.4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Planes, 1991</w:t>
            </w:r>
          </w:p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General Anesthesia + 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62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PL: 100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73.7 (2.4)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 xml:space="preserve">Epidural </w:t>
            </w:r>
            <w:proofErr w:type="spellStart"/>
            <w:r w:rsidRPr="00FD504D">
              <w:t>Anestheisa</w:t>
            </w:r>
            <w:proofErr w:type="spellEnd"/>
            <w:r w:rsidRPr="00FD504D">
              <w:t xml:space="preserve"> + Enoxaparin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61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PL: 100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73.3 (2.3)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Epidural Anesthesia alone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65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PL: 100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74.9 (1.7)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Torholm</w:t>
            </w:r>
            <w:proofErr w:type="spellEnd"/>
            <w:r w:rsidRPr="003F5306">
              <w:t>, 1991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58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76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88</w:t>
            </w:r>
            <w:r>
              <w:t xml:space="preserve">     </w:t>
            </w:r>
            <w:r w:rsidRPr="003F5306">
              <w:t>RA: 12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54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80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GA: 81</w:t>
            </w:r>
            <w:r>
              <w:t xml:space="preserve">     </w:t>
            </w:r>
            <w:r w:rsidRPr="003F5306">
              <w:t>RA: 19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>
              <w:t>Woolson</w:t>
            </w:r>
            <w:proofErr w:type="spellEnd"/>
            <w:r>
              <w:t>, 1991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Aspirin + IPC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70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75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65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TT: 25</w:t>
            </w:r>
            <w:r w:rsidRPr="001C719B">
              <w:rPr>
                <w:szCs w:val="18"/>
                <w:vertAlign w:val="superscript"/>
              </w:rPr>
              <w:t>||</w:t>
            </w:r>
            <w:r>
              <w:t xml:space="preserve"> </w:t>
            </w:r>
            <w:r>
              <w:br/>
              <w:t>PL: 75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124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9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Warfarin + IPC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69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68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68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TT: 32</w:t>
            </w:r>
            <w:r w:rsidRPr="001C719B">
              <w:rPr>
                <w:szCs w:val="18"/>
                <w:vertAlign w:val="superscript"/>
              </w:rPr>
              <w:t>||</w:t>
            </w:r>
            <w:r>
              <w:br/>
              <w:t>PL: 68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125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9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IPC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73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72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63</w:t>
            </w:r>
            <w:r w:rsidRPr="001C719B">
              <w:rPr>
                <w:szCs w:val="18"/>
                <w:vertAlign w:val="superscript"/>
              </w:rPr>
              <w:t>||</w:t>
            </w:r>
            <w:r>
              <w:rPr>
                <w:rFonts w:cs="Arial"/>
                <w:szCs w:val="18"/>
                <w:vertAlign w:val="superscript"/>
              </w:rPr>
              <w:t>¶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TT: 28</w:t>
            </w:r>
            <w:r w:rsidRPr="001C719B">
              <w:rPr>
                <w:szCs w:val="18"/>
                <w:vertAlign w:val="superscript"/>
              </w:rPr>
              <w:t>||</w:t>
            </w:r>
            <w:r>
              <w:br/>
              <w:t>PL: 72</w:t>
            </w:r>
            <w:r w:rsidRPr="001C719B">
              <w:rPr>
                <w:szCs w:val="18"/>
                <w:vertAlign w:val="superscript"/>
              </w:rPr>
              <w:t>||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121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10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Haas, 1990 Unilateral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36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RA: 97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IPC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36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Haas, 1990 Bilateral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22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RA: 97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IPC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25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Sorenson, 1990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Tinzaparin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proofErr w:type="spellStart"/>
            <w:r>
              <w:t>Dechavanne</w:t>
            </w:r>
            <w:proofErr w:type="spellEnd"/>
            <w:r>
              <w:t xml:space="preserve">, </w:t>
            </w:r>
            <w:r>
              <w:br/>
              <w:t>1989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  <w:r>
              <w:t xml:space="preserve"> 2500U Q12h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41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61.9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PL: 88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121.1 (59.1)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16.6 (4.8)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  <w:r>
              <w:t xml:space="preserve"> 5000U QD 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41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46.3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PL: 92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112.4 (34.3)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GA: 100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17.1 (4.7)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Heparin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40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56.1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PL: 83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115.1 (51.7)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GA: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17.2 (5.4)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proofErr w:type="spellStart"/>
            <w:r>
              <w:t>Monreal</w:t>
            </w:r>
            <w:proofErr w:type="spellEnd"/>
            <w:r>
              <w:t>, 1989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46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94 (54)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Heparin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44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91 (51)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Powers, 1989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Warfarin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Aspirin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66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63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Planes, 1988</w:t>
            </w:r>
          </w:p>
        </w:tc>
        <w:tc>
          <w:tcPr>
            <w:tcW w:w="2151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124</w:t>
            </w: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62.1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63 (30)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138.9 (78.3)</w:t>
            </w: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GA: 100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Heparin</w:t>
            </w:r>
          </w:p>
        </w:tc>
        <w:tc>
          <w:tcPr>
            <w:tcW w:w="657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113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69.91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66 (23)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141.9 (73.2)</w:t>
            </w: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GA: 100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proofErr w:type="spellStart"/>
            <w:r>
              <w:t>Barre</w:t>
            </w:r>
            <w:proofErr w:type="spellEnd"/>
            <w:r>
              <w:t>, 1987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65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40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73.8 (50-115)*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RA:100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15.6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Default="00A5680A" w:rsidP="005E1063">
            <w:pPr>
              <w:pStyle w:val="CERTableText9pt"/>
            </w:pPr>
            <w:r>
              <w:t>Heparin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40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86.1 (50-160)*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RA:100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15.2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Paiement</w:t>
            </w:r>
            <w:proofErr w:type="spellEnd"/>
            <w:r>
              <w:t>, 1987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72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IPC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66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Alfaro, 1986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Aspirin 250mg/d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Aspirin 1g/d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Control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30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Turpie</w:t>
            </w:r>
            <w:proofErr w:type="spellEnd"/>
            <w:r w:rsidRPr="003F5306">
              <w:t xml:space="preserve">, 1986 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Enoxaparin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50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128.84</w:t>
            </w:r>
            <w:r>
              <w:t xml:space="preserve"> </w:t>
            </w:r>
            <w:r w:rsidRPr="003F5306">
              <w:t>(26.23)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50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122.78 (23.20)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McKenzie, 1985</w:t>
            </w:r>
          </w:p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General Anesthesia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20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79.4 (4.1)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Spinal Anesthesia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20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93.5 (5.6)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proofErr w:type="spellStart"/>
            <w:r w:rsidRPr="003F5306">
              <w:t>Welin</w:t>
            </w:r>
            <w:proofErr w:type="spellEnd"/>
            <w:r w:rsidRPr="003F5306">
              <w:t>-Berger, 1982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Heparin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20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118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Control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20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103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proofErr w:type="spellStart"/>
            <w:r w:rsidRPr="00FD504D">
              <w:t>Modig</w:t>
            </w:r>
            <w:proofErr w:type="spellEnd"/>
            <w:r w:rsidRPr="00FD504D">
              <w:t>, 1981</w:t>
            </w:r>
          </w:p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General Anesthesia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15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161.3 (34.5)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GA: 100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Epidural Anesthesia</w:t>
            </w:r>
          </w:p>
        </w:tc>
        <w:tc>
          <w:tcPr>
            <w:tcW w:w="65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15</w:t>
            </w:r>
          </w:p>
        </w:tc>
        <w:tc>
          <w:tcPr>
            <w:tcW w:w="92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11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100</w:t>
            </w:r>
          </w:p>
        </w:tc>
        <w:tc>
          <w:tcPr>
            <w:tcW w:w="1350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404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147 (27.9)</w:t>
            </w:r>
          </w:p>
        </w:tc>
        <w:tc>
          <w:tcPr>
            <w:tcW w:w="1296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  <w:tc>
          <w:tcPr>
            <w:tcW w:w="1647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RA: 100</w:t>
            </w:r>
          </w:p>
        </w:tc>
        <w:tc>
          <w:tcPr>
            <w:tcW w:w="1008" w:type="dxa"/>
            <w:tcBorders>
              <w:top w:val="nil"/>
            </w:tcBorders>
          </w:tcPr>
          <w:p w:rsidR="00A5680A" w:rsidRPr="00FD504D" w:rsidRDefault="00A5680A" w:rsidP="005E1063">
            <w:pPr>
              <w:pStyle w:val="CERTableText9pt"/>
            </w:pPr>
            <w:r w:rsidRPr="00FD504D">
              <w:t>---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McKenna, 1980</w:t>
            </w:r>
          </w:p>
        </w:tc>
        <w:tc>
          <w:tcPr>
            <w:tcW w:w="2151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Aspirin</w:t>
            </w:r>
          </w:p>
        </w:tc>
        <w:tc>
          <w:tcPr>
            <w:tcW w:w="65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9</w:t>
            </w:r>
          </w:p>
        </w:tc>
        <w:tc>
          <w:tcPr>
            <w:tcW w:w="92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bottom w:val="nil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16</w:t>
            </w:r>
            <w:r w:rsidRPr="0086051D">
              <w:rPr>
                <w:rFonts w:cs="Arial"/>
                <w:szCs w:val="18"/>
                <w:vertAlign w:val="superscript"/>
              </w:rPr>
              <w:t>‡</w:t>
            </w:r>
          </w:p>
        </w:tc>
      </w:tr>
      <w:tr w:rsidR="00A5680A" w:rsidRPr="00225F60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  <w:tc>
          <w:tcPr>
            <w:tcW w:w="2151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Placebo</w:t>
            </w:r>
          </w:p>
        </w:tc>
        <w:tc>
          <w:tcPr>
            <w:tcW w:w="657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12</w:t>
            </w:r>
          </w:p>
        </w:tc>
        <w:tc>
          <w:tcPr>
            <w:tcW w:w="927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116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350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296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647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  <w:r w:rsidRPr="003F5306">
              <w:t>---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</w:tcPr>
          <w:p w:rsidR="00A5680A" w:rsidRPr="003F5306" w:rsidRDefault="00A5680A" w:rsidP="005E1063">
            <w:pPr>
              <w:pStyle w:val="CERTableText9pt"/>
            </w:pPr>
          </w:p>
        </w:tc>
      </w:tr>
    </w:tbl>
    <w:p w:rsidR="00A5680A" w:rsidRDefault="00A5680A" w:rsidP="005E1063">
      <w:pPr>
        <w:pStyle w:val="CERTableNote"/>
      </w:pPr>
      <w:r>
        <w:t>*Mean (range)</w:t>
      </w:r>
    </w:p>
    <w:p w:rsidR="00A5680A" w:rsidRDefault="00A5680A" w:rsidP="005E1063">
      <w:pPr>
        <w:pStyle w:val="CERTableNote"/>
      </w:pPr>
      <w:r>
        <w:t>†Median (range)</w:t>
      </w:r>
    </w:p>
    <w:p w:rsidR="00A5680A" w:rsidRDefault="00A5680A" w:rsidP="005E1063">
      <w:pPr>
        <w:pStyle w:val="CERTableNote"/>
      </w:pPr>
      <w:r w:rsidRPr="001C719B">
        <w:t xml:space="preserve">‡Value for the total </w:t>
      </w:r>
      <w:r>
        <w:t xml:space="preserve">study </w:t>
      </w:r>
      <w:r w:rsidRPr="001C719B">
        <w:t>population</w:t>
      </w:r>
    </w:p>
    <w:p w:rsidR="00A5680A" w:rsidRDefault="00A5680A" w:rsidP="005E1063">
      <w:pPr>
        <w:pStyle w:val="CERTableNote"/>
      </w:pPr>
      <w:r>
        <w:rPr>
          <w:rFonts w:cs="Arial"/>
        </w:rPr>
        <w:t>§</w:t>
      </w:r>
      <w:r>
        <w:t>Range</w:t>
      </w:r>
    </w:p>
    <w:p w:rsidR="00A5680A" w:rsidRDefault="00A5680A" w:rsidP="005E1063">
      <w:pPr>
        <w:pStyle w:val="CERTableNote"/>
      </w:pPr>
      <w:r w:rsidRPr="00823BFD">
        <w:t>||</w:t>
      </w:r>
      <w:r>
        <w:t>Percent of hips</w:t>
      </w:r>
    </w:p>
    <w:p w:rsidR="00A5680A" w:rsidRDefault="00A5680A" w:rsidP="005E1063">
      <w:pPr>
        <w:pStyle w:val="CERTableNote"/>
      </w:pPr>
      <w:r>
        <w:rPr>
          <w:rFonts w:cs="Arial"/>
          <w:szCs w:val="18"/>
          <w:vertAlign w:val="superscript"/>
        </w:rPr>
        <w:t xml:space="preserve">¶ </w:t>
      </w:r>
      <w:r>
        <w:t>Cemented or h</w:t>
      </w:r>
      <w:r w:rsidRPr="00823BFD">
        <w:t>ybrid</w:t>
      </w:r>
      <w:r>
        <w:rPr>
          <w:rFonts w:cs="Arial"/>
          <w:szCs w:val="18"/>
          <w:vertAlign w:val="superscript"/>
        </w:rPr>
        <w:t xml:space="preserve"> </w:t>
      </w:r>
      <w:r>
        <w:t>prosthesis</w:t>
      </w:r>
    </w:p>
    <w:p w:rsidR="00A5680A" w:rsidRPr="001C719B" w:rsidRDefault="00A5680A" w:rsidP="005E1063">
      <w:pPr>
        <w:pStyle w:val="CERTableNote"/>
      </w:pPr>
    </w:p>
    <w:p w:rsidR="00A5680A" w:rsidRDefault="00A5680A" w:rsidP="005E1063">
      <w:pPr>
        <w:pStyle w:val="CERTableNote"/>
      </w:pPr>
      <w:r>
        <w:t>Abbreviations</w:t>
      </w:r>
      <w:r w:rsidRPr="001C719B">
        <w:t>: A=anterior; AL=</w:t>
      </w:r>
      <w:proofErr w:type="spellStart"/>
      <w:r w:rsidRPr="001C719B">
        <w:t>anteriolateral</w:t>
      </w:r>
      <w:proofErr w:type="spellEnd"/>
      <w:r w:rsidRPr="001C719B">
        <w:t>; AM=</w:t>
      </w:r>
      <w:proofErr w:type="spellStart"/>
      <w:r w:rsidRPr="001C719B">
        <w:t>anteriomedial</w:t>
      </w:r>
      <w:proofErr w:type="spellEnd"/>
      <w:r w:rsidRPr="001C719B">
        <w:t xml:space="preserve">; ASA=aspirin; BID=twice daily; d=days; DL=direct lateral; GA=general anesthesia; GCS=graduated compression stockings; HFS=hip fracture surgery; IPC=intermittent pneumatic compression device; </w:t>
      </w:r>
      <w:r>
        <w:t>L=lateral; LOS=length of stay; min=minutes; mg=milligram; ML=</w:t>
      </w:r>
      <w:r w:rsidRPr="001C719B">
        <w:t>midline longitudinal; N=number enrolled; P=posterior; PL=</w:t>
      </w:r>
      <w:proofErr w:type="spellStart"/>
      <w:r w:rsidRPr="001C719B">
        <w:t>posteriolateral</w:t>
      </w:r>
      <w:proofErr w:type="spellEnd"/>
      <w:r w:rsidRPr="001C719B">
        <w:t xml:space="preserve">; QD=daily; RA=regional anesthesia; SD=standard deviation; THA=total hip </w:t>
      </w:r>
      <w:proofErr w:type="spellStart"/>
      <w:r w:rsidRPr="001C719B">
        <w:t>arthroplasty</w:t>
      </w:r>
      <w:proofErr w:type="spellEnd"/>
      <w:r w:rsidRPr="001C719B">
        <w:t xml:space="preserve">; THR=total hip replacement; TKA= total knee </w:t>
      </w:r>
      <w:proofErr w:type="spellStart"/>
      <w:r w:rsidRPr="001C719B">
        <w:t>arthroplasty</w:t>
      </w:r>
      <w:proofErr w:type="spellEnd"/>
      <w:r w:rsidRPr="001C719B">
        <w:t>; TKR=total knee rep</w:t>
      </w:r>
      <w:r>
        <w:t>lacement; TT=</w:t>
      </w:r>
      <w:proofErr w:type="spellStart"/>
      <w:r>
        <w:t>transtrochanteric</w:t>
      </w:r>
      <w:proofErr w:type="spellEnd"/>
      <w:r>
        <w:t xml:space="preserve">; </w:t>
      </w:r>
      <w:r w:rsidRPr="001C719B">
        <w:t>UFH=unfractionate</w:t>
      </w:r>
      <w:r>
        <w:t>d heparin; VFP=venous foot pump</w:t>
      </w:r>
      <w:bookmarkEnd w:id="0"/>
    </w:p>
    <w:sectPr w:rsidR="00A5680A" w:rsidSect="002E12E7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28" w:rsidRDefault="000C6128">
      <w:r>
        <w:separator/>
      </w:r>
    </w:p>
  </w:endnote>
  <w:endnote w:type="continuationSeparator" w:id="0">
    <w:p w:rsidR="000C6128" w:rsidRDefault="000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28" w:rsidRDefault="000C6128">
      <w:r>
        <w:separator/>
      </w:r>
    </w:p>
  </w:footnote>
  <w:footnote w:type="continuationSeparator" w:id="0">
    <w:p w:rsidR="000C6128" w:rsidRDefault="000C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128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257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2E7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661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11</TotalTime>
  <Pages>11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2012-04-02T11:38:00Z</dcterms:modified>
</cp:coreProperties>
</file>