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69.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567"/>
        <w:gridCol w:w="1056"/>
        <w:gridCol w:w="1197"/>
        <w:gridCol w:w="1099"/>
        <w:gridCol w:w="1004"/>
        <w:gridCol w:w="1004"/>
        <w:gridCol w:w="1197"/>
        <w:gridCol w:w="1113"/>
        <w:gridCol w:w="1021"/>
        <w:gridCol w:w="1021"/>
      </w:tblGrid>
      <w:tr w:rsidR="00BB5431" w:rsidRPr="00B25B13" w:rsidTr="00BB5431">
        <w:trPr>
          <w:trHeight w:val="300"/>
        </w:trPr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shd w:val="clear" w:color="C0C0C0" w:fill="C0C0C0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Outcome_1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yr_2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0" w:type="auto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</w:tr>
      <w:tr w:rsidR="00BB5431" w:rsidRPr="00B25B13" w:rsidTr="00BB543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Geyer, USA,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 (3)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 (3)</w:t>
            </w:r>
          </w:p>
        </w:tc>
      </w:tr>
      <w:tr w:rsidR="00BB5431" w:rsidRPr="00B25B13" w:rsidTr="00BB543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Packer, USA, 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0" w:type="auto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86 (9)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81 (2)</w:t>
            </w:r>
          </w:p>
        </w:tc>
      </w:tr>
      <w:tr w:rsidR="00BB5431" w:rsidRPr="00B25B13" w:rsidTr="00BB543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 (13-100)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 (13-100)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Taylor, UK, 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52760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 (38-62)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 (32-56)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 (28-51)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35 (23-46)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067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ADF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4E42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19E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D6526-E147-427B-BE6A-53AD5B9A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453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2012-02-28T11:10:00Z</dcterms:modified>
</cp:coreProperties>
</file>