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C54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5000" w:type="pct"/>
        <w:tblLook w:val="04A0"/>
      </w:tblPr>
      <w:tblGrid>
        <w:gridCol w:w="1637"/>
        <w:gridCol w:w="1329"/>
        <w:gridCol w:w="1318"/>
        <w:gridCol w:w="1333"/>
        <w:gridCol w:w="1341"/>
        <w:gridCol w:w="1323"/>
        <w:gridCol w:w="1831"/>
        <w:gridCol w:w="1723"/>
        <w:gridCol w:w="1341"/>
      </w:tblGrid>
      <w:tr w:rsidR="00BB5431" w:rsidRPr="00B25B13" w:rsidTr="00BB5431">
        <w:trPr>
          <w:trHeight w:val="120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trHeight w:val="12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Agarwal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72940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9-59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 (92)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Testes (65); Chest/Neck/RP (27); CNS (8)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NS (84); SM (16)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(11%) pediatric patients (0-19 yrs)</w:t>
            </w:r>
          </w:p>
        </w:tc>
      </w:tr>
      <w:tr w:rsidR="00BB5431" w:rsidRPr="00B25B13" w:rsidTr="00BB5431">
        <w:trPr>
          <w:trHeight w:val="12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Lazarus, USA, 2007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72950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15-20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Testes (90);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Extragonadal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(10)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NS (53); SM (21); CC (16); EB (5); Other (5)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9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Giorgi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UK, 2005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 (56)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(39);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Sacr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(39); Retro (17); Med (6)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NG (94); GM (6)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3A5D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99C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4CEE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420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D33C4-7DE1-4289-941A-68F9C30B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600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2012-02-28T11:05:00Z</dcterms:modified>
</cp:coreProperties>
</file>