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9938737"/>
      <w:bookmarkStart w:id="1" w:name="_Toc279939110"/>
      <w:bookmarkStart w:id="2" w:name="_GoBack"/>
      <w:bookmarkEnd w:id="2"/>
      <w:proofErr w:type="gramStart"/>
      <w:r w:rsidRPr="00D92B23">
        <w:t xml:space="preserve">Table </w:t>
      </w:r>
      <w:r>
        <w:t>G-5</w:t>
      </w:r>
      <w:r w:rsidRPr="00D92B23">
        <w:t>.</w:t>
      </w:r>
      <w:proofErr w:type="gramEnd"/>
      <w:r w:rsidRPr="00D92B23">
        <w:t xml:space="preserve"> Change from baseline in health-related quality of life in controlled studies comparing innovator versus generic </w:t>
      </w:r>
      <w:r w:rsidR="008638F3">
        <w:br/>
      </w:r>
      <w:r>
        <w:t>antiepileptic drugs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4552"/>
        <w:gridCol w:w="1178"/>
        <w:gridCol w:w="859"/>
        <w:gridCol w:w="988"/>
        <w:gridCol w:w="1054"/>
        <w:gridCol w:w="1082"/>
        <w:gridCol w:w="1150"/>
      </w:tblGrid>
      <w:tr w:rsidR="00732CC3" w:rsidRPr="002A7D43" w:rsidTr="008638F3">
        <w:trPr>
          <w:cantSplit/>
          <w:tblHeader/>
        </w:trPr>
        <w:tc>
          <w:tcPr>
            <w:tcW w:w="23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 xml:space="preserve">Study, </w:t>
            </w:r>
            <w:r>
              <w:t>Y</w:t>
            </w:r>
            <w:r w:rsidRPr="002A7D43">
              <w:t>ear</w:t>
            </w:r>
          </w:p>
        </w:tc>
        <w:tc>
          <w:tcPr>
            <w:tcW w:w="4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>Group</w:t>
            </w:r>
          </w:p>
        </w:tc>
        <w:tc>
          <w:tcPr>
            <w:tcW w:w="11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>N</w:t>
            </w:r>
          </w:p>
        </w:tc>
        <w:tc>
          <w:tcPr>
            <w:tcW w:w="8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 xml:space="preserve">Scale </w:t>
            </w:r>
            <w:r>
              <w:t>U</w:t>
            </w:r>
            <w:r w:rsidRPr="002A7D43">
              <w:t>sed</w:t>
            </w:r>
          </w:p>
        </w:tc>
        <w:tc>
          <w:tcPr>
            <w:tcW w:w="9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>Overall Score</w:t>
            </w:r>
          </w:p>
        </w:tc>
        <w:tc>
          <w:tcPr>
            <w:tcW w:w="10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>Subscore 1</w:t>
            </w:r>
          </w:p>
        </w:tc>
        <w:tc>
          <w:tcPr>
            <w:tcW w:w="10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>Subscore 2</w:t>
            </w:r>
          </w:p>
        </w:tc>
        <w:tc>
          <w:tcPr>
            <w:tcW w:w="11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A7D43">
              <w:t>Subscore 3</w:t>
            </w:r>
          </w:p>
        </w:tc>
      </w:tr>
      <w:tr w:rsidR="00B83FF2" w:rsidRPr="002A7D43" w:rsidTr="008638F3">
        <w:trPr>
          <w:cantSplit/>
          <w:trHeight w:hRule="exact" w:val="288"/>
        </w:trPr>
        <w:tc>
          <w:tcPr>
            <w:tcW w:w="13176" w:type="dxa"/>
            <w:gridSpan w:val="8"/>
            <w:tcBorders>
              <w:top w:val="double" w:sz="4" w:space="0" w:color="auto"/>
            </w:tcBorders>
            <w:vAlign w:val="center"/>
          </w:tcPr>
          <w:p w:rsidR="00CA7633" w:rsidRDefault="000D0787">
            <w:pPr>
              <w:pStyle w:val="TableSubhead"/>
              <w:jc w:val="center"/>
              <w:rPr>
                <w:noProof/>
              </w:rPr>
            </w:pPr>
            <w:r>
              <w:t>Unspecified Innovator and Brand Antiepileptic Drug Products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Rascati, 2009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Cases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991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Controls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2973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Zachry, 2009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Cases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416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Controls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1248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Devine, 2010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Cases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2949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Controls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8847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Labiner, 2010a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Branded carbamazepine, gabapentin, phenytoin, primidone, zonisamide (manufacturer not reported)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18,125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Carbamazepine, gabapentin, phenytoin, primidone, zonisamide (manufacturer not reported)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Labiner, 2010b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Branded carbamazepine, gabapentin, phenytoin, primidone, zonisamide (manufacturer not reported)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15,500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Carbamazepine, gabapentin, phenytoin, primidone, zonisamide (manufacturer not reported)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B83FF2" w:rsidRPr="002A7D43" w:rsidTr="008638F3">
        <w:trPr>
          <w:cantSplit/>
          <w:trHeight w:hRule="exact" w:val="288"/>
        </w:trPr>
        <w:tc>
          <w:tcPr>
            <w:tcW w:w="13176" w:type="dxa"/>
            <w:gridSpan w:val="8"/>
            <w:vAlign w:val="center"/>
          </w:tcPr>
          <w:p w:rsidR="00CA7633" w:rsidRDefault="00B83FF2">
            <w:pPr>
              <w:pStyle w:val="TableSubhead"/>
              <w:jc w:val="center"/>
            </w:pPr>
            <w:r w:rsidRPr="00857546">
              <w:t>Carbamazepine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Kauko, 1974a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Generic Carbamazepine (Laake Oy)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Kauko, 1974b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Generic Carbamazepine (Laake Oy)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Glende, 1983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5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(AWD Dresden)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Jumao-as, 1989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Generic Carbamazepine (Parke Davis)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Hartley, 1990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(Ciba-Geigy)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23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(Ethical Generics)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Hartley, 1991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(Ethical Generics)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Oles, 1992a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20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(Lemmon Co)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Oles, 1992b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20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(Lemmon Co)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Reunanen, 1992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Retard (Ciba-Geigy)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21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(Laakefarmos)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</w:tbl>
    <w:p w:rsidR="00180693" w:rsidRDefault="001806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4552"/>
        <w:gridCol w:w="1178"/>
        <w:gridCol w:w="859"/>
        <w:gridCol w:w="988"/>
        <w:gridCol w:w="1054"/>
        <w:gridCol w:w="1082"/>
        <w:gridCol w:w="1150"/>
      </w:tblGrid>
      <w:tr w:rsidR="00180693" w:rsidRPr="002A7D43" w:rsidTr="00180693">
        <w:trPr>
          <w:cantSplit/>
          <w:tblHeader/>
        </w:trPr>
        <w:tc>
          <w:tcPr>
            <w:tcW w:w="1317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180693">
            <w:pPr>
              <w:pStyle w:val="TableTitle"/>
              <w:rPr>
                <w:rFonts w:eastAsia="Times New Roman"/>
              </w:rPr>
            </w:pPr>
            <w:r w:rsidRPr="00D92B23">
              <w:lastRenderedPageBreak/>
              <w:t xml:space="preserve">Table </w:t>
            </w:r>
            <w:r>
              <w:t>G-5</w:t>
            </w:r>
            <w:r w:rsidRPr="00D92B23">
              <w:t xml:space="preserve">. Change from baseline in health-related quality of life in controlled studies comparing innovator versus generic </w:t>
            </w:r>
            <w:r>
              <w:br/>
              <w:t>antiepileptic drugs (continued)</w:t>
            </w:r>
          </w:p>
        </w:tc>
      </w:tr>
      <w:tr w:rsidR="00180693" w:rsidRPr="002A7D43" w:rsidTr="00180693">
        <w:trPr>
          <w:cantSplit/>
          <w:tblHeader/>
        </w:trPr>
        <w:tc>
          <w:tcPr>
            <w:tcW w:w="23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80693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 xml:space="preserve">Study, </w:t>
            </w:r>
            <w:r>
              <w:t>Y</w:t>
            </w:r>
            <w:r w:rsidRPr="002A7D43">
              <w:t>ear</w:t>
            </w:r>
          </w:p>
        </w:tc>
        <w:tc>
          <w:tcPr>
            <w:tcW w:w="4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80693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Group</w:t>
            </w:r>
          </w:p>
        </w:tc>
        <w:tc>
          <w:tcPr>
            <w:tcW w:w="11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80693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N</w:t>
            </w:r>
          </w:p>
        </w:tc>
        <w:tc>
          <w:tcPr>
            <w:tcW w:w="8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80693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 xml:space="preserve">Scale </w:t>
            </w:r>
            <w:r>
              <w:t>U</w:t>
            </w:r>
            <w:r w:rsidRPr="002A7D43">
              <w:t>sed</w:t>
            </w:r>
          </w:p>
        </w:tc>
        <w:tc>
          <w:tcPr>
            <w:tcW w:w="9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80693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Overall Score</w:t>
            </w:r>
          </w:p>
        </w:tc>
        <w:tc>
          <w:tcPr>
            <w:tcW w:w="10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80693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Subscore 1</w:t>
            </w:r>
          </w:p>
        </w:tc>
        <w:tc>
          <w:tcPr>
            <w:tcW w:w="10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80693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Subscore 2</w:t>
            </w:r>
          </w:p>
        </w:tc>
        <w:tc>
          <w:tcPr>
            <w:tcW w:w="11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80693">
            <w:pPr>
              <w:pStyle w:val="TableColumnHead"/>
              <w:rPr>
                <w:rFonts w:eastAsia="Times New Roman"/>
                <w:noProof/>
              </w:rPr>
            </w:pPr>
            <w:r w:rsidRPr="002A7D43">
              <w:t>Subscore 3</w:t>
            </w:r>
          </w:p>
        </w:tc>
      </w:tr>
      <w:tr w:rsidR="008638F3" w:rsidRPr="002A7D43" w:rsidTr="00180693">
        <w:trPr>
          <w:cantSplit/>
        </w:trPr>
        <w:tc>
          <w:tcPr>
            <w:tcW w:w="2313" w:type="dxa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8638F3">
            <w:pPr>
              <w:pStyle w:val="TableText"/>
            </w:pPr>
            <w:r w:rsidRPr="00B66EF6">
              <w:t>Silpakit, 1997</w:t>
            </w:r>
          </w:p>
        </w:tc>
        <w:tc>
          <w:tcPr>
            <w:tcW w:w="4552" w:type="dxa"/>
            <w:tcBorders>
              <w:top w:val="double" w:sz="4" w:space="0" w:color="auto"/>
            </w:tcBorders>
          </w:tcPr>
          <w:p w:rsidR="00CA7633" w:rsidRDefault="008638F3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18</w:t>
            </w:r>
          </w:p>
        </w:tc>
        <w:tc>
          <w:tcPr>
            <w:tcW w:w="859" w:type="dxa"/>
            <w:tcBorders>
              <w:top w:val="double" w:sz="4" w:space="0" w:color="auto"/>
            </w:tcBorders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tcBorders>
              <w:top w:val="double" w:sz="4" w:space="0" w:color="auto"/>
            </w:tcBorders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(Central Poly)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(Condrugs)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(Pharmaland)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Aldenkamp, 1998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Generic (Pharmachemie)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Generic (Pharbita)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Garnett, 2005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(Novartis)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275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Generic (Various/Unspecified) Tablets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705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LeLorier, 2008d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Tegretol CR (manufacturer not reported)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851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Carbamazepine CR (manufacturer not reported)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  <w:trHeight w:hRule="exact" w:val="288"/>
        </w:trPr>
        <w:tc>
          <w:tcPr>
            <w:tcW w:w="13176" w:type="dxa"/>
            <w:gridSpan w:val="8"/>
            <w:vAlign w:val="center"/>
          </w:tcPr>
          <w:p w:rsidR="00CA7633" w:rsidRDefault="008638F3">
            <w:pPr>
              <w:pStyle w:val="TableSubhead"/>
              <w:jc w:val="center"/>
            </w:pPr>
            <w:r w:rsidRPr="00857546">
              <w:t>Clobazam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Andermann, 2007b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Frisium (manufacturer not reported)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1600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Clobazam (manufacturers not reported)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LeLorier, 2008b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Frisium (manufacturer not reported)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1060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Clobazam (manufacturer not reported)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  <w:trHeight w:hRule="exact" w:val="288"/>
        </w:trPr>
        <w:tc>
          <w:tcPr>
            <w:tcW w:w="13176" w:type="dxa"/>
            <w:gridSpan w:val="8"/>
            <w:vAlign w:val="center"/>
          </w:tcPr>
          <w:p w:rsidR="00CA7633" w:rsidRDefault="008638F3">
            <w:pPr>
              <w:pStyle w:val="TableSubhead"/>
              <w:jc w:val="center"/>
            </w:pPr>
            <w:r w:rsidRPr="00857546">
              <w:t>Gabapentin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LeLorier, 2008c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Neurontin (manufacturer not reported)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202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Gabapentin (manufacturer not reported)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54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082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  <w:trHeight w:hRule="exact" w:val="288"/>
        </w:trPr>
        <w:tc>
          <w:tcPr>
            <w:tcW w:w="13176" w:type="dxa"/>
            <w:gridSpan w:val="8"/>
            <w:vAlign w:val="center"/>
          </w:tcPr>
          <w:p w:rsidR="00CA7633" w:rsidRDefault="008638F3">
            <w:pPr>
              <w:pStyle w:val="TableSubhead"/>
              <w:jc w:val="center"/>
            </w:pPr>
            <w:r w:rsidRPr="00857546">
              <w:t>Lamotrigine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Andermann, 2007a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Lamictal (GlaxoSmithKline)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1142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Lamotrigine (manufacturers not reported)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LeLorier, 2008a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 xml:space="preserve">Lamictal (GlaxoSmithKline) 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671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Lamotrigine (manufacturer(s) not reported)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Nielsen, 2008a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Lamictal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9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Lamotrigine (Copyform, Hexal, Ratiofarm, Ratiopharm, Farma, Actavis, Stada)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B83FF2" w:rsidRPr="002A7D43" w:rsidTr="008638F3">
        <w:trPr>
          <w:cantSplit/>
          <w:trHeight w:hRule="exact" w:val="288"/>
        </w:trPr>
        <w:tc>
          <w:tcPr>
            <w:tcW w:w="13176" w:type="dxa"/>
            <w:gridSpan w:val="8"/>
            <w:vAlign w:val="center"/>
          </w:tcPr>
          <w:p w:rsidR="00CA7633" w:rsidRDefault="00B83FF2">
            <w:pPr>
              <w:pStyle w:val="TableSubhead"/>
              <w:jc w:val="center"/>
            </w:pPr>
            <w:r w:rsidRPr="00857546">
              <w:t>Levetiracetam</w:t>
            </w:r>
            <w:r>
              <w:t>,</w:t>
            </w:r>
            <w:r w:rsidR="008638F3">
              <w:t xml:space="preserve"> </w:t>
            </w:r>
            <w:r w:rsidRPr="00B66EF6">
              <w:t>Oxcarbazepine</w:t>
            </w:r>
            <w:r>
              <w:t>,</w:t>
            </w:r>
            <w:r w:rsidR="008638F3">
              <w:t xml:space="preserve"> </w:t>
            </w:r>
            <w:r w:rsidRPr="00B66EF6">
              <w:t>Phenobarbital or Primidone</w:t>
            </w:r>
            <w:r w:rsidR="008638F3">
              <w:t xml:space="preserve">, </w:t>
            </w:r>
            <w:r w:rsidRPr="00B66EF6">
              <w:t>Phenytoin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 xml:space="preserve">Lund, 1974 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Epanutin (Parke-Davis) capsules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9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(Leo) capsules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Chen, 1982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Epanutin (Parke-Davis) capsules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18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(Boots)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(Cox)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(Kerfoot)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(McCarthy UK)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Hodges, 1986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(Parke-Davis) capsules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19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(Boots)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(Evans)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Kishore, 1986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 xml:space="preserve">Dilantin (Parke-Davis, India) capsules 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859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8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0" w:type="auto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0" w:type="auto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5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 xml:space="preserve">Phenytoin (Epsolin, Cadila) tablets 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859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8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0" w:type="auto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0" w:type="auto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5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 xml:space="preserve">Phenytoin (Eptoin, Boots India) tablets 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859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8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0" w:type="auto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0" w:type="auto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5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(Epileptin, Indian Drugs and Pharmaceuticals) capsules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859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8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0" w:type="auto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0" w:type="auto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5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732CC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732CC3">
            <w:pPr>
              <w:pStyle w:val="TableText"/>
              <w:rPr>
                <w:vertAlign w:val="superscript"/>
              </w:rPr>
            </w:pPr>
            <w:r w:rsidRPr="00B66EF6">
              <w:t xml:space="preserve">Mikati, 1992 </w:t>
            </w:r>
          </w:p>
        </w:tc>
        <w:tc>
          <w:tcPr>
            <w:tcW w:w="4552" w:type="dxa"/>
          </w:tcPr>
          <w:p w:rsidR="00CA7633" w:rsidRDefault="00732CC3">
            <w:pPr>
              <w:pStyle w:val="TableText"/>
              <w:rPr>
                <w:b/>
              </w:rPr>
            </w:pPr>
            <w:r w:rsidRPr="00B66EF6">
              <w:t>Dilantin (Parke-Davis) capsules</w:t>
            </w:r>
          </w:p>
        </w:tc>
        <w:tc>
          <w:tcPr>
            <w:tcW w:w="1178" w:type="dxa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859" w:type="dxa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732CC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732CC3">
            <w:pPr>
              <w:pStyle w:val="TableText"/>
              <w:rPr>
                <w:b/>
              </w:rPr>
            </w:pPr>
            <w:r w:rsidRPr="00B66EF6">
              <w:t>Phenytoin (Phenytex, manufacturer not reported) capsules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  <w:rPr>
                <w:vertAlign w:val="superscript"/>
              </w:rPr>
            </w:pPr>
            <w:r w:rsidRPr="00B66EF6">
              <w:t>Soryal, 1992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Epanutin (Parke-Davis) capsules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14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(Evans)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(APS)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(Cox)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(Kerfoot)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Phenytoin sodium (Regent) tablets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2A0E13" w:rsidRPr="002A7D43" w:rsidTr="008638F3">
        <w:trPr>
          <w:cantSplit/>
          <w:trHeight w:hRule="exact" w:val="288"/>
        </w:trPr>
        <w:tc>
          <w:tcPr>
            <w:tcW w:w="13176" w:type="dxa"/>
            <w:gridSpan w:val="8"/>
            <w:vAlign w:val="center"/>
          </w:tcPr>
          <w:p w:rsidR="00CA7633" w:rsidRDefault="002A0E13">
            <w:pPr>
              <w:pStyle w:val="TableSubhead"/>
              <w:jc w:val="center"/>
            </w:pPr>
            <w:r w:rsidRPr="00857546">
              <w:t>Topiramate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Duh, 2009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Topamax (Ortho-McNeil)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875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 xml:space="preserve">Topiramate (Various manufacturers) </w:t>
            </w:r>
            <w:r w:rsidRPr="00B66EF6">
              <w:rPr>
                <w:rFonts w:hint="eastAsia"/>
              </w:rPr>
              <w:t>–</w:t>
            </w:r>
            <w:r w:rsidRPr="00B66EF6">
              <w:t xml:space="preserve"> Single Product Users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331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 xml:space="preserve">Topiramate (Various manufacturers) </w:t>
            </w:r>
            <w:r w:rsidRPr="00B66EF6">
              <w:rPr>
                <w:rFonts w:hint="eastAsia"/>
              </w:rPr>
              <w:t>–</w:t>
            </w:r>
            <w:r w:rsidRPr="00B66EF6">
              <w:t xml:space="preserve"> Multiple Product Users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99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  <w:rPr>
                <w:vertAlign w:val="superscript"/>
              </w:rPr>
            </w:pPr>
            <w:r w:rsidRPr="00B66EF6">
              <w:t>Paradis 2009</w:t>
            </w:r>
            <w:r w:rsidRPr="00B66EF6">
              <w:rPr>
                <w:vertAlign w:val="superscript"/>
              </w:rPr>
              <w:t xml:space="preserve">b 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Topamax (Ortho-McNeil)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Topiramate (Various manufacturers)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  <w:trHeight w:hRule="exact" w:val="288"/>
        </w:trPr>
        <w:tc>
          <w:tcPr>
            <w:tcW w:w="13176" w:type="dxa"/>
            <w:gridSpan w:val="8"/>
            <w:vAlign w:val="center"/>
          </w:tcPr>
          <w:p w:rsidR="00CA7633" w:rsidRDefault="008638F3">
            <w:pPr>
              <w:pStyle w:val="TableSubhead"/>
              <w:jc w:val="center"/>
            </w:pPr>
            <w:r w:rsidRPr="00857546">
              <w:t>Valproic Acid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Vadney, 1997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Depakene (Abbott)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64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Valproic acid (Solvay)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 w:val="restart"/>
            <w:vAlign w:val="center"/>
          </w:tcPr>
          <w:p w:rsidR="00CA7633" w:rsidRDefault="008638F3">
            <w:pPr>
              <w:pStyle w:val="TableText"/>
            </w:pPr>
            <w:r w:rsidRPr="00B66EF6">
              <w:t>Andermann, 2007c</w:t>
            </w: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Depakene (manufacturer not reported)</w:t>
            </w:r>
          </w:p>
        </w:tc>
        <w:tc>
          <w:tcPr>
            <w:tcW w:w="117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2017</w:t>
            </w: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8638F3" w:rsidRPr="002A7D43" w:rsidTr="008638F3">
        <w:trPr>
          <w:cantSplit/>
        </w:trPr>
        <w:tc>
          <w:tcPr>
            <w:tcW w:w="2313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4552" w:type="dxa"/>
          </w:tcPr>
          <w:p w:rsidR="00CA7633" w:rsidRDefault="008638F3">
            <w:pPr>
              <w:pStyle w:val="TableText"/>
            </w:pPr>
            <w:r w:rsidRPr="00B66EF6">
              <w:t>Valproic Acid (manufacturers not reported)</w:t>
            </w:r>
          </w:p>
        </w:tc>
        <w:tc>
          <w:tcPr>
            <w:tcW w:w="1178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859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988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0" w:type="auto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50" w:type="dxa"/>
            <w:vAlign w:val="center"/>
          </w:tcPr>
          <w:p w:rsidR="00CA7633" w:rsidRDefault="008638F3">
            <w:pPr>
              <w:pStyle w:val="TableText"/>
              <w:jc w:val="center"/>
            </w:pPr>
            <w:r w:rsidRPr="00B66EF6">
              <w:t>-</w:t>
            </w:r>
          </w:p>
        </w:tc>
      </w:tr>
    </w:tbl>
    <w:p w:rsidR="00CA7633" w:rsidRDefault="00732CC3">
      <w:pPr>
        <w:pStyle w:val="TableNote"/>
      </w:pPr>
      <w:r w:rsidRPr="00B66EF6">
        <w:t>-</w:t>
      </w:r>
      <w:r>
        <w:t xml:space="preserve"> </w:t>
      </w:r>
      <w:r w:rsidRPr="00B66EF6">
        <w:t>=</w:t>
      </w:r>
      <w:r>
        <w:t xml:space="preserve"> </w:t>
      </w:r>
      <w:r w:rsidRPr="00B66EF6">
        <w:t>not reported; N</w:t>
      </w:r>
      <w:r>
        <w:t xml:space="preserve"> </w:t>
      </w:r>
      <w:r w:rsidRPr="00B66EF6">
        <w:t>=</w:t>
      </w:r>
      <w:r>
        <w:t xml:space="preserve"> </w:t>
      </w:r>
      <w:r w:rsidRPr="00B66EF6">
        <w:t>sample size</w:t>
      </w:r>
    </w:p>
    <w:sectPr w:rsidR="00CA7633" w:rsidSect="003771C7">
      <w:pgSz w:w="15840" w:h="12240" w:orient="landscape"/>
      <w:pgMar w:top="1440" w:right="1440" w:bottom="1440" w:left="1440" w:header="720" w:footer="66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C3" w:rsidRDefault="001678C3">
      <w:r>
        <w:separator/>
      </w:r>
    </w:p>
  </w:endnote>
  <w:endnote w:type="continuationSeparator" w:id="0">
    <w:p w:rsidR="001678C3" w:rsidRDefault="0016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C3" w:rsidRDefault="001678C3">
      <w:r>
        <w:separator/>
      </w:r>
    </w:p>
  </w:footnote>
  <w:footnote w:type="continuationSeparator" w:id="0">
    <w:p w:rsidR="001678C3" w:rsidRDefault="0016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8C3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771C7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67A2-E57B-4D99-9F23-8987F7E5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5255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2012-01-28T06:25:00Z</dcterms:modified>
</cp:coreProperties>
</file>