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0"/>
      </w:pPr>
      <w:bookmarkStart w:id="0" w:name="_Toc279938742"/>
      <w:bookmarkStart w:id="1" w:name="_Toc279939115"/>
      <w:r w:rsidRPr="00882D1E">
        <w:t xml:space="preserve">Table </w:t>
      </w:r>
      <w:r>
        <w:t>G-10</w:t>
      </w:r>
      <w:r w:rsidRPr="00882D1E">
        <w:t xml:space="preserve">. Seizure outcomes in studies comparing </w:t>
      </w:r>
      <w:r>
        <w:t>older versus newer antiepileptic drugs</w:t>
      </w:r>
      <w:bookmarkEnd w:id="0"/>
      <w:bookmarkEnd w:id="1"/>
    </w:p>
    <w:tbl>
      <w:tblPr>
        <w:tblW w:w="3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1611"/>
        <w:gridCol w:w="1899"/>
        <w:gridCol w:w="748"/>
        <w:gridCol w:w="3029"/>
        <w:gridCol w:w="2879"/>
      </w:tblGrid>
      <w:tr w:rsidR="00732CC3" w:rsidRPr="00882D1E" w:rsidTr="007A75E0">
        <w:trPr>
          <w:cantSplit/>
          <w:tblHeader/>
        </w:trPr>
        <w:tc>
          <w:tcPr>
            <w:tcW w:w="79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Study</w:t>
            </w:r>
            <w:r>
              <w:t>,</w:t>
            </w:r>
            <w:r w:rsidRPr="00882D1E">
              <w:t xml:space="preserve"> </w:t>
            </w:r>
            <w:r>
              <w:t>Y</w:t>
            </w:r>
            <w:r w:rsidRPr="00882D1E">
              <w:t>ear</w:t>
            </w:r>
          </w:p>
        </w:tc>
        <w:tc>
          <w:tcPr>
            <w:tcW w:w="9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Group</w:t>
            </w:r>
          </w:p>
        </w:tc>
        <w:tc>
          <w:tcPr>
            <w:tcW w:w="36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>N</w:t>
            </w:r>
          </w:p>
        </w:tc>
        <w:tc>
          <w:tcPr>
            <w:tcW w:w="149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Change </w:t>
            </w:r>
            <w:r>
              <w:t>F</w:t>
            </w:r>
            <w:r w:rsidRPr="00882D1E">
              <w:t xml:space="preserve">rom </w:t>
            </w:r>
            <w:r>
              <w:t>B</w:t>
            </w:r>
            <w:r w:rsidRPr="00882D1E">
              <w:t xml:space="preserve">aseline in </w:t>
            </w:r>
            <w:r>
              <w:t>S</w:t>
            </w:r>
            <w:r w:rsidRPr="00882D1E">
              <w:t xml:space="preserve">eizure </w:t>
            </w:r>
            <w:r>
              <w:t>F</w:t>
            </w:r>
            <w:r w:rsidRPr="00882D1E">
              <w:t>requency</w:t>
            </w:r>
            <w:r w:rsidR="007A75E0">
              <w:t xml:space="preserve"> </w:t>
            </w:r>
            <w:r>
              <w:t>M</w:t>
            </w:r>
            <w:r w:rsidRPr="00882D1E">
              <w:t>ean (SD)</w:t>
            </w:r>
          </w:p>
        </w:tc>
        <w:tc>
          <w:tcPr>
            <w:tcW w:w="141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882D1E">
              <w:t xml:space="preserve">Time to </w:t>
            </w:r>
            <w:r>
              <w:t>F</w:t>
            </w:r>
            <w:r w:rsidRPr="00882D1E">
              <w:t xml:space="preserve">irst </w:t>
            </w:r>
            <w:r>
              <w:t>S</w:t>
            </w:r>
            <w:r w:rsidRPr="00882D1E">
              <w:t xml:space="preserve">eizure </w:t>
            </w:r>
            <w:r w:rsidR="007A75E0">
              <w:br/>
            </w:r>
            <w:r>
              <w:t>S</w:t>
            </w:r>
            <w:r w:rsidRPr="00882D1E">
              <w:t xml:space="preserve">pecify </w:t>
            </w:r>
            <w:r>
              <w:t>U</w:t>
            </w:r>
            <w:r w:rsidRPr="00882D1E">
              <w:t>nits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Dam, 1989</w:t>
            </w:r>
          </w:p>
        </w:tc>
        <w:tc>
          <w:tcPr>
            <w:tcW w:w="934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82</w:t>
            </w: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No. seizures per month before treatment:</w:t>
            </w:r>
          </w:p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5.8 (14.7)</w:t>
            </w:r>
          </w:p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of seizures during 48 week maintenance phase treatment:</w:t>
            </w:r>
          </w:p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0.3 (1.4)</w:t>
            </w:r>
          </w:p>
        </w:tc>
        <w:tc>
          <w:tcPr>
            <w:tcW w:w="1416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numPr>
                <w:ilvl w:val="1"/>
                <w:numId w:val="0"/>
              </w:num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83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No. seizures per month before treatment :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2.9 ( 7.0)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No of seizures during 48 week  maintenance phase treatment :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0.4 (3.0)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Brodie, 1995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129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131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There was no significant difference between the drugs in time to first seizure after 6 weeks</w:t>
            </w:r>
            <w:r w:rsidRPr="00B66EF6">
              <w:rPr>
                <w:rFonts w:hint="eastAsia"/>
                <w:sz w:val="18"/>
                <w:szCs w:val="18"/>
              </w:rPr>
              <w:t>’</w:t>
            </w:r>
            <w:r w:rsidRPr="00B66EF6">
              <w:rPr>
                <w:sz w:val="18"/>
                <w:szCs w:val="18"/>
              </w:rPr>
              <w:t xml:space="preserve"> treatment for the whole study population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0.8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0.6-2.1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Reunanen, 1996*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117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Lamotrigine100 mg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115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0.8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0.5-1.4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 200 mg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111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0.9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0.5-1.6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</w:tbl>
    <w:p w:rsidR="007A75E0" w:rsidRDefault="007A75E0"/>
    <w:tbl>
      <w:tblPr>
        <w:tblW w:w="3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1611"/>
        <w:gridCol w:w="1899"/>
        <w:gridCol w:w="748"/>
        <w:gridCol w:w="3029"/>
        <w:gridCol w:w="2879"/>
      </w:tblGrid>
      <w:tr w:rsidR="007A75E0" w:rsidRPr="00882D1E" w:rsidTr="007A75E0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7A75E0">
            <w:pPr>
              <w:pStyle w:val="TableTitle"/>
              <w:keepLines/>
              <w:rPr>
                <w:sz w:val="18"/>
                <w:szCs w:val="18"/>
              </w:rPr>
            </w:pPr>
            <w:r w:rsidRPr="00882D1E">
              <w:lastRenderedPageBreak/>
              <w:t xml:space="preserve">Table </w:t>
            </w:r>
            <w:r>
              <w:t>G-10</w:t>
            </w:r>
            <w:r w:rsidRPr="00882D1E">
              <w:t xml:space="preserve">. Seizure outcomes in studies comparing </w:t>
            </w:r>
            <w:r>
              <w:t>older versus newer antiepileptic drugs (continued)</w:t>
            </w:r>
          </w:p>
        </w:tc>
      </w:tr>
      <w:tr w:rsidR="007A75E0" w:rsidRPr="00882D1E" w:rsidTr="007A75E0">
        <w:trPr>
          <w:cantSplit/>
          <w:tblHeader/>
        </w:trPr>
        <w:tc>
          <w:tcPr>
            <w:tcW w:w="792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keepNext/>
              <w:keepLines/>
              <w:rPr>
                <w:noProof/>
              </w:rPr>
            </w:pPr>
            <w:r w:rsidRPr="00882D1E">
              <w:t>Study</w:t>
            </w:r>
            <w:r>
              <w:t>,</w:t>
            </w:r>
            <w:r w:rsidRPr="00882D1E">
              <w:t xml:space="preserve"> </w:t>
            </w:r>
            <w:r>
              <w:t>Y</w:t>
            </w:r>
            <w:r w:rsidRPr="00882D1E">
              <w:t>ear</w:t>
            </w:r>
          </w:p>
        </w:tc>
        <w:tc>
          <w:tcPr>
            <w:tcW w:w="93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keepNext/>
              <w:keepLines/>
              <w:rPr>
                <w:noProof/>
              </w:rPr>
            </w:pPr>
            <w:r w:rsidRPr="00882D1E">
              <w:t>Group</w:t>
            </w:r>
          </w:p>
        </w:tc>
        <w:tc>
          <w:tcPr>
            <w:tcW w:w="36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keepNext/>
              <w:keepLines/>
              <w:rPr>
                <w:noProof/>
              </w:rPr>
            </w:pPr>
            <w:r w:rsidRPr="00882D1E">
              <w:t>N</w:t>
            </w:r>
          </w:p>
        </w:tc>
        <w:tc>
          <w:tcPr>
            <w:tcW w:w="149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keepNext/>
              <w:keepLines/>
              <w:rPr>
                <w:noProof/>
              </w:rPr>
            </w:pPr>
            <w:r w:rsidRPr="00882D1E">
              <w:t xml:space="preserve">Change </w:t>
            </w:r>
            <w:r>
              <w:t>F</w:t>
            </w:r>
            <w:r w:rsidRPr="00882D1E">
              <w:t xml:space="preserve">rom </w:t>
            </w:r>
            <w:r>
              <w:t>B</w:t>
            </w:r>
            <w:r w:rsidRPr="00882D1E">
              <w:t xml:space="preserve">aseline in </w:t>
            </w:r>
            <w:r>
              <w:t>S</w:t>
            </w:r>
            <w:r w:rsidRPr="00882D1E">
              <w:t xml:space="preserve">eizure </w:t>
            </w:r>
            <w:r>
              <w:t>F</w:t>
            </w:r>
            <w:r w:rsidRPr="00882D1E">
              <w:t>requency</w:t>
            </w:r>
            <w:r>
              <w:t xml:space="preserve"> M</w:t>
            </w:r>
            <w:r w:rsidRPr="00882D1E">
              <w:t>ean (SD)</w:t>
            </w:r>
          </w:p>
        </w:tc>
        <w:tc>
          <w:tcPr>
            <w:tcW w:w="141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A75E0">
            <w:pPr>
              <w:pStyle w:val="TableColumnHead"/>
              <w:keepNext/>
              <w:keepLines/>
              <w:rPr>
                <w:noProof/>
              </w:rPr>
            </w:pPr>
            <w:r w:rsidRPr="00882D1E">
              <w:t xml:space="preserve">Time to </w:t>
            </w:r>
            <w:r>
              <w:t>F</w:t>
            </w:r>
            <w:r w:rsidRPr="00882D1E">
              <w:t xml:space="preserve">irst </w:t>
            </w:r>
            <w:r>
              <w:t>S</w:t>
            </w:r>
            <w:r w:rsidRPr="00882D1E">
              <w:t xml:space="preserve">eizure </w:t>
            </w:r>
            <w:r>
              <w:br/>
              <w:t>S</w:t>
            </w:r>
            <w:r w:rsidRPr="00882D1E">
              <w:t xml:space="preserve">pecify </w:t>
            </w:r>
            <w:r>
              <w:t>U</w:t>
            </w:r>
            <w:r w:rsidRPr="00882D1E">
              <w:t>nits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Bill,1997</w:t>
            </w:r>
          </w:p>
        </w:tc>
        <w:tc>
          <w:tcPr>
            <w:tcW w:w="934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Phenytoin</w:t>
            </w:r>
          </w:p>
        </w:tc>
        <w:tc>
          <w:tcPr>
            <w:tcW w:w="368" w:type="pct"/>
            <w:tcBorders>
              <w:top w:val="double" w:sz="4" w:space="0" w:color="auto"/>
            </w:tcBorders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at Baseline: 0.84 (-)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N=144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during 48 week Maintenance: 0.06 (0.15)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N=119</w:t>
            </w:r>
          </w:p>
        </w:tc>
        <w:tc>
          <w:tcPr>
            <w:tcW w:w="1416" w:type="pct"/>
            <w:tcBorders>
              <w:top w:val="double" w:sz="4" w:space="0" w:color="auto"/>
            </w:tcBorders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368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at Baseline: 0.98 (-)</w:t>
            </w:r>
          </w:p>
          <w:p w:rsidR="00CA7633" w:rsidRDefault="007A75E0">
            <w:pPr>
              <w:pStyle w:val="TableText8"/>
              <w:spacing w:after="0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N=143</w:t>
            </w:r>
          </w:p>
          <w:p w:rsidR="00CA7633" w:rsidRDefault="007A75E0">
            <w:pPr>
              <w:pStyle w:val="TableText8"/>
              <w:spacing w:after="0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during 48 week Maintenance: 0.08 (0.26)</w:t>
            </w:r>
          </w:p>
          <w:p w:rsidR="00CA7633" w:rsidRDefault="007A75E0">
            <w:pPr>
              <w:pStyle w:val="TableText8"/>
              <w:spacing w:after="0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N=118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Christie,1997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b/>
                <w:bCs/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Sodium Valproate</w:t>
            </w:r>
          </w:p>
        </w:tc>
        <w:tc>
          <w:tcPr>
            <w:tcW w:w="368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frequency/week at baseline: 1.09 (3.13)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N=121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during 48 week maintenance treatment: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0.40 (1.95)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N=106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368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frequency/week at baseline: 0.58 (1.39)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N=128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per week during 48 week maintenance treatment: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0.17 (0.81)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N=106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Guerreiro, 1997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Pheyntion</w:t>
            </w:r>
          </w:p>
        </w:tc>
        <w:tc>
          <w:tcPr>
            <w:tcW w:w="368" w:type="pct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at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Baseline: 0.66/week  (-)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N=96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During 48 week Maintenance: 0.04/ week (-)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N=77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368" w:type="pct"/>
            <w:vAlign w:val="center"/>
          </w:tcPr>
          <w:p w:rsidR="00CA7633" w:rsidRDefault="00CA7633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at Baseline: 0.68/week (-)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N=97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Seizure Frequency During 48 week Maintenance: 0.07/week (-)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N=81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Chadwick, 1999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226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Time to first seizure after dose stabilization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Adjusted hazard ratio:1.79</w:t>
            </w:r>
          </w:p>
          <w:p w:rsidR="00CA7633" w:rsidRDefault="007A75E0">
            <w:pPr>
              <w:pStyle w:val="TableText8"/>
              <w:keepNext/>
              <w:keepLines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1.33-2.40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Vigabatrin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220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Time to first seizure after dose stabilization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Adjusted hazard ratio:1.79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1.33-2.40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Steiner, 1999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 Phenytoin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Lamotrigine 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86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Time to first seizure after 6 weeks of treatment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1.4, 95% CI: 0.8 to 2.3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Privitera, 2003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126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78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100 mg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210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200 mg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199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Wheless, 2004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Valproate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19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100 mg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38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 200 mg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39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NS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Kang, 2007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43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percentage change from baseline to maintenance in seizure frequency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-100%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45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Mean percentage change from baseline to maintenance in seizure frequency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-100%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Marson, 2007* 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SANAD Arm A</w:t>
            </w:r>
          </w:p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Carbamazepine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Gabapentin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377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Pairwise comparison for 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1.35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1.14-1.60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Pairwise comparison for 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1.23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1.04-1.45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Oxcarbazepine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210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Pairwise comparison for 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1.06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0.84-1.33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378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Pairwise comparison for time to first seizure: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1.05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0.89-1.25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Marson, 2007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‡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 xml:space="preserve">SANAD 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Arm B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Valproic Acid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238</w:t>
            </w:r>
          </w:p>
        </w:tc>
        <w:tc>
          <w:tcPr>
            <w:tcW w:w="1490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Lamotrigine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1490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Pairwise comparison for 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0.71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0.57-0.88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239</w:t>
            </w:r>
          </w:p>
        </w:tc>
        <w:tc>
          <w:tcPr>
            <w:tcW w:w="1490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Pairwise comparison for time to first seizure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Hazard ratio: 0.91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0.73-1.14</w:t>
            </w: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 w:val="restar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lastRenderedPageBreak/>
              <w:t>Ramsay , 2010</w:t>
            </w:r>
            <w:r w:rsidRPr="00B66EF6">
              <w:rPr>
                <w:rFonts w:hint="eastAsia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Pheyntoin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127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CA7633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A75E0" w:rsidRPr="00882D1E" w:rsidTr="007A75E0">
        <w:trPr>
          <w:cantSplit/>
        </w:trPr>
        <w:tc>
          <w:tcPr>
            <w:tcW w:w="792" w:type="pct"/>
            <w:vMerge/>
            <w:vAlign w:val="center"/>
          </w:tcPr>
          <w:p w:rsidR="00CA7633" w:rsidRDefault="00CA7633">
            <w:pPr>
              <w:pStyle w:val="TableText8"/>
              <w:spacing w:after="0"/>
              <w:rPr>
                <w:sz w:val="18"/>
                <w:szCs w:val="18"/>
              </w:rPr>
            </w:pPr>
          </w:p>
        </w:tc>
        <w:tc>
          <w:tcPr>
            <w:tcW w:w="934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Topiramate</w:t>
            </w:r>
          </w:p>
        </w:tc>
        <w:tc>
          <w:tcPr>
            <w:tcW w:w="368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132</w:t>
            </w:r>
          </w:p>
        </w:tc>
        <w:tc>
          <w:tcPr>
            <w:tcW w:w="1490" w:type="pct"/>
            <w:vAlign w:val="center"/>
          </w:tcPr>
          <w:p w:rsidR="00CA7633" w:rsidRDefault="007A75E0">
            <w:pPr>
              <w:pStyle w:val="TableText8"/>
              <w:spacing w:after="0"/>
              <w:jc w:val="center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-</w:t>
            </w:r>
          </w:p>
        </w:tc>
        <w:tc>
          <w:tcPr>
            <w:tcW w:w="1416" w:type="pct"/>
            <w:vAlign w:val="center"/>
          </w:tcPr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HR: 2.0</w:t>
            </w:r>
          </w:p>
          <w:p w:rsidR="00CA7633" w:rsidRDefault="007A75E0">
            <w:pPr>
              <w:pStyle w:val="TableText8"/>
              <w:spacing w:after="0"/>
              <w:rPr>
                <w:sz w:val="18"/>
                <w:szCs w:val="18"/>
              </w:rPr>
            </w:pPr>
            <w:r w:rsidRPr="00B66EF6">
              <w:rPr>
                <w:sz w:val="18"/>
                <w:szCs w:val="18"/>
              </w:rPr>
              <w:t>95% CI: 0.98-4.12</w:t>
            </w:r>
          </w:p>
        </w:tc>
      </w:tr>
    </w:tbl>
    <w:p w:rsidR="00CA7633" w:rsidRDefault="007A75E0">
      <w:pPr>
        <w:pStyle w:val="TableNote"/>
      </w:pPr>
      <w:r w:rsidRPr="00B66EF6">
        <w:t>-</w:t>
      </w:r>
      <w:r>
        <w:t xml:space="preserve"> </w:t>
      </w:r>
      <w:r w:rsidRPr="00B66EF6">
        <w:t>=</w:t>
      </w:r>
      <w:r>
        <w:t xml:space="preserve"> </w:t>
      </w:r>
      <w:r w:rsidRPr="00B66EF6">
        <w:t>not reported</w:t>
      </w:r>
      <w:r>
        <w:t>;</w:t>
      </w:r>
      <w:r w:rsidRPr="00B66EF6">
        <w:t xml:space="preserve"> 95% CI</w:t>
      </w:r>
      <w:r>
        <w:t xml:space="preserve"> </w:t>
      </w:r>
      <w:r w:rsidRPr="00B66EF6">
        <w:t xml:space="preserve">=95% </w:t>
      </w:r>
      <w:r>
        <w:t>c</w:t>
      </w:r>
      <w:r w:rsidRPr="00B66EF6">
        <w:t xml:space="preserve">onfidence </w:t>
      </w:r>
      <w:r>
        <w:t>i</w:t>
      </w:r>
      <w:r w:rsidRPr="00B66EF6">
        <w:t>nterval</w:t>
      </w:r>
      <w:r>
        <w:t>;</w:t>
      </w:r>
      <w:r w:rsidRPr="00B66EF6">
        <w:t xml:space="preserve"> N</w:t>
      </w:r>
      <w:r>
        <w:t xml:space="preserve"> </w:t>
      </w:r>
      <w:r w:rsidRPr="00B66EF6">
        <w:t>=</w:t>
      </w:r>
      <w:r>
        <w:t xml:space="preserve"> s</w:t>
      </w:r>
      <w:r w:rsidRPr="00B66EF6">
        <w:t>ample size; NS</w:t>
      </w:r>
      <w:r>
        <w:t xml:space="preserve"> </w:t>
      </w:r>
      <w:r w:rsidRPr="00B66EF6">
        <w:t>=</w:t>
      </w:r>
      <w:r>
        <w:t xml:space="preserve"> </w:t>
      </w:r>
      <w:r w:rsidRPr="00B66EF6">
        <w:t xml:space="preserve">not significant; SANAD Arm A= Standard and New Antiepileptic Drugs Trial Arm A; </w:t>
      </w:r>
      <w:r>
        <w:br/>
      </w:r>
      <w:r w:rsidRPr="00B66EF6">
        <w:t>Arm B</w:t>
      </w:r>
      <w:r>
        <w:t xml:space="preserve"> </w:t>
      </w:r>
      <w:r w:rsidRPr="00B66EF6">
        <w:t>= Standard and New Antiepileptic Drugs Trial Arm B; SD</w:t>
      </w:r>
      <w:r>
        <w:t xml:space="preserve"> </w:t>
      </w:r>
      <w:r w:rsidRPr="00B66EF6">
        <w:t>=</w:t>
      </w:r>
      <w:r>
        <w:t xml:space="preserve"> s</w:t>
      </w:r>
      <w:r w:rsidRPr="00B66EF6">
        <w:t>tandard deviation</w:t>
      </w:r>
      <w:r>
        <w:br/>
      </w:r>
      <w:r w:rsidR="00732CC3" w:rsidRPr="00B66EF6">
        <w:t>*Carbamazepine group is referent</w:t>
      </w:r>
      <w:r>
        <w:br/>
      </w:r>
      <w:r w:rsidR="00732CC3" w:rsidRPr="00B66EF6">
        <w:rPr>
          <w:rFonts w:hint="eastAsia"/>
        </w:rPr>
        <w:t>†</w:t>
      </w:r>
      <w:r w:rsidR="00732CC3" w:rsidRPr="00B66EF6">
        <w:t>Phenytoin group is referent</w:t>
      </w:r>
      <w:r>
        <w:br/>
      </w:r>
      <w:r w:rsidR="00732CC3" w:rsidRPr="00B66EF6">
        <w:rPr>
          <w:rFonts w:hint="eastAsia"/>
        </w:rPr>
        <w:t>‡</w:t>
      </w:r>
      <w:r w:rsidR="00732CC3" w:rsidRPr="00B66EF6">
        <w:t>Valproic acid group is referent</w:t>
      </w:r>
      <w:bookmarkStart w:id="2" w:name="_GoBack"/>
      <w:bookmarkEnd w:id="2"/>
    </w:p>
    <w:sectPr w:rsidR="00CA7633" w:rsidSect="0013078C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2A" w:rsidRDefault="000F462A">
      <w:r>
        <w:separator/>
      </w:r>
    </w:p>
  </w:endnote>
  <w:endnote w:type="continuationSeparator" w:id="0">
    <w:p w:rsidR="000F462A" w:rsidRDefault="000F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2A" w:rsidRDefault="000F462A">
      <w:r>
        <w:separator/>
      </w:r>
    </w:p>
  </w:footnote>
  <w:footnote w:type="continuationSeparator" w:id="0">
    <w:p w:rsidR="000F462A" w:rsidRDefault="000F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462A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78C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C4A0-3193-465A-A453-DD845D89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4018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2012-01-28T06:37:00Z</dcterms:modified>
</cp:coreProperties>
</file>