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E31394">
      <w:pPr>
        <w:pStyle w:val="ParagraphNoIndent"/>
      </w:pPr>
    </w:p>
    <w:p w:rsidR="00E31394" w:rsidRDefault="00E31394">
      <w:pPr>
        <w:pStyle w:val="ParagraphNoIndent"/>
      </w:pPr>
    </w:p>
    <w:p w:rsidR="00E31394" w:rsidRPr="007E14E7" w:rsidRDefault="00283937" w:rsidP="007E14E7">
      <w:pPr>
        <w:pStyle w:val="TableTitle"/>
      </w:pPr>
      <w:r w:rsidRPr="007E14E7">
        <w:t>Appendix Table C55. Composite vascular outcome definitions, ARB versus ARB trials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283937" w:rsidRPr="006103E8" w:rsidTr="00A351BE"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208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Ref #49</w:t>
            </w:r>
          </w:p>
        </w:tc>
        <w:tc>
          <w:tcPr>
            <w:tcW w:w="748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Cardiovascular morbidity (not defined) or mortality</w:t>
            </w:r>
          </w:p>
        </w:tc>
      </w:tr>
      <w:tr w:rsidR="00283937" w:rsidRPr="006103E8" w:rsidTr="00A351BE"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Galle,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48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Myocardial infarction, stroke, or hospitalization for heart failure or unstable angina, coronary or peripheral revascularization</w:t>
            </w:r>
          </w:p>
        </w:tc>
      </w:tr>
    </w:tbl>
    <w:p w:rsidR="00E31394" w:rsidRDefault="00283937">
      <w:pPr>
        <w:pStyle w:val="TableNote"/>
      </w:pPr>
      <w:r w:rsidRPr="006103E8">
        <w:t>ARB = angiotensin receptor blocker</w:t>
      </w:r>
      <w:bookmarkStart w:id="0" w:name="_GoBack"/>
      <w:bookmarkEnd w:id="0"/>
    </w:p>
    <w:sectPr w:rsidR="00E31394" w:rsidSect="000E262C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71" w:rsidRDefault="00581A71">
      <w:r>
        <w:separator/>
      </w:r>
    </w:p>
  </w:endnote>
  <w:endnote w:type="continuationSeparator" w:id="0">
    <w:p w:rsidR="00581A71" w:rsidRDefault="0058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71" w:rsidRDefault="00581A71">
      <w:r>
        <w:separator/>
      </w:r>
    </w:p>
  </w:footnote>
  <w:footnote w:type="continuationSeparator" w:id="0">
    <w:p w:rsidR="00581A71" w:rsidRDefault="0058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262C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1A71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94D67B-789B-4B16-9D1D-5C9431EA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440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