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E31394" w:rsidRDefault="00283937">
      <w:pPr>
        <w:pStyle w:val="TableTitle"/>
      </w:pPr>
      <w:r w:rsidRPr="006103E8">
        <w:t>Appendix Table C2</w:t>
      </w:r>
      <w:r>
        <w:t>9</w:t>
      </w:r>
      <w:r w:rsidRPr="006103E8">
        <w:t>. Study withdrawals and adverse events (outcomes part D), ACEI plus ARB versus ACEI plus aldosterone antagonist trial</w:t>
      </w:r>
    </w:p>
    <w:tbl>
      <w:tblPr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996"/>
        <w:gridCol w:w="984"/>
        <w:gridCol w:w="780"/>
        <w:gridCol w:w="941"/>
        <w:gridCol w:w="879"/>
        <w:gridCol w:w="936"/>
        <w:gridCol w:w="795"/>
        <w:gridCol w:w="936"/>
        <w:gridCol w:w="1044"/>
        <w:gridCol w:w="1080"/>
        <w:gridCol w:w="1337"/>
        <w:gridCol w:w="1260"/>
      </w:tblGrid>
      <w:tr w:rsidR="00283937" w:rsidRPr="006103E8" w:rsidTr="00A351BE">
        <w:tc>
          <w:tcPr>
            <w:tcW w:w="135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 Withdrawals, Any, n/N (%)</w:t>
            </w:r>
          </w:p>
        </w:tc>
        <w:tc>
          <w:tcPr>
            <w:tcW w:w="17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Events, Any, n/N (%)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Withdrawals Due to Adverse Events, Any, n/N (%)</w:t>
            </w:r>
          </w:p>
        </w:tc>
        <w:tc>
          <w:tcPr>
            <w:tcW w:w="17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Events, Any, n/N (%)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Events, Specific, n/N (%)</w:t>
            </w:r>
          </w:p>
        </w:tc>
        <w:tc>
          <w:tcPr>
            <w:tcW w:w="25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Events, Any, n/N (%)</w:t>
            </w:r>
          </w:p>
        </w:tc>
      </w:tr>
      <w:tr w:rsidR="00283937" w:rsidRPr="006103E8" w:rsidTr="00A351BE">
        <w:tc>
          <w:tcPr>
            <w:tcW w:w="135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</w:tr>
      <w:tr w:rsidR="00283937" w:rsidRPr="006103E8" w:rsidTr="00A351BE"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Mehdi,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9/27 (33.3)</w:t>
            </w:r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10/27 (37.0)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2/26 (7.7)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7/27 (25.9)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0/26 (0.0)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(3.7)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31" w:righ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Recurrent hyperkalemia: 0/26; Withdrawn due to increased SCr: 0/27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Recurrent hyperkalemia: 2/27 (7.4); Withdrawn due to increased SCr: 1/27</w:t>
            </w:r>
          </w:p>
        </w:tc>
      </w:tr>
    </w:tbl>
    <w:p w:rsidR="00E31394" w:rsidRDefault="00283937">
      <w:pPr>
        <w:pStyle w:val="TableNote"/>
      </w:pPr>
      <w:r w:rsidRPr="006103E8">
        <w:t xml:space="preserve">ACEI = angiotensin converting enzyme inhibitor; ARB = antiogensin receptor blocker; AA = aldosterone </w:t>
      </w:r>
      <w:proofErr w:type="gramStart"/>
      <w:r w:rsidRPr="006103E8">
        <w:t>antagonist ;</w:t>
      </w:r>
      <w:proofErr w:type="gramEnd"/>
      <w:r w:rsidRPr="006103E8">
        <w:t xml:space="preserve"> SCr = serum creatinine</w:t>
      </w:r>
      <w:bookmarkStart w:id="0" w:name="_GoBack"/>
      <w:bookmarkEnd w:id="0"/>
    </w:p>
    <w:sectPr w:rsidR="00E31394" w:rsidSect="002D6B09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5D" w:rsidRDefault="00EB325D">
      <w:r>
        <w:separator/>
      </w:r>
    </w:p>
  </w:endnote>
  <w:endnote w:type="continuationSeparator" w:id="0">
    <w:p w:rsidR="00EB325D" w:rsidRDefault="00E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5D" w:rsidRDefault="00EB325D">
      <w:r>
        <w:separator/>
      </w:r>
    </w:p>
  </w:footnote>
  <w:footnote w:type="continuationSeparator" w:id="0">
    <w:p w:rsidR="00EB325D" w:rsidRDefault="00EB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6B09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25D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98AF3D-3924-4663-828A-77647D55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884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