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A351B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83937" w:rsidRPr="006103E8" w:rsidRDefault="00283937" w:rsidP="00A351BE">
      <w:pPr>
        <w:rPr>
          <w:rFonts w:ascii="Arial" w:hAnsi="Arial" w:cs="Arial"/>
          <w:sz w:val="18"/>
          <w:szCs w:val="18"/>
        </w:rPr>
      </w:pPr>
    </w:p>
    <w:p w:rsidR="00283937" w:rsidRPr="006103E8" w:rsidRDefault="00283937" w:rsidP="00E31394">
      <w:pPr>
        <w:pStyle w:val="TableTitle"/>
      </w:pPr>
      <w:r>
        <w:t>Appendix Table C108</w:t>
      </w:r>
      <w:r w:rsidRPr="006103E8">
        <w:t>. Composite vascular outcome definitions, strict versus standa</w:t>
      </w:r>
      <w:r>
        <w:t>rd blood pressure control trial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283937" w:rsidRPr="006103E8" w:rsidTr="00A351BE">
        <w:tc>
          <w:tcPr>
            <w:tcW w:w="1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77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Definition</w:t>
            </w:r>
          </w:p>
        </w:tc>
      </w:tr>
      <w:tr w:rsidR="00283937" w:rsidRPr="006103E8" w:rsidTr="00A351BE">
        <w:tc>
          <w:tcPr>
            <w:tcW w:w="1818" w:type="dxa"/>
            <w:tcBorders>
              <w:top w:val="single" w:sz="12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Wright, 2002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AASK</w:t>
            </w:r>
          </w:p>
        </w:tc>
        <w:tc>
          <w:tcPr>
            <w:tcW w:w="7758" w:type="dxa"/>
            <w:tcBorders>
              <w:top w:val="single" w:sz="12" w:space="0" w:color="auto"/>
              <w:bottom w:val="single" w:sz="12" w:space="0" w:color="auto"/>
            </w:tcBorders>
          </w:tcPr>
          <w:p w:rsidR="00283937" w:rsidRPr="006103E8" w:rsidRDefault="003270ED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283937" w:rsidRPr="006103E8">
              <w:rPr>
                <w:rFonts w:ascii="Arial" w:hAnsi="Arial" w:cs="Arial"/>
                <w:sz w:val="18"/>
                <w:szCs w:val="18"/>
              </w:rPr>
              <w:t>Cardiovascular event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="00283937" w:rsidRPr="006103E8">
              <w:rPr>
                <w:rFonts w:ascii="Arial" w:hAnsi="Arial" w:cs="Arial"/>
                <w:sz w:val="18"/>
                <w:szCs w:val="18"/>
              </w:rPr>
              <w:t xml:space="preserve"> defined as cardiovascular mortality or first cardiovascular hospitalization.</w:t>
            </w:r>
          </w:p>
        </w:tc>
      </w:tr>
    </w:tbl>
    <w:p w:rsidR="00283937" w:rsidRPr="006103E8" w:rsidRDefault="00283937" w:rsidP="00FC5B79">
      <w:pPr>
        <w:rPr>
          <w:rFonts w:ascii="Arial" w:hAnsi="Arial" w:cs="Arial"/>
          <w:sz w:val="18"/>
          <w:szCs w:val="18"/>
        </w:rPr>
      </w:pPr>
    </w:p>
    <w:sectPr w:rsidR="00283937" w:rsidRPr="006103E8" w:rsidSect="00FC5B79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62F" w:rsidRDefault="0083362F">
      <w:r>
        <w:separator/>
      </w:r>
    </w:p>
  </w:endnote>
  <w:endnote w:type="continuationSeparator" w:id="0">
    <w:p w:rsidR="0083362F" w:rsidRDefault="0083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62F" w:rsidRDefault="0083362F">
      <w:r>
        <w:separator/>
      </w:r>
    </w:p>
  </w:footnote>
  <w:footnote w:type="continuationSeparator" w:id="0">
    <w:p w:rsidR="0083362F" w:rsidRDefault="0083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3362F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B79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17E8709-12C9-4BA4-9A4E-9A5A2296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296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