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1C7B7C" w14:textId="5ED62A17" w:rsidR="00255BCA" w:rsidRDefault="00255BCA" w:rsidP="005D722D">
      <w:pPr>
        <w:pStyle w:val="TableTitle"/>
      </w:pPr>
      <w:proofErr w:type="gramStart"/>
      <w:r w:rsidRPr="00EB17DC">
        <w:t xml:space="preserve">Evidence Table </w:t>
      </w:r>
      <w:r w:rsidR="00B0582D">
        <w:t>D-</w:t>
      </w:r>
      <w:r>
        <w:t>16</w:t>
      </w:r>
      <w:r w:rsidRPr="00EB17DC">
        <w:t>.</w:t>
      </w:r>
      <w:proofErr w:type="gramEnd"/>
      <w:r w:rsidRPr="00EB17DC">
        <w:t xml:space="preserve"> </w:t>
      </w:r>
      <w:r>
        <w:t>Institutionalization outcomes in studies comparing interventions</w:t>
      </w:r>
      <w:r w:rsidRPr="009B4923">
        <w:t xml:space="preserve"> to </w:t>
      </w:r>
      <w:r>
        <w:t>prevent development of delirium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8"/>
        <w:gridCol w:w="1815"/>
        <w:gridCol w:w="1878"/>
        <w:gridCol w:w="1878"/>
        <w:gridCol w:w="1878"/>
        <w:gridCol w:w="1891"/>
        <w:gridCol w:w="2246"/>
        <w:gridCol w:w="1878"/>
        <w:gridCol w:w="1878"/>
      </w:tblGrid>
      <w:tr w:rsidR="00255BCA" w:rsidRPr="00016282" w14:paraId="0E606FF1" w14:textId="77777777" w:rsidTr="007957CD">
        <w:trPr>
          <w:cantSplit/>
          <w:trHeight w:val="300"/>
          <w:tblHeader/>
        </w:trPr>
        <w:tc>
          <w:tcPr>
            <w:tcW w:w="1928" w:type="dxa"/>
            <w:tcBorders>
              <w:bottom w:val="single" w:sz="4" w:space="0" w:color="auto"/>
            </w:tcBorders>
            <w:noWrap/>
            <w:hideMark/>
          </w:tcPr>
          <w:p w14:paraId="1C512D41" w14:textId="77777777" w:rsidR="00255BCA" w:rsidRPr="00016282" w:rsidRDefault="00255BCA" w:rsidP="005D722D">
            <w:pPr>
              <w:pStyle w:val="TableColumnHead"/>
            </w:pPr>
            <w:r w:rsidRPr="00016282">
              <w:t>Author, year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noWrap/>
            <w:hideMark/>
          </w:tcPr>
          <w:p w14:paraId="7141C54A" w14:textId="77777777" w:rsidR="00255BCA" w:rsidRPr="00016282" w:rsidRDefault="00255BCA" w:rsidP="005D722D">
            <w:pPr>
              <w:pStyle w:val="TableColumnHead"/>
            </w:pPr>
            <w:r w:rsidRPr="00016282">
              <w:t>Population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hideMark/>
          </w:tcPr>
          <w:p w14:paraId="033AAE4F" w14:textId="77777777" w:rsidR="00255BCA" w:rsidRPr="00016282" w:rsidRDefault="00255BCA" w:rsidP="005D722D">
            <w:pPr>
              <w:pStyle w:val="TableColumnHead"/>
            </w:pPr>
            <w:r w:rsidRPr="00016282">
              <w:t>Intervention group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hideMark/>
          </w:tcPr>
          <w:p w14:paraId="7D3DBB14" w14:textId="77777777" w:rsidR="00255BCA" w:rsidRPr="00016282" w:rsidRDefault="00255BCA" w:rsidP="005D722D">
            <w:pPr>
              <w:pStyle w:val="TableColumnHead"/>
            </w:pPr>
            <w:r w:rsidRPr="00016282">
              <w:t>Control group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hideMark/>
          </w:tcPr>
          <w:p w14:paraId="443ED8D1" w14:textId="77777777" w:rsidR="00255BCA" w:rsidRPr="00016282" w:rsidRDefault="00255BCA" w:rsidP="005D722D">
            <w:pPr>
              <w:pStyle w:val="TableColumnHead"/>
            </w:pPr>
            <w:r w:rsidRPr="00016282">
              <w:t>Route of administration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noWrap/>
            <w:hideMark/>
          </w:tcPr>
          <w:p w14:paraId="3A109FB8" w14:textId="77777777" w:rsidR="00255BCA" w:rsidRPr="00016282" w:rsidRDefault="00255BCA" w:rsidP="005D722D">
            <w:pPr>
              <w:pStyle w:val="TableColumnHead"/>
            </w:pPr>
            <w:r w:rsidRPr="00016282">
              <w:t>Outcome definition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noWrap/>
            <w:hideMark/>
          </w:tcPr>
          <w:p w14:paraId="2ACC2EDC" w14:textId="77777777" w:rsidR="00255BCA" w:rsidRPr="00016282" w:rsidRDefault="00255BCA" w:rsidP="005D722D">
            <w:pPr>
              <w:pStyle w:val="TableColumnHead"/>
            </w:pPr>
            <w:r w:rsidRPr="00016282">
              <w:t>n / N (%), intervention group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hideMark/>
          </w:tcPr>
          <w:p w14:paraId="762E7FAA" w14:textId="77777777" w:rsidR="00255BCA" w:rsidRPr="00016282" w:rsidRDefault="00255BCA" w:rsidP="005D722D">
            <w:pPr>
              <w:pStyle w:val="TableColumnHead"/>
            </w:pPr>
            <w:r w:rsidRPr="00016282">
              <w:t>n / N (%), control group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noWrap/>
            <w:hideMark/>
          </w:tcPr>
          <w:p w14:paraId="70E4A37A" w14:textId="77777777" w:rsidR="00255BCA" w:rsidRPr="00016282" w:rsidRDefault="00255BCA" w:rsidP="005D722D">
            <w:pPr>
              <w:pStyle w:val="TableColumnHead"/>
            </w:pPr>
            <w:r w:rsidRPr="00016282">
              <w:t>Relative risk (95% CI)</w:t>
            </w:r>
          </w:p>
        </w:tc>
      </w:tr>
      <w:tr w:rsidR="00255BCA" w:rsidRPr="00016282" w14:paraId="2D8FE67A" w14:textId="77777777" w:rsidTr="007957CD">
        <w:trPr>
          <w:cantSplit/>
          <w:trHeight w:val="900"/>
        </w:trPr>
        <w:tc>
          <w:tcPr>
            <w:tcW w:w="1928" w:type="dxa"/>
            <w:tcBorders>
              <w:right w:val="nil"/>
            </w:tcBorders>
            <w:shd w:val="clear" w:color="auto" w:fill="auto"/>
          </w:tcPr>
          <w:p w14:paraId="24B32454" w14:textId="77777777" w:rsidR="00255BCA" w:rsidRPr="00016282" w:rsidRDefault="00255BCA" w:rsidP="005D722D">
            <w:pPr>
              <w:pStyle w:val="TableText"/>
            </w:pPr>
            <w:r w:rsidRPr="00016282">
              <w:t>First-generation antipsychotic vs. placebo</w:t>
            </w:r>
          </w:p>
        </w:tc>
        <w:tc>
          <w:tcPr>
            <w:tcW w:w="1815" w:type="dxa"/>
            <w:tcBorders>
              <w:left w:val="nil"/>
              <w:right w:val="nil"/>
            </w:tcBorders>
            <w:shd w:val="clear" w:color="auto" w:fill="auto"/>
          </w:tcPr>
          <w:p w14:paraId="078571B4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</w:tcPr>
          <w:p w14:paraId="2567A8EF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</w:tcPr>
          <w:p w14:paraId="14C8A88D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</w:tcPr>
          <w:p w14:paraId="70F6E6E3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auto"/>
          </w:tcPr>
          <w:p w14:paraId="4B047F1C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</w:tcPr>
          <w:p w14:paraId="068D3DB3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</w:tcPr>
          <w:p w14:paraId="7384BE69" w14:textId="77777777" w:rsidR="00255BCA" w:rsidRPr="00016282" w:rsidRDefault="00255BCA" w:rsidP="005D722D">
            <w:pPr>
              <w:pStyle w:val="TableText"/>
            </w:pPr>
          </w:p>
        </w:tc>
        <w:tc>
          <w:tcPr>
            <w:tcW w:w="1878" w:type="dxa"/>
            <w:tcBorders>
              <w:left w:val="nil"/>
            </w:tcBorders>
            <w:shd w:val="clear" w:color="auto" w:fill="auto"/>
          </w:tcPr>
          <w:p w14:paraId="4689BFCD" w14:textId="77777777" w:rsidR="00255BCA" w:rsidRPr="00016282" w:rsidRDefault="00255BCA" w:rsidP="005D722D">
            <w:pPr>
              <w:pStyle w:val="TableText"/>
            </w:pPr>
          </w:p>
        </w:tc>
      </w:tr>
      <w:tr w:rsidR="00255BCA" w:rsidRPr="00016282" w14:paraId="3855E14E" w14:textId="77777777" w:rsidTr="007957CD">
        <w:trPr>
          <w:cantSplit/>
          <w:trHeight w:val="900"/>
        </w:trPr>
        <w:tc>
          <w:tcPr>
            <w:tcW w:w="1928" w:type="dxa"/>
            <w:shd w:val="clear" w:color="auto" w:fill="auto"/>
            <w:hideMark/>
          </w:tcPr>
          <w:p w14:paraId="0489A958" w14:textId="77777777" w:rsidR="00255BCA" w:rsidRPr="00016282" w:rsidRDefault="00255BCA" w:rsidP="005D722D">
            <w:pPr>
              <w:pStyle w:val="TableText"/>
            </w:pPr>
            <w:r w:rsidRPr="00016282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1815" w:type="dxa"/>
            <w:shd w:val="clear" w:color="auto" w:fill="auto"/>
            <w:hideMark/>
          </w:tcPr>
          <w:p w14:paraId="30325256" w14:textId="77777777" w:rsidR="00255BCA" w:rsidRPr="00016282" w:rsidRDefault="00255BCA" w:rsidP="005D722D">
            <w:pPr>
              <w:pStyle w:val="TableText"/>
            </w:pPr>
            <w:r>
              <w:t>Medical and surgical patients</w:t>
            </w:r>
          </w:p>
        </w:tc>
        <w:tc>
          <w:tcPr>
            <w:tcW w:w="1878" w:type="dxa"/>
            <w:shd w:val="clear" w:color="auto" w:fill="auto"/>
            <w:hideMark/>
          </w:tcPr>
          <w:p w14:paraId="158D7E05" w14:textId="77777777" w:rsidR="00255BCA" w:rsidRPr="00016282" w:rsidRDefault="00255BCA" w:rsidP="005D722D">
            <w:pPr>
              <w:pStyle w:val="TableText"/>
            </w:pPr>
            <w:r w:rsidRPr="00016282">
              <w:t>Haloperidol (Planned dose: 1mg)</w:t>
            </w:r>
          </w:p>
        </w:tc>
        <w:tc>
          <w:tcPr>
            <w:tcW w:w="1878" w:type="dxa"/>
            <w:shd w:val="clear" w:color="auto" w:fill="auto"/>
            <w:hideMark/>
          </w:tcPr>
          <w:p w14:paraId="702831F2" w14:textId="77777777" w:rsidR="00255BCA" w:rsidRPr="00016282" w:rsidRDefault="00255BCA" w:rsidP="005D722D">
            <w:pPr>
              <w:pStyle w:val="TableText"/>
            </w:pPr>
            <w:r>
              <w:t>Placebo</w:t>
            </w:r>
          </w:p>
        </w:tc>
        <w:tc>
          <w:tcPr>
            <w:tcW w:w="1878" w:type="dxa"/>
            <w:shd w:val="clear" w:color="auto" w:fill="auto"/>
            <w:hideMark/>
          </w:tcPr>
          <w:p w14:paraId="51111097" w14:textId="77777777" w:rsidR="00255BCA" w:rsidRPr="00016282" w:rsidRDefault="00255BCA" w:rsidP="005D722D">
            <w:pPr>
              <w:pStyle w:val="TableText"/>
            </w:pPr>
            <w:r w:rsidRPr="00016282">
              <w:t>Oral</w:t>
            </w:r>
          </w:p>
        </w:tc>
        <w:tc>
          <w:tcPr>
            <w:tcW w:w="1891" w:type="dxa"/>
            <w:shd w:val="clear" w:color="auto" w:fill="auto"/>
            <w:hideMark/>
          </w:tcPr>
          <w:p w14:paraId="16B65E7A" w14:textId="77777777" w:rsidR="00255BCA" w:rsidRPr="00016282" w:rsidRDefault="00255BCA" w:rsidP="005D722D">
            <w:pPr>
              <w:pStyle w:val="TableText"/>
            </w:pPr>
            <w:r w:rsidRPr="00016282">
              <w:t>New institutionalization</w:t>
            </w:r>
          </w:p>
        </w:tc>
        <w:tc>
          <w:tcPr>
            <w:tcW w:w="2246" w:type="dxa"/>
            <w:shd w:val="clear" w:color="auto" w:fill="auto"/>
            <w:hideMark/>
          </w:tcPr>
          <w:p w14:paraId="6D533E31" w14:textId="77777777" w:rsidR="00255BCA" w:rsidRPr="00016282" w:rsidRDefault="00255BCA" w:rsidP="005D722D">
            <w:pPr>
              <w:pStyle w:val="TableText"/>
            </w:pPr>
            <w:r w:rsidRPr="00016282">
              <w:t>13 / 118 (18.3%)</w:t>
            </w:r>
          </w:p>
        </w:tc>
        <w:tc>
          <w:tcPr>
            <w:tcW w:w="1878" w:type="dxa"/>
            <w:shd w:val="clear" w:color="auto" w:fill="auto"/>
            <w:hideMark/>
          </w:tcPr>
          <w:p w14:paraId="2D85CFC5" w14:textId="77777777" w:rsidR="00255BCA" w:rsidRPr="00016282" w:rsidRDefault="00255BCA" w:rsidP="005D722D">
            <w:pPr>
              <w:pStyle w:val="TableText"/>
            </w:pPr>
            <w:r w:rsidRPr="00016282">
              <w:t>8 / 124 (11.9%)</w:t>
            </w:r>
          </w:p>
        </w:tc>
        <w:tc>
          <w:tcPr>
            <w:tcW w:w="1878" w:type="dxa"/>
            <w:shd w:val="clear" w:color="auto" w:fill="auto"/>
            <w:hideMark/>
          </w:tcPr>
          <w:p w14:paraId="018076B0" w14:textId="77777777" w:rsidR="00255BCA" w:rsidRPr="00016282" w:rsidRDefault="00255BCA" w:rsidP="005D722D">
            <w:pPr>
              <w:pStyle w:val="TableText"/>
            </w:pPr>
            <w:r w:rsidRPr="00016282">
              <w:t>1.71 (0.73 to 3.97)</w:t>
            </w:r>
          </w:p>
        </w:tc>
      </w:tr>
      <w:tr w:rsidR="00255BCA" w:rsidRPr="00016282" w14:paraId="28ED57D8" w14:textId="77777777" w:rsidTr="007957CD">
        <w:trPr>
          <w:cantSplit/>
          <w:trHeight w:val="900"/>
        </w:trPr>
        <w:tc>
          <w:tcPr>
            <w:tcW w:w="1928" w:type="dxa"/>
            <w:shd w:val="clear" w:color="auto" w:fill="auto"/>
            <w:hideMark/>
          </w:tcPr>
          <w:p w14:paraId="51B13CFC" w14:textId="77777777" w:rsidR="00255BCA" w:rsidRPr="00016282" w:rsidRDefault="00255BCA" w:rsidP="005D722D">
            <w:pPr>
              <w:pStyle w:val="TableText"/>
            </w:pPr>
            <w:r w:rsidRPr="00016282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1815" w:type="dxa"/>
            <w:shd w:val="clear" w:color="auto" w:fill="auto"/>
            <w:hideMark/>
          </w:tcPr>
          <w:p w14:paraId="177D7813" w14:textId="77777777" w:rsidR="00255BCA" w:rsidRPr="00016282" w:rsidRDefault="00255BCA" w:rsidP="005D722D">
            <w:pPr>
              <w:pStyle w:val="TableText"/>
            </w:pPr>
            <w:r>
              <w:t>Medical and surgical patients</w:t>
            </w:r>
          </w:p>
        </w:tc>
        <w:tc>
          <w:tcPr>
            <w:tcW w:w="1878" w:type="dxa"/>
            <w:shd w:val="clear" w:color="auto" w:fill="auto"/>
            <w:hideMark/>
          </w:tcPr>
          <w:p w14:paraId="4374334A" w14:textId="77777777" w:rsidR="00255BCA" w:rsidRPr="00016282" w:rsidRDefault="00255BCA" w:rsidP="005D722D">
            <w:pPr>
              <w:pStyle w:val="TableText"/>
            </w:pPr>
            <w:r w:rsidRPr="00016282">
              <w:t xml:space="preserve">Haloperidol (Planned dose: 1mg), </w:t>
            </w:r>
          </w:p>
        </w:tc>
        <w:tc>
          <w:tcPr>
            <w:tcW w:w="1878" w:type="dxa"/>
            <w:shd w:val="clear" w:color="auto" w:fill="auto"/>
            <w:hideMark/>
          </w:tcPr>
          <w:p w14:paraId="5BE0752C" w14:textId="77777777" w:rsidR="00255BCA" w:rsidRPr="00016282" w:rsidRDefault="00255BCA" w:rsidP="005D722D">
            <w:pPr>
              <w:pStyle w:val="TableText"/>
            </w:pPr>
            <w:r>
              <w:t>Placebo</w:t>
            </w:r>
          </w:p>
        </w:tc>
        <w:tc>
          <w:tcPr>
            <w:tcW w:w="1878" w:type="dxa"/>
            <w:shd w:val="clear" w:color="auto" w:fill="auto"/>
            <w:hideMark/>
          </w:tcPr>
          <w:p w14:paraId="4CFC0A47" w14:textId="77777777" w:rsidR="00255BCA" w:rsidRPr="00016282" w:rsidRDefault="00255BCA" w:rsidP="005D722D">
            <w:pPr>
              <w:pStyle w:val="TableText"/>
            </w:pPr>
            <w:r w:rsidRPr="00016282">
              <w:t>Oral</w:t>
            </w:r>
          </w:p>
        </w:tc>
        <w:tc>
          <w:tcPr>
            <w:tcW w:w="1891" w:type="dxa"/>
            <w:shd w:val="clear" w:color="auto" w:fill="auto"/>
            <w:hideMark/>
          </w:tcPr>
          <w:p w14:paraId="7C2311D8" w14:textId="77777777" w:rsidR="00255BCA" w:rsidRPr="00016282" w:rsidRDefault="00255BCA" w:rsidP="005D722D">
            <w:pPr>
              <w:pStyle w:val="TableText"/>
            </w:pPr>
            <w:r w:rsidRPr="00016282">
              <w:t>Not applicable</w:t>
            </w:r>
          </w:p>
        </w:tc>
        <w:tc>
          <w:tcPr>
            <w:tcW w:w="2246" w:type="dxa"/>
            <w:shd w:val="clear" w:color="auto" w:fill="auto"/>
            <w:hideMark/>
          </w:tcPr>
          <w:p w14:paraId="68707351" w14:textId="77777777" w:rsidR="00255BCA" w:rsidRPr="00016282" w:rsidRDefault="00255BCA" w:rsidP="005D722D">
            <w:pPr>
              <w:pStyle w:val="TableText"/>
            </w:pPr>
            <w:r w:rsidRPr="00016282">
              <w:t>7 / 118 (6.1%)</w:t>
            </w:r>
          </w:p>
        </w:tc>
        <w:tc>
          <w:tcPr>
            <w:tcW w:w="1878" w:type="dxa"/>
            <w:shd w:val="clear" w:color="auto" w:fill="auto"/>
            <w:hideMark/>
          </w:tcPr>
          <w:p w14:paraId="3D04E156" w14:textId="77777777" w:rsidR="00255BCA" w:rsidRPr="00016282" w:rsidRDefault="00255BCA" w:rsidP="005D722D">
            <w:pPr>
              <w:pStyle w:val="TableText"/>
            </w:pPr>
            <w:r w:rsidRPr="00016282">
              <w:t>6 / 124 (5%)</w:t>
            </w:r>
          </w:p>
        </w:tc>
        <w:tc>
          <w:tcPr>
            <w:tcW w:w="1878" w:type="dxa"/>
            <w:shd w:val="clear" w:color="auto" w:fill="auto"/>
            <w:hideMark/>
          </w:tcPr>
          <w:p w14:paraId="7F458431" w14:textId="77777777" w:rsidR="00255BCA" w:rsidRPr="00016282" w:rsidRDefault="00255BCA" w:rsidP="005D722D">
            <w:pPr>
              <w:pStyle w:val="TableText"/>
            </w:pPr>
            <w:r w:rsidRPr="00016282">
              <w:t>1.23 (0.42 to 3.54)</w:t>
            </w:r>
          </w:p>
        </w:tc>
      </w:tr>
      <w:tr w:rsidR="00255BCA" w:rsidRPr="00016282" w14:paraId="0D58C5B9" w14:textId="77777777" w:rsidTr="007957CD">
        <w:trPr>
          <w:cantSplit/>
          <w:trHeight w:val="900"/>
        </w:trPr>
        <w:tc>
          <w:tcPr>
            <w:tcW w:w="192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44FBFAD" w14:textId="77777777" w:rsidR="00255BCA" w:rsidRPr="00016282" w:rsidRDefault="00255BCA" w:rsidP="005D722D">
            <w:pPr>
              <w:pStyle w:val="TableText"/>
            </w:pPr>
            <w:r w:rsidRPr="00016282">
              <w:t>Schrijver, 2018</w:t>
            </w:r>
            <w:hyperlink w:anchor="_ENREF_12" w:tooltip="Schrijver, 2018 #125" w:history="1"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PEVuZE5vdGU+PENpdGU+PEF1dGhvcj5TY2hyaWp2ZXI8L0F1dGhvcj48WWVhcj4yMDE4PC9ZZWFy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12</w:t>
              </w:r>
              <w:r>
                <w:fldChar w:fldCharType="end"/>
              </w:r>
            </w:hyperlink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2793140" w14:textId="77777777" w:rsidR="00255BCA" w:rsidRPr="00016282" w:rsidRDefault="00255BCA" w:rsidP="005D722D">
            <w:pPr>
              <w:pStyle w:val="TableText"/>
            </w:pPr>
            <w:r>
              <w:t>Medical and surgical patients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E63698D" w14:textId="77777777" w:rsidR="00255BCA" w:rsidRPr="00016282" w:rsidRDefault="00255BCA" w:rsidP="005D722D">
            <w:pPr>
              <w:pStyle w:val="TableText"/>
            </w:pPr>
            <w:r w:rsidRPr="00016282">
              <w:t>Haloperidol (Planned dose: 1mg)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6D4FF18" w14:textId="77777777" w:rsidR="00255BCA" w:rsidRPr="00016282" w:rsidRDefault="00255BCA" w:rsidP="005D722D">
            <w:pPr>
              <w:pStyle w:val="TableText"/>
            </w:pPr>
            <w:r>
              <w:t>Placebo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44B1064" w14:textId="77777777" w:rsidR="00255BCA" w:rsidRPr="00016282" w:rsidRDefault="00255BCA" w:rsidP="005D722D">
            <w:pPr>
              <w:pStyle w:val="TableText"/>
            </w:pPr>
            <w:r w:rsidRPr="00016282">
              <w:t>Oral</w:t>
            </w: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EC0898B" w14:textId="77777777" w:rsidR="00255BCA" w:rsidRPr="00016282" w:rsidRDefault="00255BCA" w:rsidP="005D722D">
            <w:pPr>
              <w:pStyle w:val="TableText"/>
            </w:pPr>
            <w:r w:rsidRPr="00016282">
              <w:t>New institutionalization</w:t>
            </w:r>
          </w:p>
        </w:tc>
        <w:tc>
          <w:tcPr>
            <w:tcW w:w="224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B6982B1" w14:textId="77777777" w:rsidR="00255BCA" w:rsidRPr="00016282" w:rsidRDefault="00255BCA" w:rsidP="005D722D">
            <w:pPr>
              <w:pStyle w:val="TableText"/>
            </w:pPr>
            <w:r w:rsidRPr="00016282">
              <w:t>10 / 118 (16.1%)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9C7C167" w14:textId="77777777" w:rsidR="00255BCA" w:rsidRPr="00016282" w:rsidRDefault="00255BCA" w:rsidP="005D722D">
            <w:pPr>
              <w:pStyle w:val="TableText"/>
            </w:pPr>
            <w:r w:rsidRPr="00016282">
              <w:t>8 / 124 (11.9%)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536510" w14:textId="77777777" w:rsidR="00255BCA" w:rsidRPr="00016282" w:rsidRDefault="00255BCA" w:rsidP="005D722D">
            <w:pPr>
              <w:pStyle w:val="TableText"/>
            </w:pPr>
            <w:r w:rsidRPr="00016282">
              <w:t>1.31 (0.54 to 3.21)</w:t>
            </w:r>
          </w:p>
        </w:tc>
      </w:tr>
      <w:tr w:rsidR="00255BCA" w:rsidRPr="00016282" w14:paraId="47275C2C" w14:textId="77777777" w:rsidTr="007957CD">
        <w:trPr>
          <w:cantSplit/>
          <w:trHeight w:val="300"/>
        </w:trPr>
        <w:tc>
          <w:tcPr>
            <w:tcW w:w="1928" w:type="dxa"/>
            <w:tcBorders>
              <w:right w:val="nil"/>
            </w:tcBorders>
            <w:shd w:val="clear" w:color="auto" w:fill="auto"/>
            <w:noWrap/>
            <w:hideMark/>
          </w:tcPr>
          <w:p w14:paraId="21A5F272" w14:textId="77777777" w:rsidR="00255BCA" w:rsidRPr="00016282" w:rsidRDefault="00255BCA" w:rsidP="005D722D">
            <w:pPr>
              <w:pStyle w:val="TableText"/>
            </w:pPr>
            <w:r w:rsidRPr="00016282">
              <w:t> Second-generation antipsychotic vs. placebo</w:t>
            </w:r>
          </w:p>
        </w:tc>
        <w:tc>
          <w:tcPr>
            <w:tcW w:w="181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652C7A4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0C1E2AD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0921E9AF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50E8216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1891" w:type="dxa"/>
            <w:tcBorders>
              <w:left w:val="nil"/>
              <w:right w:val="nil"/>
            </w:tcBorders>
            <w:shd w:val="clear" w:color="auto" w:fill="auto"/>
            <w:hideMark/>
          </w:tcPr>
          <w:p w14:paraId="48A189F1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2246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7835B771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1878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3FCB6289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  <w:tc>
          <w:tcPr>
            <w:tcW w:w="1878" w:type="dxa"/>
            <w:tcBorders>
              <w:left w:val="nil"/>
            </w:tcBorders>
            <w:shd w:val="clear" w:color="auto" w:fill="auto"/>
            <w:noWrap/>
            <w:hideMark/>
          </w:tcPr>
          <w:p w14:paraId="788FFE9A" w14:textId="77777777" w:rsidR="00255BCA" w:rsidRPr="00016282" w:rsidRDefault="00255BCA" w:rsidP="005D722D">
            <w:pPr>
              <w:pStyle w:val="TableText"/>
            </w:pPr>
            <w:r w:rsidRPr="00016282">
              <w:t> </w:t>
            </w:r>
          </w:p>
        </w:tc>
      </w:tr>
      <w:tr w:rsidR="00255BCA" w:rsidRPr="00016282" w14:paraId="010B529E" w14:textId="77777777" w:rsidTr="007957CD">
        <w:trPr>
          <w:cantSplit/>
          <w:trHeight w:val="1200"/>
        </w:trPr>
        <w:tc>
          <w:tcPr>
            <w:tcW w:w="1928" w:type="dxa"/>
            <w:hideMark/>
          </w:tcPr>
          <w:p w14:paraId="4C07D222" w14:textId="77777777" w:rsidR="00255BCA" w:rsidRPr="00016282" w:rsidRDefault="00255BCA" w:rsidP="005D722D">
            <w:pPr>
              <w:pStyle w:val="TableText"/>
            </w:pPr>
            <w:r w:rsidRPr="00016282">
              <w:t>Larsen, 2010</w:t>
            </w:r>
            <w:hyperlink w:anchor="_ENREF_9" w:tooltip="Larsen, 2010 #1358" w:history="1"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 </w:instrText>
              </w:r>
              <w:r>
                <w:fldChar w:fldCharType="begin">
                  <w:fldData xml:space="preserve">PEVuZE5vdGU+PENpdGU+PEF1dGhvcj5MYXJzZW48L0F1dGhvcj48WWVhcj4yMDEwPC9ZZWFyPjxS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</w:fldData>
                </w:fldChar>
              </w:r>
              <w:r>
                <w:instrText xml:space="preserve"> ADDIN EN.CITE.DATA </w:instrText>
              </w:r>
              <w:r>
                <w:fldChar w:fldCharType="end"/>
              </w:r>
              <w:r>
                <w:fldChar w:fldCharType="separate"/>
              </w:r>
              <w:r w:rsidRPr="00392164">
                <w:rPr>
                  <w:noProof/>
                  <w:vertAlign w:val="superscript"/>
                </w:rPr>
                <w:t>9</w:t>
              </w:r>
              <w:r>
                <w:fldChar w:fldCharType="end"/>
              </w:r>
            </w:hyperlink>
          </w:p>
        </w:tc>
        <w:tc>
          <w:tcPr>
            <w:tcW w:w="1815" w:type="dxa"/>
            <w:hideMark/>
          </w:tcPr>
          <w:p w14:paraId="63154D7F" w14:textId="77777777" w:rsidR="00255BCA" w:rsidRPr="00016282" w:rsidRDefault="00255BCA" w:rsidP="005D722D">
            <w:pPr>
              <w:pStyle w:val="TableText"/>
            </w:pPr>
            <w:r w:rsidRPr="00016282">
              <w:t>Post-operative elderly joint replacement surgery patients</w:t>
            </w:r>
          </w:p>
        </w:tc>
        <w:tc>
          <w:tcPr>
            <w:tcW w:w="1878" w:type="dxa"/>
            <w:hideMark/>
          </w:tcPr>
          <w:p w14:paraId="434AF799" w14:textId="77777777" w:rsidR="00255BCA" w:rsidRPr="00016282" w:rsidRDefault="00255BCA" w:rsidP="005D722D">
            <w:pPr>
              <w:pStyle w:val="TableText"/>
            </w:pPr>
            <w:r w:rsidRPr="00016282">
              <w:t>Olanzapine (Planned dose: 5mg)</w:t>
            </w:r>
          </w:p>
        </w:tc>
        <w:tc>
          <w:tcPr>
            <w:tcW w:w="1878" w:type="dxa"/>
            <w:hideMark/>
          </w:tcPr>
          <w:p w14:paraId="2E098917" w14:textId="77777777" w:rsidR="00255BCA" w:rsidRPr="00016282" w:rsidRDefault="00255BCA" w:rsidP="005D722D">
            <w:pPr>
              <w:pStyle w:val="TableText"/>
            </w:pPr>
            <w:r w:rsidRPr="00016282">
              <w:t>Placebo (Planned dose: 5mg)</w:t>
            </w:r>
          </w:p>
        </w:tc>
        <w:tc>
          <w:tcPr>
            <w:tcW w:w="1878" w:type="dxa"/>
            <w:hideMark/>
          </w:tcPr>
          <w:p w14:paraId="3EDD0F66" w14:textId="77777777" w:rsidR="00255BCA" w:rsidRPr="00016282" w:rsidRDefault="00255BCA" w:rsidP="005D722D">
            <w:pPr>
              <w:pStyle w:val="TableText"/>
            </w:pPr>
            <w:r w:rsidRPr="00016282">
              <w:t>Oral</w:t>
            </w:r>
          </w:p>
        </w:tc>
        <w:tc>
          <w:tcPr>
            <w:tcW w:w="1891" w:type="dxa"/>
            <w:hideMark/>
          </w:tcPr>
          <w:p w14:paraId="41A47FF1" w14:textId="77777777" w:rsidR="00255BCA" w:rsidRPr="00016282" w:rsidRDefault="00255BCA" w:rsidP="005D722D">
            <w:pPr>
              <w:pStyle w:val="TableText"/>
            </w:pPr>
            <w:r w:rsidRPr="00016282">
              <w:t>Discharge to rehabilitation facility (SNF or acute [hospital-level]) care</w:t>
            </w:r>
          </w:p>
        </w:tc>
        <w:tc>
          <w:tcPr>
            <w:tcW w:w="2246" w:type="dxa"/>
            <w:hideMark/>
          </w:tcPr>
          <w:p w14:paraId="5ECD09C1" w14:textId="77777777" w:rsidR="00255BCA" w:rsidRPr="00016282" w:rsidRDefault="00255BCA" w:rsidP="005D722D">
            <w:pPr>
              <w:pStyle w:val="TableText"/>
            </w:pPr>
            <w:r w:rsidRPr="00016282">
              <w:t>116 / 196 (59.2%)</w:t>
            </w:r>
          </w:p>
        </w:tc>
        <w:tc>
          <w:tcPr>
            <w:tcW w:w="1878" w:type="dxa"/>
            <w:hideMark/>
          </w:tcPr>
          <w:p w14:paraId="7AFC1CB5" w14:textId="77777777" w:rsidR="00255BCA" w:rsidRPr="00016282" w:rsidRDefault="00255BCA" w:rsidP="005D722D">
            <w:pPr>
              <w:pStyle w:val="TableText"/>
            </w:pPr>
            <w:r w:rsidRPr="00016282">
              <w:t>143 / 204 (70.1%)</w:t>
            </w:r>
          </w:p>
        </w:tc>
        <w:tc>
          <w:tcPr>
            <w:tcW w:w="1878" w:type="dxa"/>
            <w:hideMark/>
          </w:tcPr>
          <w:p w14:paraId="34E645AA" w14:textId="77777777" w:rsidR="00255BCA" w:rsidRPr="00016282" w:rsidRDefault="00255BCA" w:rsidP="005D722D">
            <w:pPr>
              <w:pStyle w:val="TableText"/>
            </w:pPr>
            <w:r w:rsidRPr="00016282">
              <w:t>0.84 (0.73 to 0.98)</w:t>
            </w:r>
          </w:p>
        </w:tc>
      </w:tr>
    </w:tbl>
    <w:p w14:paraId="2A6D324B" w14:textId="77777777" w:rsidR="00255BCA" w:rsidRDefault="00255BCA" w:rsidP="005D722D">
      <w:pPr>
        <w:pStyle w:val="TableNote"/>
      </w:pPr>
      <w:r>
        <w:t>CI=confidence interval; ICU=intensive care unit; mg=milligram; MV=mechanical ventilation; n=sample size; SNF=skilled nursing facility</w:t>
      </w:r>
    </w:p>
    <w:p w14:paraId="3A2F383F" w14:textId="77777777" w:rsidR="00255BCA" w:rsidRDefault="00255BCA" w:rsidP="00255BCA">
      <w:pPr>
        <w:pStyle w:val="NoSpacing"/>
        <w:contextualSpacing/>
      </w:pPr>
    </w:p>
    <w:p w14:paraId="408D956D" w14:textId="77777777" w:rsidR="00255BCA" w:rsidRDefault="00255BCA" w:rsidP="00255BCA">
      <w:pPr>
        <w:pStyle w:val="NoSpacing"/>
        <w:contextualSpacing/>
      </w:pPr>
      <w:bookmarkStart w:id="0" w:name="_GoBack"/>
      <w:bookmarkEnd w:id="0"/>
    </w:p>
    <w:sectPr w:rsidR="00255BCA" w:rsidSect="00255BCA">
      <w:footerReference w:type="default" r:id="rId8"/>
      <w:type w:val="continuous"/>
      <w:pgSz w:w="20160" w:h="12240" w:orient="landscape" w:code="5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1D014F" w14:textId="77777777" w:rsidR="00E21281" w:rsidRDefault="00E21281" w:rsidP="007B7E56">
      <w:r>
        <w:separator/>
      </w:r>
    </w:p>
  </w:endnote>
  <w:endnote w:type="continuationSeparator" w:id="0">
    <w:p w14:paraId="74A5BC5E" w14:textId="77777777" w:rsidR="00E21281" w:rsidRDefault="00E21281" w:rsidP="007B7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5891C" w14:textId="65F532CB" w:rsidR="00A756BE" w:rsidRDefault="00A756BE" w:rsidP="00A756BE">
    <w:pPr>
      <w:pStyle w:val="Footer"/>
      <w:jc w:val="center"/>
    </w:pPr>
    <w:r>
      <w:t>D-48</w:t>
    </w:r>
  </w:p>
  <w:p w14:paraId="285EADA1" w14:textId="77777777" w:rsidR="00A756BE" w:rsidRDefault="00A75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028716" w14:textId="77777777" w:rsidR="00E21281" w:rsidRDefault="00E21281" w:rsidP="007B7E56">
      <w:r>
        <w:separator/>
      </w:r>
    </w:p>
  </w:footnote>
  <w:footnote w:type="continuationSeparator" w:id="0">
    <w:p w14:paraId="74E51E73" w14:textId="77777777" w:rsidR="00E21281" w:rsidRDefault="00E21281" w:rsidP="007B7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21E83"/>
    <w:multiLevelType w:val="hybridMultilevel"/>
    <w:tmpl w:val="87F89D22"/>
    <w:lvl w:ilvl="0" w:tplc="EC0642C0">
      <w:start w:val="1"/>
      <w:numFmt w:val="decimal"/>
      <w:pStyle w:val="Studies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5133BC"/>
    <w:multiLevelType w:val="hybridMultilevel"/>
    <w:tmpl w:val="C98CBE6C"/>
    <w:lvl w:ilvl="0" w:tplc="70225F5A">
      <w:start w:val="1"/>
      <w:numFmt w:val="decimal"/>
      <w:pStyle w:val="NumberedList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DF75164"/>
    <w:multiLevelType w:val="hybridMultilevel"/>
    <w:tmpl w:val="5984B1D8"/>
    <w:lvl w:ilvl="0" w:tplc="631CA7F6">
      <w:start w:val="1"/>
      <w:numFmt w:val="bullet"/>
      <w:pStyle w:val="indented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16F6083"/>
    <w:multiLevelType w:val="hybridMultilevel"/>
    <w:tmpl w:val="37B81FDE"/>
    <w:lvl w:ilvl="0" w:tplc="D99CC5EC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92C9C8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281EAB"/>
    <w:multiLevelType w:val="hybridMultilevel"/>
    <w:tmpl w:val="B10CC81C"/>
    <w:lvl w:ilvl="0" w:tplc="D0D06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32A8B"/>
    <w:multiLevelType w:val="hybridMultilevel"/>
    <w:tmpl w:val="A9D0171E"/>
    <w:lvl w:ilvl="0" w:tplc="2F0AE4B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794"/>
    <w:rsid w:val="000155E2"/>
    <w:rsid w:val="0002107F"/>
    <w:rsid w:val="000258D9"/>
    <w:rsid w:val="00080DE6"/>
    <w:rsid w:val="000926ED"/>
    <w:rsid w:val="00097934"/>
    <w:rsid w:val="000A2C27"/>
    <w:rsid w:val="000A378F"/>
    <w:rsid w:val="000B591B"/>
    <w:rsid w:val="000C1845"/>
    <w:rsid w:val="000C2709"/>
    <w:rsid w:val="000E4DF4"/>
    <w:rsid w:val="000F5D77"/>
    <w:rsid w:val="001103B5"/>
    <w:rsid w:val="0012150A"/>
    <w:rsid w:val="00141400"/>
    <w:rsid w:val="00166E2A"/>
    <w:rsid w:val="00174D8C"/>
    <w:rsid w:val="00196DD8"/>
    <w:rsid w:val="001D2CD7"/>
    <w:rsid w:val="002152E8"/>
    <w:rsid w:val="002244B4"/>
    <w:rsid w:val="00231B62"/>
    <w:rsid w:val="002514D6"/>
    <w:rsid w:val="00255BCA"/>
    <w:rsid w:val="002606A9"/>
    <w:rsid w:val="002D5547"/>
    <w:rsid w:val="00347F84"/>
    <w:rsid w:val="0035087E"/>
    <w:rsid w:val="003758A7"/>
    <w:rsid w:val="003A351B"/>
    <w:rsid w:val="003B3794"/>
    <w:rsid w:val="00413B7A"/>
    <w:rsid w:val="0042245F"/>
    <w:rsid w:val="00427D23"/>
    <w:rsid w:val="00436EF9"/>
    <w:rsid w:val="0045326F"/>
    <w:rsid w:val="0047248C"/>
    <w:rsid w:val="00480FCF"/>
    <w:rsid w:val="004B3C7C"/>
    <w:rsid w:val="004B5367"/>
    <w:rsid w:val="004B69D7"/>
    <w:rsid w:val="004C1644"/>
    <w:rsid w:val="004D2B15"/>
    <w:rsid w:val="004E1DC5"/>
    <w:rsid w:val="004E4BF8"/>
    <w:rsid w:val="005179A2"/>
    <w:rsid w:val="00547870"/>
    <w:rsid w:val="005661EE"/>
    <w:rsid w:val="00566C7E"/>
    <w:rsid w:val="00585FEB"/>
    <w:rsid w:val="005968F2"/>
    <w:rsid w:val="005A23D4"/>
    <w:rsid w:val="005B16E6"/>
    <w:rsid w:val="005B2924"/>
    <w:rsid w:val="005C06EE"/>
    <w:rsid w:val="005C125A"/>
    <w:rsid w:val="005C7603"/>
    <w:rsid w:val="005D722D"/>
    <w:rsid w:val="00651154"/>
    <w:rsid w:val="00656D91"/>
    <w:rsid w:val="00695EE4"/>
    <w:rsid w:val="006A6B69"/>
    <w:rsid w:val="006C3BEA"/>
    <w:rsid w:val="006D5C00"/>
    <w:rsid w:val="006E4F4A"/>
    <w:rsid w:val="006E5FD5"/>
    <w:rsid w:val="00705760"/>
    <w:rsid w:val="00762B3C"/>
    <w:rsid w:val="007957CD"/>
    <w:rsid w:val="007B7E56"/>
    <w:rsid w:val="007D239F"/>
    <w:rsid w:val="007E4F2D"/>
    <w:rsid w:val="007F19CC"/>
    <w:rsid w:val="00823AF6"/>
    <w:rsid w:val="00827A2F"/>
    <w:rsid w:val="008455F3"/>
    <w:rsid w:val="00886C1D"/>
    <w:rsid w:val="00887BD1"/>
    <w:rsid w:val="008E64D8"/>
    <w:rsid w:val="00915ED6"/>
    <w:rsid w:val="009165ED"/>
    <w:rsid w:val="00917A26"/>
    <w:rsid w:val="00923775"/>
    <w:rsid w:val="009415CA"/>
    <w:rsid w:val="009446D6"/>
    <w:rsid w:val="0096401D"/>
    <w:rsid w:val="00965573"/>
    <w:rsid w:val="00965702"/>
    <w:rsid w:val="009A3652"/>
    <w:rsid w:val="009C615C"/>
    <w:rsid w:val="00A238CA"/>
    <w:rsid w:val="00A425C5"/>
    <w:rsid w:val="00A70D5F"/>
    <w:rsid w:val="00A756BE"/>
    <w:rsid w:val="00A91688"/>
    <w:rsid w:val="00A97AD4"/>
    <w:rsid w:val="00AB3F87"/>
    <w:rsid w:val="00AB548E"/>
    <w:rsid w:val="00AD3E92"/>
    <w:rsid w:val="00AE2198"/>
    <w:rsid w:val="00B0582D"/>
    <w:rsid w:val="00B23802"/>
    <w:rsid w:val="00B26AD2"/>
    <w:rsid w:val="00B45D2E"/>
    <w:rsid w:val="00B4678A"/>
    <w:rsid w:val="00B57D81"/>
    <w:rsid w:val="00BC4841"/>
    <w:rsid w:val="00BC70C8"/>
    <w:rsid w:val="00BC7609"/>
    <w:rsid w:val="00C12C40"/>
    <w:rsid w:val="00C30B86"/>
    <w:rsid w:val="00C37DDF"/>
    <w:rsid w:val="00C76599"/>
    <w:rsid w:val="00CA07C5"/>
    <w:rsid w:val="00CA2F23"/>
    <w:rsid w:val="00CA4C51"/>
    <w:rsid w:val="00CC760E"/>
    <w:rsid w:val="00CE6363"/>
    <w:rsid w:val="00D0156B"/>
    <w:rsid w:val="00D1694E"/>
    <w:rsid w:val="00D265B6"/>
    <w:rsid w:val="00D711AE"/>
    <w:rsid w:val="00DB7A0A"/>
    <w:rsid w:val="00DD389B"/>
    <w:rsid w:val="00DD3E85"/>
    <w:rsid w:val="00E0191D"/>
    <w:rsid w:val="00E21281"/>
    <w:rsid w:val="00E218E5"/>
    <w:rsid w:val="00E41B4C"/>
    <w:rsid w:val="00E4525C"/>
    <w:rsid w:val="00E5674E"/>
    <w:rsid w:val="00E641BD"/>
    <w:rsid w:val="00EA11FE"/>
    <w:rsid w:val="00ED313A"/>
    <w:rsid w:val="00F44433"/>
    <w:rsid w:val="00F452E8"/>
    <w:rsid w:val="00F46494"/>
    <w:rsid w:val="00F5364C"/>
    <w:rsid w:val="00F6017B"/>
    <w:rsid w:val="00F62C81"/>
    <w:rsid w:val="00F654B5"/>
    <w:rsid w:val="00FB14B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42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25C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E452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525C"/>
    <w:pPr>
      <w:spacing w:after="0" w:line="240" w:lineRule="auto"/>
    </w:pPr>
  </w:style>
  <w:style w:type="paragraph" w:customStyle="1" w:styleId="HeadingA">
    <w:name w:val="Heading A"/>
    <w:rsid w:val="00A425C5"/>
    <w:pPr>
      <w:keepNext/>
      <w:tabs>
        <w:tab w:val="left" w:pos="1080"/>
      </w:tabs>
      <w:spacing w:before="240" w:after="0" w:line="240" w:lineRule="auto"/>
      <w:ind w:left="1080" w:hanging="360"/>
    </w:pPr>
    <w:rPr>
      <w:rFonts w:ascii="Arial Bold" w:eastAsia="ヒラギノ角ゴ Pro W3" w:hAnsi="Arial Bold" w:cs="Times New Roman"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E4525C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semiHidden/>
    <w:rsid w:val="00E4525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4525C"/>
    <w:pPr>
      <w:spacing w:before="240" w:after="60"/>
    </w:pPr>
    <w:rPr>
      <w:rFonts w:ascii="Calibri" w:eastAsia="Calibri" w:hAnsi="Calibri"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4525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E452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4525C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5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25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25C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452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45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25C"/>
    <w:rPr>
      <w:rFonts w:ascii="Times" w:eastAsia="Times New Roman" w:hAnsi="Times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4525C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E4525C"/>
    <w:pPr>
      <w:ind w:left="720"/>
      <w:contextualSpacing/>
    </w:pPr>
    <w:rPr>
      <w:rFonts w:ascii="Arial" w:hAnsi="Arial"/>
      <w:szCs w:val="24"/>
    </w:rPr>
  </w:style>
  <w:style w:type="paragraph" w:customStyle="1" w:styleId="ParagraphNoIndent">
    <w:name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AcronymList">
    <w:name w:val="AcronymList"/>
    <w:basedOn w:val="ParagraphNoIndent"/>
    <w:qFormat/>
    <w:rsid w:val="00E4525C"/>
    <w:pPr>
      <w:tabs>
        <w:tab w:val="left" w:pos="2160"/>
      </w:tabs>
      <w:spacing w:before="60"/>
    </w:pPr>
  </w:style>
  <w:style w:type="table" w:customStyle="1" w:styleId="AHRQ1">
    <w:name w:val="AHRQ1"/>
    <w:basedOn w:val="TableGrid"/>
    <w:rsid w:val="00E4525C"/>
    <w:pPr>
      <w:ind w:left="187" w:hanging="187"/>
    </w:pPr>
    <w:rPr>
      <w:rFonts w:ascii="Arial" w:eastAsia="Times New Roman" w:hAnsi="Arial"/>
      <w:sz w:val="18"/>
    </w:rPr>
    <w:tblPr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single" w:sz="8" w:space="0" w:color="auto"/>
        <w:insideV w:val="none" w:sz="0" w:space="0" w:color="auto"/>
      </w:tblBorders>
    </w:tblPr>
    <w:tblStylePr w:type="firstRow">
      <w:pPr>
        <w:wordWrap/>
        <w:ind w:leftChars="0" w:left="0" w:firstLineChars="0" w:firstLine="0"/>
      </w:pPr>
      <w:rPr>
        <w:b/>
      </w:rPr>
      <w:tblPr/>
      <w:tcPr>
        <w:vAlign w:val="center"/>
      </w:tcPr>
    </w:tblStylePr>
  </w:style>
  <w:style w:type="paragraph" w:customStyle="1" w:styleId="Bullet1">
    <w:name w:val="Bullet1"/>
    <w:qFormat/>
    <w:rsid w:val="00E4525C"/>
    <w:pPr>
      <w:numPr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Bullet2">
    <w:name w:val="Bullet2"/>
    <w:qFormat/>
    <w:rsid w:val="00E4525C"/>
    <w:pPr>
      <w:numPr>
        <w:ilvl w:val="1"/>
        <w:numId w:val="4"/>
      </w:num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ChapterHeading">
    <w:name w:val="ChapterHeading"/>
    <w:qFormat/>
    <w:rsid w:val="00E4525C"/>
    <w:pPr>
      <w:keepNext/>
      <w:spacing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36"/>
      <w:szCs w:val="24"/>
    </w:rPr>
  </w:style>
  <w:style w:type="paragraph" w:customStyle="1" w:styleId="Contents">
    <w:name w:val="Contents"/>
    <w:qFormat/>
    <w:rsid w:val="00E4525C"/>
    <w:pPr>
      <w:keepNext/>
      <w:spacing w:after="0" w:line="240" w:lineRule="auto"/>
      <w:jc w:val="center"/>
    </w:pPr>
    <w:rPr>
      <w:rFonts w:ascii="Arial" w:eastAsia="Calibri" w:hAnsi="Arial" w:cs="Arial"/>
      <w:b/>
      <w:sz w:val="36"/>
      <w:szCs w:val="32"/>
    </w:rPr>
  </w:style>
  <w:style w:type="paragraph" w:customStyle="1" w:styleId="ContentsSubhead">
    <w:name w:val="ContentsSubhead"/>
    <w:qFormat/>
    <w:rsid w:val="00E4525C"/>
    <w:pPr>
      <w:keepNext/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ContractNumber">
    <w:name w:val="ContractNumber"/>
    <w:next w:val="ParagraphNoInden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ontMatterHead">
    <w:name w:val="FrontMatterHead"/>
    <w:qFormat/>
    <w:rsid w:val="00E4525C"/>
    <w:pPr>
      <w:keepNext/>
      <w:spacing w:before="240" w:after="60" w:line="240" w:lineRule="auto"/>
    </w:pPr>
    <w:rPr>
      <w:rFonts w:ascii="Arial" w:eastAsia="Calibri" w:hAnsi="Arial" w:cs="Arial"/>
      <w:b/>
      <w:sz w:val="32"/>
      <w:szCs w:val="32"/>
    </w:rPr>
  </w:style>
  <w:style w:type="paragraph" w:customStyle="1" w:styleId="FrontMatterSubhead">
    <w:name w:val="FrontMatterSubhead"/>
    <w:qFormat/>
    <w:rsid w:val="00E4525C"/>
    <w:pPr>
      <w:keepNext/>
      <w:spacing w:before="120" w:after="0" w:line="240" w:lineRule="auto"/>
    </w:pPr>
    <w:rPr>
      <w:rFonts w:ascii="Arial" w:eastAsia="Calibri" w:hAnsi="Arial" w:cs="Arial"/>
      <w:b/>
      <w:sz w:val="24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E4525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indentedbullets">
    <w:name w:val="indented bullets"/>
    <w:basedOn w:val="Normal"/>
    <w:rsid w:val="00E4525C"/>
    <w:pPr>
      <w:numPr>
        <w:numId w:val="5"/>
      </w:numPr>
      <w:shd w:val="clear" w:color="auto" w:fill="FFFFFF"/>
      <w:spacing w:line="360" w:lineRule="atLeast"/>
    </w:pPr>
    <w:rPr>
      <w:rFonts w:ascii="Arial" w:hAnsi="Arial"/>
      <w:sz w:val="19"/>
    </w:rPr>
  </w:style>
  <w:style w:type="paragraph" w:customStyle="1" w:styleId="Investigators">
    <w:name w:val="Investigators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KeyQuestion">
    <w:name w:val="KeyQuestion"/>
    <w:rsid w:val="00E4525C"/>
    <w:pPr>
      <w:keepLines/>
      <w:spacing w:before="240" w:after="60" w:line="240" w:lineRule="auto"/>
    </w:pPr>
    <w:rPr>
      <w:rFonts w:ascii="Arial" w:eastAsia="Times New Roman" w:hAnsi="Arial" w:cs="Arial"/>
      <w:iCs/>
      <w:sz w:val="28"/>
      <w:szCs w:val="28"/>
    </w:rPr>
  </w:style>
  <w:style w:type="paragraph" w:customStyle="1" w:styleId="Level1Heading">
    <w:name w:val="Level1Heading"/>
    <w:qFormat/>
    <w:rsid w:val="00E4525C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sz w:val="32"/>
      <w:szCs w:val="24"/>
    </w:rPr>
  </w:style>
  <w:style w:type="paragraph" w:customStyle="1" w:styleId="Level2Heading">
    <w:name w:val="Level2Heading"/>
    <w:qFormat/>
    <w:rsid w:val="00E4525C"/>
    <w:pPr>
      <w:keepNext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Level3Heading">
    <w:name w:val="Level3Heading"/>
    <w:qFormat/>
    <w:rsid w:val="00E4525C"/>
    <w:pPr>
      <w:keepNext/>
      <w:spacing w:before="240" w:after="0" w:line="240" w:lineRule="auto"/>
      <w:outlineLvl w:val="3"/>
    </w:pPr>
    <w:rPr>
      <w:rFonts w:ascii="Arial" w:eastAsia="Times New Roman" w:hAnsi="Arial" w:cs="Times New Roman"/>
      <w:b/>
      <w:bCs/>
      <w:sz w:val="28"/>
      <w:szCs w:val="24"/>
    </w:rPr>
  </w:style>
  <w:style w:type="paragraph" w:customStyle="1" w:styleId="Level4Heading">
    <w:name w:val="Level4Heading"/>
    <w:qFormat/>
    <w:rsid w:val="00E4525C"/>
    <w:pPr>
      <w:keepNext/>
      <w:spacing w:before="240"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Level5Heading">
    <w:name w:val="Level5Heading"/>
    <w:qFormat/>
    <w:rsid w:val="00E4525C"/>
    <w:pPr>
      <w:keepNext/>
      <w:spacing w:before="240"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Level6Heading">
    <w:name w:val="Level6Heading"/>
    <w:qFormat/>
    <w:rsid w:val="00E4525C"/>
    <w:pPr>
      <w:keepNext/>
      <w:spacing w:before="240" w:after="0" w:line="240" w:lineRule="auto"/>
      <w:outlineLvl w:val="6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Level7Heading">
    <w:name w:val="Level7Heading"/>
    <w:qFormat/>
    <w:rsid w:val="00E4525C"/>
    <w:pPr>
      <w:keepNext/>
      <w:spacing w:after="0" w:line="240" w:lineRule="auto"/>
    </w:pPr>
    <w:rPr>
      <w:rFonts w:ascii="Times New Roman" w:eastAsia="Calibri" w:hAnsi="Times New Roman" w:cs="Times New Roman"/>
      <w:b/>
      <w:color w:val="000000"/>
      <w:sz w:val="24"/>
      <w:szCs w:val="24"/>
    </w:rPr>
  </w:style>
  <w:style w:type="paragraph" w:customStyle="1" w:styleId="Level8Heading">
    <w:name w:val="Level8Heading"/>
    <w:qFormat/>
    <w:rsid w:val="00E4525C"/>
    <w:pPr>
      <w:keepNext/>
      <w:spacing w:after="0" w:line="240" w:lineRule="auto"/>
    </w:pPr>
    <w:rPr>
      <w:rFonts w:ascii="Times New Roman" w:eastAsia="Times New Roman" w:hAnsi="Times New Roman" w:cs="Times New Roman"/>
      <w:bCs/>
      <w:i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4525C"/>
    <w:rPr>
      <w:rFonts w:ascii="Arial" w:eastAsia="Times New Roman" w:hAnsi="Arial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E4525C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NumberedList">
    <w:name w:val="NumberedList"/>
    <w:basedOn w:val="Bullet1"/>
    <w:qFormat/>
    <w:rsid w:val="00E4525C"/>
    <w:pPr>
      <w:numPr>
        <w:numId w:val="6"/>
      </w:numPr>
    </w:pPr>
  </w:style>
  <w:style w:type="paragraph" w:customStyle="1" w:styleId="NumberLine">
    <w:name w:val="NumberLin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8"/>
      <w:szCs w:val="28"/>
    </w:rPr>
  </w:style>
  <w:style w:type="paragraph" w:customStyle="1" w:styleId="PageNumber">
    <w:name w:val="PageNumber"/>
    <w:qFormat/>
    <w:rsid w:val="00E4525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ragraphIndent">
    <w:name w:val="ParagraphIndent"/>
    <w:qFormat/>
    <w:rsid w:val="00E4525C"/>
    <w:pPr>
      <w:spacing w:after="0" w:line="240" w:lineRule="auto"/>
      <w:ind w:firstLine="36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aragraphNoIndentBold">
    <w:name w:val="ParagraphNoIndentBold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paredByText">
    <w:name w:val="PreparedBy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reparedForText">
    <w:name w:val="PreparedForText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PublicationNumberDate">
    <w:name w:val="PublicationNumberDate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Reference">
    <w:name w:val="Reference"/>
    <w:qFormat/>
    <w:rsid w:val="00E4525C"/>
    <w:pPr>
      <w:keepLines/>
      <w:spacing w:before="120" w:after="120" w:line="240" w:lineRule="auto"/>
      <w:ind w:left="720" w:hanging="720"/>
    </w:pPr>
    <w:rPr>
      <w:rFonts w:ascii="Times New Roman" w:eastAsia="Times New Roman" w:hAnsi="Times New Roman" w:cs="Times New Roman"/>
      <w:bCs/>
      <w:sz w:val="20"/>
      <w:szCs w:val="24"/>
    </w:rPr>
  </w:style>
  <w:style w:type="paragraph" w:customStyle="1" w:styleId="ReportSubtitle">
    <w:name w:val="ReportSubtitle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paragraph" w:customStyle="1" w:styleId="ReportTitle">
    <w:name w:val="ReportTitle"/>
    <w:uiPriority w:val="99"/>
    <w:qFormat/>
    <w:rsid w:val="00E4525C"/>
    <w:pPr>
      <w:spacing w:after="0" w:line="240" w:lineRule="auto"/>
    </w:pPr>
    <w:rPr>
      <w:rFonts w:ascii="Arial" w:eastAsia="Times New Roman" w:hAnsi="Arial" w:cs="Times New Roman"/>
      <w:b/>
      <w:bCs/>
      <w:sz w:val="36"/>
      <w:szCs w:val="36"/>
    </w:rPr>
  </w:style>
  <w:style w:type="paragraph" w:customStyle="1" w:styleId="ReportType">
    <w:name w:val="ReportType"/>
    <w:qFormat/>
    <w:rsid w:val="00E4525C"/>
    <w:pPr>
      <w:pBdr>
        <w:bottom w:val="single" w:sz="12" w:space="1" w:color="auto"/>
      </w:pBdr>
      <w:spacing w:after="0" w:line="240" w:lineRule="auto"/>
    </w:pPr>
    <w:rPr>
      <w:rFonts w:ascii="Times New Roman" w:eastAsia="Times New Roman" w:hAnsi="Times New Roman" w:cs="Times New Roman"/>
      <w:b/>
      <w:bCs/>
      <w:i/>
      <w:sz w:val="36"/>
      <w:szCs w:val="36"/>
    </w:rPr>
  </w:style>
  <w:style w:type="paragraph" w:customStyle="1" w:styleId="Studies1">
    <w:name w:val="Studies1"/>
    <w:qFormat/>
    <w:rsid w:val="00E4525C"/>
    <w:pPr>
      <w:keepLines/>
      <w:spacing w:before="120" w:after="120" w:line="240" w:lineRule="auto"/>
    </w:pPr>
    <w:rPr>
      <w:rFonts w:ascii="Times New Roman" w:eastAsia="Calibri" w:hAnsi="Times New Roman" w:cs="Arial"/>
      <w:color w:val="000000"/>
      <w:sz w:val="24"/>
      <w:szCs w:val="32"/>
    </w:rPr>
  </w:style>
  <w:style w:type="paragraph" w:customStyle="1" w:styleId="Studies2">
    <w:name w:val="Studies2"/>
    <w:qFormat/>
    <w:rsid w:val="00E4525C"/>
    <w:pPr>
      <w:keepLines/>
      <w:numPr>
        <w:numId w:val="7"/>
      </w:numPr>
      <w:spacing w:before="120" w:after="120" w:line="240" w:lineRule="auto"/>
    </w:pPr>
    <w:rPr>
      <w:rFonts w:ascii="Times New Roman" w:eastAsia="Times" w:hAnsi="Times New Roman" w:cs="Times New Roman"/>
      <w:color w:val="000000"/>
      <w:sz w:val="24"/>
      <w:szCs w:val="24"/>
    </w:rPr>
  </w:style>
  <w:style w:type="paragraph" w:customStyle="1" w:styleId="SuggestedCitation">
    <w:name w:val="SuggestedCitation"/>
    <w:qFormat/>
    <w:rsid w:val="00E4525C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TableBoldText">
    <w:name w:val="TableBoldText"/>
    <w:qFormat/>
    <w:rsid w:val="00E4525C"/>
    <w:pPr>
      <w:spacing w:after="0" w:line="240" w:lineRule="auto"/>
    </w:pPr>
    <w:rPr>
      <w:rFonts w:ascii="Arial" w:eastAsia="Calibri" w:hAnsi="Arial" w:cs="Arial"/>
      <w:b/>
      <w:sz w:val="18"/>
      <w:szCs w:val="18"/>
    </w:rPr>
  </w:style>
  <w:style w:type="paragraph" w:customStyle="1" w:styleId="TableCenteredText">
    <w:name w:val="TableCenteredText"/>
    <w:qFormat/>
    <w:rsid w:val="00E4525C"/>
    <w:pPr>
      <w:spacing w:after="0" w:line="240" w:lineRule="auto"/>
      <w:jc w:val="center"/>
    </w:pPr>
    <w:rPr>
      <w:rFonts w:ascii="Arial" w:eastAsia="Calibri" w:hAnsi="Arial" w:cs="Arial"/>
      <w:sz w:val="18"/>
      <w:szCs w:val="18"/>
    </w:rPr>
  </w:style>
  <w:style w:type="paragraph" w:customStyle="1" w:styleId="TableColumnHead">
    <w:name w:val="TableColumnHead"/>
    <w:qFormat/>
    <w:rsid w:val="00E4525C"/>
    <w:pPr>
      <w:spacing w:after="0" w:line="240" w:lineRule="auto"/>
      <w:jc w:val="center"/>
    </w:pPr>
    <w:rPr>
      <w:rFonts w:ascii="Arial" w:eastAsia="Calibri" w:hAnsi="Arial" w:cs="Arial"/>
      <w:b/>
      <w:bCs/>
      <w:sz w:val="18"/>
      <w:szCs w:val="18"/>
    </w:rPr>
  </w:style>
  <w:style w:type="paragraph" w:customStyle="1" w:styleId="TableLeftText">
    <w:name w:val="TableLeft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Note">
    <w:name w:val="TableNote"/>
    <w:qFormat/>
    <w:rsid w:val="00E4525C"/>
    <w:pPr>
      <w:spacing w:after="240" w:line="240" w:lineRule="auto"/>
    </w:pPr>
    <w:rPr>
      <w:rFonts w:ascii="Times New Roman" w:eastAsia="Times New Roman" w:hAnsi="Times New Roman" w:cs="Times New Roman"/>
      <w:bCs/>
      <w:sz w:val="18"/>
      <w:szCs w:val="24"/>
    </w:rPr>
  </w:style>
  <w:style w:type="paragraph" w:customStyle="1" w:styleId="TableSubhead">
    <w:name w:val="TableSubhead"/>
    <w:qFormat/>
    <w:rsid w:val="00E4525C"/>
    <w:pPr>
      <w:spacing w:after="0" w:line="240" w:lineRule="auto"/>
    </w:pPr>
    <w:rPr>
      <w:rFonts w:ascii="Arial" w:eastAsia="Calibri" w:hAnsi="Arial" w:cs="Arial"/>
      <w:b/>
      <w:i/>
      <w:sz w:val="18"/>
      <w:szCs w:val="18"/>
    </w:rPr>
  </w:style>
  <w:style w:type="paragraph" w:customStyle="1" w:styleId="TableText">
    <w:name w:val="TableText"/>
    <w:qFormat/>
    <w:rsid w:val="00E4525C"/>
    <w:pPr>
      <w:spacing w:after="0" w:line="240" w:lineRule="auto"/>
    </w:pPr>
    <w:rPr>
      <w:rFonts w:ascii="Arial" w:eastAsia="Calibri" w:hAnsi="Arial" w:cs="Arial"/>
      <w:sz w:val="18"/>
      <w:szCs w:val="18"/>
    </w:rPr>
  </w:style>
  <w:style w:type="paragraph" w:customStyle="1" w:styleId="TableTitle">
    <w:name w:val="TableTitle"/>
    <w:qFormat/>
    <w:rsid w:val="00E4525C"/>
    <w:pPr>
      <w:keepNext/>
      <w:spacing w:before="240" w:after="0" w:line="240" w:lineRule="auto"/>
    </w:pPr>
    <w:rPr>
      <w:rFonts w:ascii="Arial" w:eastAsia="Calibri" w:hAnsi="Arial" w:cs="Times New Roman"/>
      <w:b/>
      <w:color w:val="000000"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E4525C"/>
    <w:rPr>
      <w:rFonts w:ascii="Times New Roman" w:hAnsi="Times New Roman"/>
      <w:szCs w:val="24"/>
      <w:lang w:val="en-CA"/>
    </w:rPr>
  </w:style>
  <w:style w:type="paragraph" w:styleId="TOC2">
    <w:name w:val="toc 2"/>
    <w:basedOn w:val="Normal"/>
    <w:next w:val="Normal"/>
    <w:autoRedefine/>
    <w:semiHidden/>
    <w:rsid w:val="00E4525C"/>
    <w:pPr>
      <w:ind w:left="240"/>
    </w:pPr>
    <w:rPr>
      <w:rFonts w:ascii="Times New Roman" w:hAnsi="Times New Roman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Zhang, Allen</dc:creator>
  <cp:keywords/>
  <dc:description/>
  <cp:lastModifiedBy>omk</cp:lastModifiedBy>
  <cp:revision>21</cp:revision>
  <cp:lastPrinted>2019-06-27T14:14:00Z</cp:lastPrinted>
  <dcterms:created xsi:type="dcterms:W3CDTF">2019-07-12T22:31:00Z</dcterms:created>
  <dcterms:modified xsi:type="dcterms:W3CDTF">2019-09-07T04:03:00Z</dcterms:modified>
</cp:coreProperties>
</file>