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1589"/>
        <w:gridCol w:w="2510"/>
        <w:gridCol w:w="6120"/>
      </w:tblGrid>
      <w:tr w:rsidR="00E561AC" w14:paraId="4B86CAFA" w14:textId="77777777" w:rsidTr="00DC7127">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62B0FFA6" w14:textId="77777777" w:rsidR="00E561AC" w:rsidRDefault="00E561AC" w:rsidP="00E561A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3B4C7C8A" w14:textId="77777777" w:rsidR="00E561AC" w:rsidRDefault="00E561AC" w:rsidP="00E561A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158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00528FEE" w14:textId="77777777" w:rsidR="00E561AC" w:rsidRDefault="00E561AC" w:rsidP="00E561A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251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7A68501C" w14:textId="77777777" w:rsidR="00E561AC" w:rsidRDefault="00E561AC" w:rsidP="00E561A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612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0ED63A49" w14:textId="77777777" w:rsidR="00E561AC" w:rsidRDefault="00E561AC" w:rsidP="00E561A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E561AC" w14:paraId="60072965" w14:textId="77777777" w:rsidTr="00DC7127">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0D25A51A" w14:textId="77777777" w:rsidR="00E561AC" w:rsidRDefault="00E561AC" w:rsidP="00F730C6">
            <w:pPr>
              <w:adjustRightInd w:val="0"/>
              <w:spacing w:before="60" w:after="60"/>
              <w:rPr>
                <w:rFonts w:ascii="Times" w:hAnsi="Times" w:cs="Times"/>
                <w:color w:val="000000"/>
                <w:sz w:val="16"/>
                <w:szCs w:val="16"/>
              </w:rPr>
            </w:pPr>
            <w:r>
              <w:rPr>
                <w:rFonts w:ascii="Times" w:hAnsi="Times" w:cs="Times"/>
                <w:color w:val="000000"/>
                <w:sz w:val="16"/>
                <w:szCs w:val="16"/>
              </w:rPr>
              <w:t>Mills, 2016</w:t>
            </w:r>
            <w:r w:rsidR="00F730C6">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120</w:t>
            </w:r>
            <w:r w:rsidR="00F730C6">
              <w:rPr>
                <w:rFonts w:ascii="Times" w:hAnsi="Times" w:cs="Times"/>
                <w:color w:val="000000"/>
                <w:sz w:val="16"/>
                <w:szCs w:val="16"/>
              </w:rPr>
              <w:fldChar w:fldCharType="end"/>
            </w:r>
            <w:r>
              <w:rPr>
                <w:rFonts w:ascii="Times" w:hAnsi="Times" w:cs="Times"/>
                <w:color w:val="000000"/>
                <w:sz w:val="16"/>
                <w:szCs w:val="16"/>
              </w:rPr>
              <w:t>; He, 2016</w:t>
            </w:r>
            <w:r w:rsidR="00F730C6">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121</w:t>
            </w:r>
            <w:r w:rsidR="00F730C6">
              <w:rPr>
                <w:rFonts w:ascii="Times" w:hAnsi="Times" w:cs="Times"/>
                <w:color w:val="000000"/>
                <w:sz w:val="16"/>
                <w:szCs w:val="16"/>
              </w:rPr>
              <w:fldChar w:fldCharType="end"/>
            </w:r>
            <w:r>
              <w:rPr>
                <w:rFonts w:ascii="Times" w:hAnsi="Times" w:cs="Times"/>
                <w:color w:val="000000"/>
                <w:sz w:val="16"/>
                <w:szCs w:val="16"/>
              </w:rPr>
              <w:t>; Yang, 2014</w:t>
            </w:r>
            <w:r w:rsidR="00F730C6">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122</w:t>
            </w:r>
            <w:r w:rsidR="00F730C6">
              <w:rPr>
                <w:rFonts w:ascii="Times" w:hAnsi="Times" w:cs="Times"/>
                <w:color w:val="000000"/>
                <w:sz w:val="16"/>
                <w:szCs w:val="16"/>
              </w:rPr>
              <w:fldChar w:fldCharType="end"/>
            </w:r>
            <w:r>
              <w:rPr>
                <w:rFonts w:ascii="Times" w:hAnsi="Times" w:cs="Times"/>
                <w:color w:val="000000"/>
                <w:sz w:val="16"/>
                <w:szCs w:val="16"/>
              </w:rPr>
              <w:t>; Lash, 2009</w:t>
            </w:r>
            <w:r w:rsidR="00F730C6">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123</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Chronic Renal Insufficiency Cohort (CRIC)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783B8679" w14:textId="77777777" w:rsidR="00E561AC" w:rsidRDefault="00E561AC" w:rsidP="00E561AC">
            <w:pPr>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1775</w:t>
            </w:r>
            <w:r>
              <w:rPr>
                <w:rFonts w:ascii="Times" w:hAnsi="Times" w:cs="Times"/>
                <w:color w:val="000000"/>
                <w:sz w:val="16"/>
                <w:szCs w:val="16"/>
              </w:rPr>
              <w:br/>
            </w:r>
            <w:r>
              <w:rPr>
                <w:rFonts w:ascii="Times" w:hAnsi="Times" w:cs="Times"/>
                <w:color w:val="000000"/>
                <w:sz w:val="16"/>
                <w:szCs w:val="16"/>
              </w:rPr>
              <w:br/>
              <w:t>% Male: Q1 35.0, Q2 49.9, Q3 61.3 Q4 76.0</w:t>
            </w:r>
            <w:r>
              <w:rPr>
                <w:rFonts w:ascii="Times" w:hAnsi="Times" w:cs="Times"/>
                <w:color w:val="000000"/>
                <w:sz w:val="16"/>
                <w:szCs w:val="16"/>
              </w:rPr>
              <w:br/>
              <w:t>Mean Age/Range/Age at Baseline: Q1 mean 57.2 (SD 10.9) Q2 mean 57.6 (SD 11.3) Q3 mean 58.2 (SD 10.8) Q4 mean 58.0 (SD 10.6) years</w:t>
            </w:r>
            <w:r>
              <w:rPr>
                <w:rFonts w:ascii="Times" w:hAnsi="Times" w:cs="Times"/>
                <w:color w:val="000000"/>
                <w:sz w:val="16"/>
                <w:szCs w:val="16"/>
              </w:rPr>
              <w:br/>
              <w:t>Race: Q1: White 38.6% Black 51.4% Other 10.0 %; Q2: White 45.6% Black 44.0% Other 10.3%; Q3 White 50.6% Black 37.4% Other 12.0%; Q4 White 54.3% Black 32.9% Other 12.8%</w:t>
            </w:r>
            <w:r>
              <w:rPr>
                <w:rFonts w:ascii="Times" w:hAnsi="Times" w:cs="Times"/>
                <w:color w:val="000000"/>
                <w:sz w:val="16"/>
                <w:szCs w:val="16"/>
              </w:rPr>
              <w:br/>
              <w:t>Systolic BP: Q1: mean 125.6 (SD 21.7); Q2 mean 126.3 (SD 20.9); Q3 mean 128.1 (SD 21.7); Q4 mean 132.3 (SD 22.4) mmHg</w:t>
            </w:r>
            <w:r>
              <w:rPr>
                <w:rFonts w:ascii="Times" w:hAnsi="Times" w:cs="Times"/>
                <w:color w:val="000000"/>
                <w:sz w:val="16"/>
                <w:szCs w:val="16"/>
              </w:rPr>
              <w:br/>
              <w:t>Diastolic BP: Q1: mean 70.7 ( SD 12.7); Q2 mean 71.0 (SD 12.8); Q3: mean 71.4 (SD 12.3); Q4: mean 72.7 (SD 13.0)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31.7 (SD 8.0); Q2 mean 32.1 (SD 7.5); Q3 mean 31.9 (SD 7.3); Q4 mean 31.8 (SD 7.5) kg/m^2</w:t>
            </w:r>
            <w:r>
              <w:rPr>
                <w:rFonts w:ascii="Times" w:hAnsi="Times" w:cs="Times"/>
                <w:color w:val="000000"/>
                <w:sz w:val="16"/>
                <w:szCs w:val="16"/>
              </w:rPr>
              <w:br/>
              <w:t>% with Hypertension: Q1 80.2; Q2 86.5; Q3 86.7; Q4 90.8</w:t>
            </w:r>
            <w:r>
              <w:rPr>
                <w:rFonts w:ascii="Times" w:hAnsi="Times" w:cs="Times"/>
                <w:color w:val="000000"/>
                <w:sz w:val="16"/>
                <w:szCs w:val="16"/>
              </w:rPr>
              <w:br/>
              <w:t>% with history of CVD: Q1 27.3; Q2 30.0; Q3 34.9; Q4; 39.7</w:t>
            </w:r>
            <w:r>
              <w:rPr>
                <w:rFonts w:ascii="Times" w:hAnsi="Times" w:cs="Times"/>
                <w:color w:val="000000"/>
                <w:sz w:val="16"/>
                <w:szCs w:val="16"/>
              </w:rPr>
              <w:br/>
              <w:t>% with Type 2 diabetes: Q1 37.7; Q2 43.8; Q3 49.3; Q4 60.3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 aged 21 to 74 years with mild to moderate CKD designed to identify and examine risk factors for CKD progression and development of CVD in those with CKD, who met age-specific estimated glomerular filtration rate (eGFR) criteria of 20 to 70 mL/min/1.73 m^2 were included.</w:t>
            </w:r>
            <w:r>
              <w:rPr>
                <w:rFonts w:ascii="Times" w:hAnsi="Times" w:cs="Times"/>
                <w:color w:val="000000"/>
                <w:sz w:val="16"/>
                <w:szCs w:val="16"/>
              </w:rPr>
              <w:br/>
              <w:t>Exclusion: People with a history of kidney transplant, dialysis for at least 1 month, glomerulonephritis requiring immunosuppression, advanced heart failure, cirrhosis, or polycystic kidney disease were excluded.</w:t>
            </w:r>
          </w:p>
        </w:tc>
        <w:tc>
          <w:tcPr>
            <w:tcW w:w="1589" w:type="dxa"/>
            <w:tcBorders>
              <w:top w:val="nil"/>
              <w:left w:val="single" w:sz="2" w:space="0" w:color="000000"/>
              <w:bottom w:val="single" w:sz="6" w:space="0" w:color="000000"/>
              <w:right w:val="nil"/>
            </w:tcBorders>
            <w:shd w:val="clear" w:color="auto" w:fill="FFFFFF"/>
            <w:tcMar>
              <w:left w:w="60" w:type="dxa"/>
              <w:right w:w="60" w:type="dxa"/>
            </w:tcMar>
          </w:tcPr>
          <w:p w14:paraId="1EA2BA5C" w14:textId="77777777" w:rsidR="00E561AC" w:rsidRDefault="00E561AC" w:rsidP="00E561AC">
            <w:pPr>
              <w:adjustRightInd w:val="0"/>
              <w:spacing w:before="60" w:after="60"/>
              <w:rPr>
                <w:rFonts w:ascii="Times" w:hAnsi="Times" w:cs="Times"/>
                <w:color w:val="000000"/>
                <w:sz w:val="16"/>
                <w:szCs w:val="16"/>
              </w:rPr>
            </w:pPr>
            <w:r>
              <w:rPr>
                <w:rFonts w:ascii="Times" w:hAnsi="Times" w:cs="Times"/>
                <w:color w:val="000000"/>
                <w:sz w:val="16"/>
                <w:szCs w:val="16"/>
              </w:rPr>
              <w:t>Exposure Type: 24 h urinary sodium excretion calibrated to mean urinary creatinine excretion of 1569 mg/24 hours in</w:t>
            </w:r>
            <w:r>
              <w:rPr>
                <w:rFonts w:ascii="Times" w:hAnsi="Times" w:cs="Times"/>
                <w:color w:val="000000"/>
                <w:sz w:val="16"/>
                <w:szCs w:val="16"/>
              </w:rPr>
              <w:br/>
              <w:t>Exposure Unit: per 1000 mg/24 h</w:t>
            </w:r>
            <w:r>
              <w:rPr>
                <w:rFonts w:ascii="Times" w:hAnsi="Times" w:cs="Times"/>
                <w:color w:val="000000"/>
                <w:sz w:val="16"/>
                <w:szCs w:val="16"/>
              </w:rPr>
              <w:br/>
            </w:r>
            <w:r>
              <w:rPr>
                <w:rFonts w:ascii="Times" w:hAnsi="Times" w:cs="Times"/>
                <w:color w:val="000000"/>
                <w:sz w:val="16"/>
                <w:szCs w:val="16"/>
              </w:rPr>
              <w:br/>
              <w:t>Duration(in months): 163.2 (6.8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 for age &gt;=60</w:t>
            </w:r>
          </w:p>
        </w:tc>
        <w:tc>
          <w:tcPr>
            <w:tcW w:w="2510" w:type="dxa"/>
            <w:tcBorders>
              <w:top w:val="nil"/>
              <w:left w:val="single" w:sz="2" w:space="0" w:color="000000"/>
              <w:bottom w:val="single" w:sz="6" w:space="0" w:color="000000"/>
              <w:right w:val="nil"/>
            </w:tcBorders>
            <w:shd w:val="clear" w:color="auto" w:fill="FFFFFF"/>
            <w:tcMar>
              <w:left w:w="60" w:type="dxa"/>
              <w:right w:w="60" w:type="dxa"/>
            </w:tcMar>
          </w:tcPr>
          <w:p w14:paraId="63D40C33" w14:textId="77777777" w:rsidR="00E561AC" w:rsidRDefault="00E561AC" w:rsidP="00E561AC">
            <w:pPr>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times, 1 year apart</w:t>
            </w:r>
            <w:r>
              <w:rPr>
                <w:rFonts w:ascii="Times" w:hAnsi="Times" w:cs="Times"/>
                <w:color w:val="000000"/>
                <w:sz w:val="16"/>
                <w:szCs w:val="16"/>
              </w:rPr>
              <w:br/>
              <w:t>CVD, CHD, stroke, kidney stones/disease Outcomes-Method of ascertainment: Hospital records, Interview with participant or proxy, followup visit</w:t>
            </w:r>
          </w:p>
        </w:tc>
        <w:tc>
          <w:tcPr>
            <w:tcW w:w="612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58E4E3E2" w14:textId="77777777" w:rsidR="00E561AC" w:rsidRDefault="00E561AC" w:rsidP="00E561AC">
            <w:pPr>
              <w:adjustRightInd w:val="0"/>
              <w:spacing w:before="60" w:after="60"/>
              <w:rPr>
                <w:rFonts w:ascii="Times" w:hAnsi="Times" w:cs="Times"/>
                <w:color w:val="000000"/>
                <w:sz w:val="16"/>
                <w:szCs w:val="16"/>
              </w:rPr>
            </w:pPr>
            <w:r>
              <w:rPr>
                <w:rFonts w:ascii="Times" w:hAnsi="Times" w:cs="Times"/>
                <w:color w:val="000000"/>
                <w:sz w:val="16"/>
                <w:szCs w:val="16"/>
              </w:rPr>
              <w:t>Composite CVD (Defined as congestive heart failure, stroke, and myocardial infarction) (per 1000 mg/24 h/Outcome):</w:t>
            </w:r>
            <w:r>
              <w:rPr>
                <w:rFonts w:ascii="Times" w:hAnsi="Times" w:cs="Times"/>
                <w:color w:val="000000"/>
                <w:sz w:val="16"/>
                <w:szCs w:val="16"/>
              </w:rPr>
              <w:br/>
              <w:t>Median 6.8 years FU</w:t>
            </w:r>
            <w:r>
              <w:rPr>
                <w:rFonts w:ascii="Times" w:hAnsi="Times" w:cs="Times"/>
                <w:color w:val="000000"/>
                <w:sz w:val="16"/>
                <w:szCs w:val="16"/>
              </w:rPr>
              <w:br/>
              <w:t>NR cases: NR, total: 1769</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age&gt;=60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Congestive Heart Failure (Congestive heart failure was identified by hospital admission for new or worsening CHF signs and symptoms, in addition to diminished cardiac output) (per 1000 mg/24 h/Outcome):</w:t>
            </w:r>
            <w:r>
              <w:rPr>
                <w:rFonts w:ascii="Times" w:hAnsi="Times" w:cs="Times"/>
                <w:color w:val="000000"/>
                <w:sz w:val="16"/>
                <w:szCs w:val="16"/>
              </w:rPr>
              <w:br/>
              <w:t>Median 6.8 years FU</w:t>
            </w:r>
            <w:r>
              <w:rPr>
                <w:rFonts w:ascii="Times" w:hAnsi="Times" w:cs="Times"/>
                <w:color w:val="000000"/>
                <w:sz w:val="16"/>
                <w:szCs w:val="16"/>
              </w:rPr>
              <w:br/>
              <w:t>NR cases: NR, total: 1773</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age&gt;=60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Myocardial Infarction (Myocardial infarction was defined by characteristic changes in troponin and creatinekinase–MB levels, symptoms of myocardial ischemia, electrocardiogram changes, or new fixed profusion abnormalities.) (per 1000 mg/24 h/Outcome):</w:t>
            </w:r>
            <w:r>
              <w:rPr>
                <w:rFonts w:ascii="Times" w:hAnsi="Times" w:cs="Times"/>
                <w:color w:val="000000"/>
                <w:sz w:val="16"/>
                <w:szCs w:val="16"/>
              </w:rPr>
              <w:br/>
              <w:t>Median 6.8 years FU</w:t>
            </w:r>
            <w:r>
              <w:rPr>
                <w:rFonts w:ascii="Times" w:hAnsi="Times" w:cs="Times"/>
                <w:color w:val="000000"/>
                <w:sz w:val="16"/>
                <w:szCs w:val="16"/>
              </w:rPr>
              <w:br/>
              <w:t>NR cases: NR, total: 1774</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age&gt;=60 participants, greater sodium excretion was associated with an increased risk of compostive CVD.</w:t>
            </w:r>
            <w:r>
              <w:rPr>
                <w:rFonts w:ascii="Times" w:hAnsi="Times" w:cs="Times"/>
                <w:color w:val="000000"/>
                <w:sz w:val="16"/>
                <w:szCs w:val="16"/>
              </w:rPr>
              <w:br/>
            </w:r>
            <w:r>
              <w:rPr>
                <w:rFonts w:ascii="Times" w:hAnsi="Times" w:cs="Times"/>
                <w:color w:val="000000"/>
                <w:sz w:val="16"/>
                <w:szCs w:val="16"/>
              </w:rPr>
              <w:br/>
              <w:t>Stroke (Stroke was defined as rapid onset of neurologic deficit, headache, or other nonvascular cause and clinically relevant lesion on brain imaging for longer than 24 hours or deathwithin24 hours.) (per 1000 mg/24 h/Outcome):</w:t>
            </w:r>
            <w:r>
              <w:rPr>
                <w:rFonts w:ascii="Times" w:hAnsi="Times" w:cs="Times"/>
                <w:color w:val="000000"/>
                <w:sz w:val="16"/>
                <w:szCs w:val="16"/>
              </w:rPr>
              <w:br/>
              <w:t>Median 6.8 years FU</w:t>
            </w:r>
            <w:r>
              <w:rPr>
                <w:rFonts w:ascii="Times" w:hAnsi="Times" w:cs="Times"/>
                <w:color w:val="000000"/>
                <w:sz w:val="16"/>
                <w:szCs w:val="16"/>
              </w:rPr>
              <w:br/>
              <w:t>NR cases: NR, total: 1775</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age&gt;=60 participants, greater sodium excretion was associated with an increased risk of compostive CVD.</w:t>
            </w:r>
          </w:p>
        </w:tc>
      </w:tr>
    </w:tbl>
    <w:p w14:paraId="6DE49FD4" w14:textId="0D73759E" w:rsidR="00F730C6" w:rsidRDefault="00F730C6" w:rsidP="00547855">
      <w:pPr>
        <w:pStyle w:val="TableTitle"/>
        <w:keepNext w:val="0"/>
        <w:sectPr w:rsidR="00F730C6" w:rsidSect="000060F3">
          <w:footerReference w:type="default" r:id="rId8"/>
          <w:pgSz w:w="15840" w:h="12240" w:orient="landscape"/>
          <w:pgMar w:top="360" w:right="360" w:bottom="360" w:left="360" w:header="720" w:footer="360" w:gutter="0"/>
          <w:pgNumType w:start="103"/>
          <w:cols w:space="720"/>
        </w:sectPr>
      </w:pPr>
    </w:p>
    <w:p w14:paraId="76D48B5D" w14:textId="77777777" w:rsidR="00264F31" w:rsidRDefault="00264F31" w:rsidP="00E561AC">
      <w:pPr>
        <w:pStyle w:val="TableTitle"/>
        <w:keepNext w:val="0"/>
      </w:pPr>
    </w:p>
    <w:sectPr w:rsidR="00264F31" w:rsidSect="00547855">
      <w:type w:val="continuous"/>
      <w:pgSz w:w="15840" w:h="12240" w:orient="landscape"/>
      <w:pgMar w:top="360" w:right="360" w:bottom="360" w:left="360" w:header="72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114D77">
          <w:rPr>
            <w:noProof/>
            <w:sz w:val="24"/>
            <w:szCs w:val="24"/>
          </w:rPr>
          <w:t>103</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060F3"/>
    <w:rsid w:val="00051545"/>
    <w:rsid w:val="00073F6F"/>
    <w:rsid w:val="000A6496"/>
    <w:rsid w:val="001030BC"/>
    <w:rsid w:val="00114D77"/>
    <w:rsid w:val="00153DC6"/>
    <w:rsid w:val="001C3DB6"/>
    <w:rsid w:val="001E5874"/>
    <w:rsid w:val="002138C4"/>
    <w:rsid w:val="00264F31"/>
    <w:rsid w:val="00277E2A"/>
    <w:rsid w:val="00284823"/>
    <w:rsid w:val="002854A8"/>
    <w:rsid w:val="002C0067"/>
    <w:rsid w:val="002D5240"/>
    <w:rsid w:val="00320524"/>
    <w:rsid w:val="00322AA1"/>
    <w:rsid w:val="00335A22"/>
    <w:rsid w:val="00374DDC"/>
    <w:rsid w:val="004211D8"/>
    <w:rsid w:val="00424DDC"/>
    <w:rsid w:val="004A2C6C"/>
    <w:rsid w:val="004C6E86"/>
    <w:rsid w:val="004F7E05"/>
    <w:rsid w:val="0054785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77969"/>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A3604"/>
    <w:rsid w:val="00B06E5B"/>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765</Words>
  <Characters>4716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7</cp:revision>
  <dcterms:created xsi:type="dcterms:W3CDTF">2018-06-05T16:25:00Z</dcterms:created>
  <dcterms:modified xsi:type="dcterms:W3CDTF">2018-08-16T11:54:00Z</dcterms:modified>
</cp:coreProperties>
</file>