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DF3" w:rsidRDefault="00C77DF3" w:rsidP="00C77DF3">
      <w:pPr>
        <w:pStyle w:val="TableTitle"/>
        <w:tabs>
          <w:tab w:val="left" w:pos="5148"/>
        </w:tabs>
        <w:spacing w:before="0"/>
      </w:pPr>
    </w:p>
    <w:p w:rsidR="00B84EDF" w:rsidRDefault="00B84EDF" w:rsidP="00B84EDF">
      <w:pPr>
        <w:pStyle w:val="TableTitle"/>
        <w:tabs>
          <w:tab w:val="left" w:pos="5148"/>
        </w:tabs>
      </w:pPr>
      <w:r>
        <w:t xml:space="preserve">Evidence Table E76. Course of illness studies – part 4 </w:t>
      </w:r>
    </w:p>
    <w:tbl>
      <w:tblPr>
        <w:tblStyle w:val="AHRQ1"/>
        <w:tblW w:w="12960" w:type="dxa"/>
        <w:tblLayout w:type="fixed"/>
        <w:tblLook w:val="04A0"/>
      </w:tblPr>
      <w:tblGrid>
        <w:gridCol w:w="2160"/>
        <w:gridCol w:w="2448"/>
        <w:gridCol w:w="2970"/>
        <w:gridCol w:w="5382"/>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448" w:type="dxa"/>
          </w:tcPr>
          <w:p w:rsidR="00B84EDF" w:rsidRPr="00F0301D" w:rsidRDefault="00B84EDF" w:rsidP="00D26E16">
            <w:pPr>
              <w:pStyle w:val="TableText2"/>
            </w:pPr>
            <w:r>
              <w:t xml:space="preserve">Definition of Binges </w:t>
            </w:r>
            <w:r w:rsidRPr="00694729">
              <w:t>(Days; Frequency; Remission; Abstinence</w:t>
            </w:r>
            <w:r>
              <w:t>,</w:t>
            </w:r>
            <w:r w:rsidRPr="00694729">
              <w:t xml:space="preserve"> etc.)</w:t>
            </w:r>
          </w:p>
        </w:tc>
        <w:tc>
          <w:tcPr>
            <w:tcW w:w="2970" w:type="dxa"/>
          </w:tcPr>
          <w:p w:rsidR="00B84EDF" w:rsidRPr="00F0301D" w:rsidRDefault="00B84EDF" w:rsidP="00D26E16">
            <w:pPr>
              <w:pStyle w:val="TableText2"/>
            </w:pPr>
            <w:r>
              <w:t>Binges Baseline</w:t>
            </w:r>
          </w:p>
        </w:tc>
        <w:tc>
          <w:tcPr>
            <w:tcW w:w="5382" w:type="dxa"/>
          </w:tcPr>
          <w:p w:rsidR="00B84EDF" w:rsidRPr="00F0301D" w:rsidRDefault="00B84EDF" w:rsidP="00D26E16">
            <w:pPr>
              <w:pStyle w:val="TableText2"/>
            </w:pPr>
            <w:r>
              <w:t>Binges Outcomes</w:t>
            </w:r>
          </w:p>
        </w:tc>
      </w:tr>
      <w:tr w:rsidR="00B84EDF" w:rsidRPr="00552FD6" w:rsidTr="00D26E16">
        <w:tc>
          <w:tcPr>
            <w:tcW w:w="2160" w:type="dxa"/>
          </w:tcPr>
          <w:p w:rsidR="00B84EDF" w:rsidRPr="00552FD6" w:rsidRDefault="00B84EDF" w:rsidP="00D26E16">
            <w:pPr>
              <w:pStyle w:val="TableText2"/>
            </w:pPr>
            <w:r w:rsidRPr="00A6773C">
              <w:rPr>
                <w:noProof/>
              </w:rPr>
              <w:t>Agras</w:t>
            </w:r>
            <w:r>
              <w:t xml:space="preserve">, </w:t>
            </w:r>
            <w:r w:rsidRPr="00A6773C">
              <w:rPr>
                <w:noProof/>
              </w:rPr>
              <w:t>1997</w:t>
            </w:r>
            <w:r w:rsidRPr="00C02DB9">
              <w:rPr>
                <w:rFonts w:ascii="Times New Roman" w:hAnsi="Times New Roman" w:cs="Times New Roman"/>
                <w:noProof/>
                <w:vertAlign w:val="superscript"/>
              </w:rPr>
              <w:t>87</w:t>
            </w:r>
          </w:p>
        </w:tc>
        <w:tc>
          <w:tcPr>
            <w:tcW w:w="2448" w:type="dxa"/>
          </w:tcPr>
          <w:p w:rsidR="00B84EDF" w:rsidRPr="00A6773C" w:rsidRDefault="00B84EDF" w:rsidP="00D26E16">
            <w:pPr>
              <w:pStyle w:val="TableText2"/>
              <w:rPr>
                <w:noProof/>
              </w:rPr>
            </w:pPr>
            <w:r w:rsidRPr="00A6773C">
              <w:rPr>
                <w:noProof/>
              </w:rPr>
              <w:t># of days with one or more binges</w:t>
            </w:r>
          </w:p>
          <w:p w:rsidR="00B84EDF" w:rsidRPr="00A6773C" w:rsidRDefault="00B84EDF" w:rsidP="00D26E16">
            <w:pPr>
              <w:pStyle w:val="TableText2"/>
              <w:rPr>
                <w:noProof/>
              </w:rPr>
            </w:pPr>
            <w:r w:rsidRPr="00A6773C">
              <w:rPr>
                <w:noProof/>
              </w:rPr>
              <w:t>objective binges: consumption of large amounts of food and feeling out of control</w:t>
            </w:r>
          </w:p>
          <w:p w:rsidR="00B84EDF" w:rsidRPr="00552FD6" w:rsidRDefault="00B84EDF" w:rsidP="00D26E16">
            <w:pPr>
              <w:pStyle w:val="TableText2"/>
            </w:pPr>
            <w:r w:rsidRPr="00A6773C">
              <w:rPr>
                <w:noProof/>
              </w:rPr>
              <w:t>subjective binges: loss of control over eating</w:t>
            </w:r>
          </w:p>
        </w:tc>
        <w:tc>
          <w:tcPr>
            <w:tcW w:w="2970" w:type="dxa"/>
          </w:tcPr>
          <w:p w:rsidR="00B84EDF" w:rsidRPr="00552FD6" w:rsidRDefault="00B84EDF" w:rsidP="00D26E16">
            <w:pPr>
              <w:pStyle w:val="TableText2"/>
            </w:pPr>
            <w:r w:rsidRPr="00A6773C">
              <w:rPr>
                <w:noProof/>
              </w:rPr>
              <w:t>NA</w:t>
            </w:r>
          </w:p>
        </w:tc>
        <w:tc>
          <w:tcPr>
            <w:tcW w:w="5382" w:type="dxa"/>
          </w:tcPr>
          <w:p w:rsidR="00B84EDF" w:rsidRPr="00A6773C" w:rsidRDefault="00B84EDF" w:rsidP="00D26E16">
            <w:pPr>
              <w:pStyle w:val="TableText2"/>
              <w:rPr>
                <w:noProof/>
              </w:rPr>
            </w:pPr>
            <w:r w:rsidRPr="00A6773C">
              <w:rPr>
                <w:noProof/>
              </w:rPr>
              <w:t># of days with one or more binge: Post hoc tests revealed the groups to be significantly different (achieved abstinence by 12 wks vs not) at 70 weeks, F(l, 73) = 4.19, p= .04; and at 88 weeks, F(l, 73) = 3.90, p = .05, but not at 52 weeks.</w:t>
            </w:r>
          </w:p>
          <w:p w:rsidR="00B84EDF" w:rsidRPr="00A6773C" w:rsidRDefault="00B84EDF" w:rsidP="00D26E16">
            <w:pPr>
              <w:pStyle w:val="TableText2"/>
              <w:rPr>
                <w:noProof/>
              </w:rPr>
            </w:pPr>
            <w:r w:rsidRPr="00A6773C">
              <w:rPr>
                <w:noProof/>
              </w:rPr>
              <w:t>Of the 31 participants who were abstinent after 12 weeks of CBT, 45% (n = 14) continued abstinence at the 1-year followup, 29% (n = 9) were binge eating no more than once per</w:t>
            </w:r>
          </w:p>
          <w:p w:rsidR="00B84EDF" w:rsidRPr="00552FD6" w:rsidRDefault="00B84EDF" w:rsidP="00D26E16">
            <w:pPr>
              <w:pStyle w:val="TableText2"/>
            </w:pPr>
            <w:r w:rsidRPr="00A6773C">
              <w:rPr>
                <w:noProof/>
              </w:rPr>
              <w:t>week, and 26% (n = 8) had relapsed and again met criteria for BED.</w:t>
            </w:r>
          </w:p>
        </w:tc>
      </w:tr>
      <w:tr w:rsidR="00B84EDF" w:rsidRPr="00552FD6" w:rsidTr="00D26E16">
        <w:tc>
          <w:tcPr>
            <w:tcW w:w="2160" w:type="dxa"/>
          </w:tcPr>
          <w:p w:rsidR="00B84EDF" w:rsidRPr="00552FD6" w:rsidRDefault="00B84EDF" w:rsidP="00D26E16">
            <w:pPr>
              <w:pStyle w:val="TableText2"/>
            </w:pPr>
            <w:r w:rsidRPr="00A6773C">
              <w:rPr>
                <w:noProof/>
              </w:rPr>
              <w:t>Busetto</w:t>
            </w:r>
            <w:r>
              <w:t xml:space="preserve">, </w:t>
            </w:r>
            <w:r w:rsidRPr="00A6773C">
              <w:rPr>
                <w:noProof/>
              </w:rPr>
              <w:t>2005</w:t>
            </w:r>
            <w:r w:rsidRPr="00C02DB9">
              <w:rPr>
                <w:rFonts w:ascii="Times New Roman" w:hAnsi="Times New Roman" w:cs="Times New Roman"/>
                <w:noProof/>
                <w:vertAlign w:val="superscript"/>
              </w:rPr>
              <w:t>88</w:t>
            </w:r>
          </w:p>
        </w:tc>
        <w:tc>
          <w:tcPr>
            <w:tcW w:w="2448" w:type="dxa"/>
          </w:tcPr>
          <w:p w:rsidR="00B84EDF" w:rsidRPr="00552FD6" w:rsidRDefault="00B84EDF" w:rsidP="00D26E16">
            <w:pPr>
              <w:pStyle w:val="TableText2"/>
            </w:pPr>
            <w:r w:rsidRPr="00A6773C">
              <w:rPr>
                <w:noProof/>
              </w:rPr>
              <w:t>NA</w:t>
            </w:r>
          </w:p>
        </w:tc>
        <w:tc>
          <w:tcPr>
            <w:tcW w:w="2970" w:type="dxa"/>
          </w:tcPr>
          <w:p w:rsidR="00B84EDF" w:rsidRPr="00552FD6" w:rsidRDefault="00B84EDF" w:rsidP="00D26E16">
            <w:pPr>
              <w:pStyle w:val="TableText2"/>
            </w:pPr>
            <w:r w:rsidRPr="00A6773C">
              <w:rPr>
                <w:noProof/>
              </w:rPr>
              <w:t>NA</w:t>
            </w:r>
          </w:p>
        </w:tc>
        <w:tc>
          <w:tcPr>
            <w:tcW w:w="5382" w:type="dxa"/>
          </w:tcPr>
          <w:p w:rsidR="00B84EDF" w:rsidRPr="00552FD6" w:rsidRDefault="00B84EDF" w:rsidP="00D26E16">
            <w:pPr>
              <w:pStyle w:val="TableText2"/>
            </w:pPr>
            <w:r w:rsidRPr="00A6773C">
              <w:rPr>
                <w:noProof/>
              </w:rPr>
              <w:t>NR</w:t>
            </w:r>
          </w:p>
        </w:tc>
      </w:tr>
      <w:tr w:rsidR="00B84EDF" w:rsidRPr="00552FD6" w:rsidTr="00D26E16">
        <w:tc>
          <w:tcPr>
            <w:tcW w:w="2160" w:type="dxa"/>
          </w:tcPr>
          <w:p w:rsidR="00B84EDF" w:rsidRPr="00552FD6" w:rsidRDefault="00B84EDF" w:rsidP="00D26E16">
            <w:pPr>
              <w:pStyle w:val="TableText2"/>
            </w:pPr>
            <w:r w:rsidRPr="00A6773C">
              <w:rPr>
                <w:noProof/>
              </w:rPr>
              <w:t>Castellini</w:t>
            </w:r>
            <w:r>
              <w:t xml:space="preserve">, </w:t>
            </w:r>
            <w:r w:rsidRPr="00A6773C">
              <w:rPr>
                <w:noProof/>
              </w:rPr>
              <w:t>2013</w:t>
            </w:r>
            <w:r w:rsidRPr="00C02DB9">
              <w:rPr>
                <w:rFonts w:ascii="Times New Roman" w:hAnsi="Times New Roman" w:cs="Times New Roman"/>
                <w:noProof/>
                <w:vertAlign w:val="superscript"/>
              </w:rPr>
              <w:t>89</w:t>
            </w:r>
          </w:p>
        </w:tc>
        <w:tc>
          <w:tcPr>
            <w:tcW w:w="2448" w:type="dxa"/>
          </w:tcPr>
          <w:p w:rsidR="00B84EDF" w:rsidRPr="00A6773C" w:rsidRDefault="00B84EDF" w:rsidP="00D26E16">
            <w:pPr>
              <w:pStyle w:val="TableText2"/>
              <w:rPr>
                <w:noProof/>
              </w:rPr>
            </w:pPr>
            <w:r w:rsidRPr="00A6773C">
              <w:rPr>
                <w:noProof/>
              </w:rPr>
              <w:t>Objective binge episodes were defined as the consumption of</w:t>
            </w:r>
          </w:p>
          <w:p w:rsidR="00B84EDF" w:rsidRPr="00A6773C" w:rsidRDefault="00B84EDF" w:rsidP="00D26E16">
            <w:pPr>
              <w:pStyle w:val="TableText2"/>
              <w:rPr>
                <w:noProof/>
              </w:rPr>
            </w:pPr>
            <w:r w:rsidRPr="00A6773C">
              <w:rPr>
                <w:noProof/>
              </w:rPr>
              <w:t>a large amount of food in a discrete episode, while experiencing a sense of loss of control. Subjective binge episodes were defined as</w:t>
            </w:r>
          </w:p>
          <w:p w:rsidR="00B84EDF" w:rsidRPr="00A6773C" w:rsidRDefault="00B84EDF" w:rsidP="00D26E16">
            <w:pPr>
              <w:pStyle w:val="TableText2"/>
              <w:rPr>
                <w:noProof/>
              </w:rPr>
            </w:pPr>
            <w:r w:rsidRPr="00A6773C">
              <w:rPr>
                <w:noProof/>
              </w:rPr>
              <w:t>the consumption of a not objectively large quantity of food in a discrete episode, while experiencing a sense of loss of control. The number of weekly objective and subjective binge episodes was evaluated by means of a face-to-face clinical interview, according</w:t>
            </w:r>
          </w:p>
          <w:p w:rsidR="00B84EDF" w:rsidRPr="00A6773C" w:rsidRDefault="00B84EDF" w:rsidP="00D26E16">
            <w:pPr>
              <w:pStyle w:val="TableText2"/>
              <w:rPr>
                <w:noProof/>
              </w:rPr>
            </w:pPr>
            <w:r w:rsidRPr="00A6773C">
              <w:rPr>
                <w:noProof/>
              </w:rPr>
              <w:t>to specific questions extracted from the Eating Disorder</w:t>
            </w:r>
          </w:p>
          <w:p w:rsidR="00B84EDF" w:rsidRPr="00552FD6" w:rsidRDefault="00B84EDF" w:rsidP="00D26E16">
            <w:pPr>
              <w:pStyle w:val="TableText2"/>
            </w:pPr>
            <w:r w:rsidRPr="00A6773C">
              <w:rPr>
                <w:noProof/>
              </w:rPr>
              <w:t>Examination Interview   and from DSM-IVTR.</w:t>
            </w:r>
          </w:p>
        </w:tc>
        <w:tc>
          <w:tcPr>
            <w:tcW w:w="2970" w:type="dxa"/>
          </w:tcPr>
          <w:p w:rsidR="00B84EDF" w:rsidRPr="00552FD6" w:rsidRDefault="00B84EDF" w:rsidP="00D26E16">
            <w:pPr>
              <w:pStyle w:val="TableText2"/>
            </w:pPr>
            <w:r w:rsidRPr="00A6773C">
              <w:rPr>
                <w:noProof/>
              </w:rPr>
              <w:t>NA</w:t>
            </w:r>
          </w:p>
        </w:tc>
        <w:tc>
          <w:tcPr>
            <w:tcW w:w="5382" w:type="dxa"/>
          </w:tcPr>
          <w:p w:rsidR="00B84EDF" w:rsidRPr="00A6773C" w:rsidRDefault="00B84EDF" w:rsidP="00D26E16">
            <w:pPr>
              <w:pStyle w:val="TableText2"/>
              <w:rPr>
                <w:noProof/>
              </w:rPr>
            </w:pPr>
            <w:r w:rsidRPr="00A6773C">
              <w:rPr>
                <w:noProof/>
              </w:rPr>
              <w:t>Change in OBEs (per week episodes) from baseline to 3 year fu:</w:t>
            </w:r>
          </w:p>
          <w:p w:rsidR="00B84EDF" w:rsidRPr="00A6773C" w:rsidRDefault="00B84EDF" w:rsidP="00D26E16">
            <w:pPr>
              <w:pStyle w:val="TableText2"/>
              <w:rPr>
                <w:noProof/>
              </w:rPr>
            </w:pPr>
            <w:r w:rsidRPr="00A6773C">
              <w:rPr>
                <w:noProof/>
              </w:rPr>
              <w:t>baseline OBE frequence: B= 0.65 (p &lt; 0.001)</w:t>
            </w:r>
          </w:p>
          <w:p w:rsidR="00B84EDF" w:rsidRPr="00A6773C" w:rsidRDefault="00B84EDF" w:rsidP="00D26E16">
            <w:pPr>
              <w:pStyle w:val="TableText2"/>
              <w:rPr>
                <w:noProof/>
              </w:rPr>
            </w:pPr>
            <w:r w:rsidRPr="00A6773C">
              <w:rPr>
                <w:noProof/>
              </w:rPr>
              <w:t>EES anxiety: B= -0.23 (p &lt;0.01)</w:t>
            </w:r>
          </w:p>
          <w:p w:rsidR="00B84EDF" w:rsidRPr="00A6773C" w:rsidRDefault="00B84EDF" w:rsidP="00D26E16">
            <w:pPr>
              <w:pStyle w:val="TableText2"/>
              <w:rPr>
                <w:noProof/>
              </w:rPr>
            </w:pPr>
            <w:r w:rsidRPr="00A6773C">
              <w:rPr>
                <w:noProof/>
              </w:rPr>
              <w:t>EES depression: B = -0.39 (p &lt; 0.001)</w:t>
            </w:r>
          </w:p>
          <w:p w:rsidR="00B84EDF" w:rsidRPr="00A6773C" w:rsidRDefault="00B84EDF" w:rsidP="00D26E16">
            <w:pPr>
              <w:pStyle w:val="TableText2"/>
              <w:rPr>
                <w:noProof/>
              </w:rPr>
            </w:pPr>
            <w:r w:rsidRPr="00A6773C">
              <w:rPr>
                <w:noProof/>
              </w:rPr>
              <w:t>Other non-sig vars in model: gender, age, BMI, SCL-90 GSI</w:t>
            </w:r>
          </w:p>
          <w:p w:rsidR="00B84EDF" w:rsidRPr="00A6773C" w:rsidRDefault="00B84EDF" w:rsidP="00D26E16">
            <w:pPr>
              <w:pStyle w:val="TableText2"/>
              <w:rPr>
                <w:noProof/>
              </w:rPr>
            </w:pPr>
            <w:r w:rsidRPr="00A6773C">
              <w:rPr>
                <w:noProof/>
              </w:rPr>
              <w:t>Change in SBEs (per week episodes) from baseline to 3 year fu:</w:t>
            </w:r>
          </w:p>
          <w:p w:rsidR="00B84EDF" w:rsidRPr="00A6773C" w:rsidRDefault="00B84EDF" w:rsidP="00D26E16">
            <w:pPr>
              <w:pStyle w:val="TableText2"/>
              <w:rPr>
                <w:noProof/>
              </w:rPr>
            </w:pPr>
            <w:r w:rsidRPr="00A6773C">
              <w:rPr>
                <w:noProof/>
              </w:rPr>
              <w:t>baseline SBE frequence: B= 0.74 (p &lt; 0.001)</w:t>
            </w:r>
          </w:p>
          <w:p w:rsidR="00B84EDF" w:rsidRPr="00A6773C" w:rsidRDefault="00B84EDF" w:rsidP="00D26E16">
            <w:pPr>
              <w:pStyle w:val="TableText2"/>
              <w:rPr>
                <w:noProof/>
              </w:rPr>
            </w:pPr>
            <w:r w:rsidRPr="00A6773C">
              <w:rPr>
                <w:noProof/>
              </w:rPr>
              <w:t>BDI: B= -0.34 (p &lt;0.001)</w:t>
            </w:r>
          </w:p>
          <w:p w:rsidR="00B84EDF" w:rsidRPr="00A6773C" w:rsidRDefault="00B84EDF" w:rsidP="00D26E16">
            <w:pPr>
              <w:pStyle w:val="TableText2"/>
              <w:rPr>
                <w:noProof/>
              </w:rPr>
            </w:pPr>
            <w:r w:rsidRPr="00A6773C">
              <w:rPr>
                <w:noProof/>
              </w:rPr>
              <w:t>EES depression: B = -0.39 (p &lt; 0.001)</w:t>
            </w:r>
          </w:p>
          <w:p w:rsidR="00B84EDF" w:rsidRPr="00A6773C" w:rsidRDefault="00B84EDF" w:rsidP="00D26E16">
            <w:pPr>
              <w:pStyle w:val="TableText2"/>
              <w:rPr>
                <w:noProof/>
              </w:rPr>
            </w:pPr>
            <w:r w:rsidRPr="00A6773C">
              <w:rPr>
                <w:noProof/>
              </w:rPr>
              <w:t>Other non-sig vars in model: gender, age, BMI, depression</w:t>
            </w:r>
          </w:p>
          <w:p w:rsidR="00B84EDF" w:rsidRPr="00552FD6" w:rsidRDefault="00B84EDF" w:rsidP="00D26E16">
            <w:pPr>
              <w:pStyle w:val="TableText2"/>
            </w:pPr>
            <w:r w:rsidRPr="00A6773C">
              <w:rPr>
                <w:noProof/>
              </w:rPr>
              <w:t>Baseline OBEs and SBEs were also sig predictors of OBE and SBE change over time in the BN group</w:t>
            </w:r>
          </w:p>
        </w:tc>
      </w:tr>
    </w:tbl>
    <w:p w:rsidR="00B84EDF" w:rsidRDefault="00B84EDF" w:rsidP="00B84EDF">
      <w:pPr>
        <w:pStyle w:val="TableTitle"/>
        <w:tabs>
          <w:tab w:val="left" w:pos="5148"/>
        </w:tabs>
      </w:pPr>
      <w:r>
        <w:br w:type="page"/>
      </w:r>
      <w:r>
        <w:lastRenderedPageBreak/>
        <w:t>Evidence Table E76. Course of illness studies – part 4 (continued)</w:t>
      </w:r>
    </w:p>
    <w:tbl>
      <w:tblPr>
        <w:tblStyle w:val="AHRQ1"/>
        <w:tblW w:w="12960" w:type="dxa"/>
        <w:tblLayout w:type="fixed"/>
        <w:tblLook w:val="04A0"/>
      </w:tblPr>
      <w:tblGrid>
        <w:gridCol w:w="2160"/>
        <w:gridCol w:w="2448"/>
        <w:gridCol w:w="2970"/>
        <w:gridCol w:w="5382"/>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448" w:type="dxa"/>
          </w:tcPr>
          <w:p w:rsidR="00B84EDF" w:rsidRPr="00F0301D" w:rsidRDefault="00B84EDF" w:rsidP="00D26E16">
            <w:pPr>
              <w:pStyle w:val="TableText2"/>
            </w:pPr>
            <w:r>
              <w:t xml:space="preserve">Definition of Binges </w:t>
            </w:r>
            <w:r w:rsidRPr="00694729">
              <w:t>(Days; Frequency; Remission; Abstinence</w:t>
            </w:r>
            <w:r>
              <w:t>,</w:t>
            </w:r>
            <w:r w:rsidRPr="00694729">
              <w:t xml:space="preserve"> etc.)</w:t>
            </w:r>
          </w:p>
        </w:tc>
        <w:tc>
          <w:tcPr>
            <w:tcW w:w="2970" w:type="dxa"/>
          </w:tcPr>
          <w:p w:rsidR="00B84EDF" w:rsidRPr="00F0301D" w:rsidRDefault="00B84EDF" w:rsidP="00D26E16">
            <w:pPr>
              <w:pStyle w:val="TableText2"/>
            </w:pPr>
            <w:r>
              <w:t>Binges Baseline</w:t>
            </w:r>
          </w:p>
        </w:tc>
        <w:tc>
          <w:tcPr>
            <w:tcW w:w="5382" w:type="dxa"/>
          </w:tcPr>
          <w:p w:rsidR="00B84EDF" w:rsidRPr="00F0301D" w:rsidRDefault="00B84EDF" w:rsidP="00D26E16">
            <w:pPr>
              <w:pStyle w:val="TableText2"/>
            </w:pPr>
            <w:r>
              <w:t>Binges Outcomes</w:t>
            </w:r>
          </w:p>
        </w:tc>
      </w:tr>
      <w:tr w:rsidR="00B84EDF" w:rsidRPr="00552FD6" w:rsidTr="00D26E16">
        <w:tc>
          <w:tcPr>
            <w:tcW w:w="2160" w:type="dxa"/>
          </w:tcPr>
          <w:p w:rsidR="002A3F1D" w:rsidRDefault="00B84EDF">
            <w:pPr>
              <w:pStyle w:val="TableText2"/>
              <w:ind w:left="0" w:firstLine="0"/>
              <w:rPr>
                <w:noProof/>
              </w:rPr>
            </w:pPr>
            <w:r w:rsidRPr="00A6773C">
              <w:rPr>
                <w:noProof/>
              </w:rPr>
              <w:t>Eisenberg, 2010</w:t>
            </w:r>
            <w:r w:rsidRPr="00C02DB9">
              <w:rPr>
                <w:rFonts w:ascii="Times New Roman" w:hAnsi="Times New Roman" w:cs="Times New Roman"/>
                <w:noProof/>
                <w:vertAlign w:val="superscript"/>
              </w:rPr>
              <w:t>90</w:t>
            </w:r>
          </w:p>
          <w:p w:rsidR="002A3F1D" w:rsidRDefault="00B84EDF">
            <w:pPr>
              <w:pStyle w:val="TableText2"/>
              <w:ind w:left="0" w:firstLine="0"/>
              <w:rPr>
                <w:noProof/>
              </w:rPr>
            </w:pPr>
            <w:r w:rsidRPr="00A6773C">
              <w:rPr>
                <w:noProof/>
              </w:rPr>
              <w:t>Neumark-Sztainer, 2011</w:t>
            </w:r>
            <w:r w:rsidRPr="00C02DB9">
              <w:rPr>
                <w:rFonts w:ascii="Times New Roman" w:hAnsi="Times New Roman" w:cs="Times New Roman"/>
                <w:noProof/>
                <w:vertAlign w:val="superscript"/>
              </w:rPr>
              <w:t>91</w:t>
            </w:r>
          </w:p>
          <w:p w:rsidR="002A3F1D" w:rsidRDefault="00B84EDF">
            <w:pPr>
              <w:pStyle w:val="TableText2"/>
              <w:ind w:left="0" w:firstLine="0"/>
            </w:pPr>
            <w:r w:rsidRPr="00A6773C">
              <w:rPr>
                <w:noProof/>
              </w:rPr>
              <w:t>Goldschmidt, 2014</w:t>
            </w:r>
            <w:r w:rsidRPr="00C02DB9">
              <w:rPr>
                <w:rFonts w:ascii="Times New Roman" w:hAnsi="Times New Roman" w:cs="Times New Roman"/>
                <w:noProof/>
                <w:vertAlign w:val="superscript"/>
              </w:rPr>
              <w:t>92</w:t>
            </w:r>
          </w:p>
        </w:tc>
        <w:tc>
          <w:tcPr>
            <w:tcW w:w="2448" w:type="dxa"/>
          </w:tcPr>
          <w:p w:rsidR="002A3F1D" w:rsidRDefault="00B84EDF">
            <w:pPr>
              <w:pStyle w:val="TableText2"/>
              <w:ind w:left="0" w:firstLine="0"/>
              <w:rPr>
                <w:noProof/>
              </w:rPr>
            </w:pPr>
            <w:r w:rsidRPr="00A6773C">
              <w:rPr>
                <w:noProof/>
              </w:rPr>
              <w:t>Eisenberg, 2010</w:t>
            </w:r>
            <w:r w:rsidRPr="00C02DB9">
              <w:rPr>
                <w:rFonts w:ascii="Times New Roman" w:hAnsi="Times New Roman" w:cs="Times New Roman"/>
                <w:noProof/>
                <w:vertAlign w:val="superscript"/>
              </w:rPr>
              <w:t>90</w:t>
            </w:r>
            <w:r w:rsidRPr="00A6773C">
              <w:rPr>
                <w:noProof/>
              </w:rPr>
              <w:t xml:space="preserve">: Binge/LOC eating, assessed with 2 questions: </w:t>
            </w:r>
          </w:p>
          <w:p w:rsidR="002A3F1D" w:rsidRDefault="00B84EDF">
            <w:pPr>
              <w:pStyle w:val="TableText2"/>
              <w:ind w:left="0" w:firstLine="0"/>
              <w:rPr>
                <w:noProof/>
              </w:rPr>
            </w:pPr>
            <w:r w:rsidRPr="00A6773C">
              <w:rPr>
                <w:noProof/>
              </w:rPr>
              <w:t>-"In the past year, have you ever eaten so much food in a short period of time that you would be embarrassed if others saw you (binge eating)?"</w:t>
            </w:r>
          </w:p>
          <w:p w:rsidR="002A3F1D" w:rsidRDefault="00B84EDF">
            <w:pPr>
              <w:pStyle w:val="TableText2"/>
              <w:ind w:left="0" w:firstLine="0"/>
              <w:rPr>
                <w:noProof/>
              </w:rPr>
            </w:pPr>
            <w:r w:rsidRPr="00A6773C">
              <w:rPr>
                <w:noProof/>
              </w:rPr>
              <w:t>-During the times when you ate this way, did you feel you couldn't stop eating or control what or how much you were eating?" Those who indicated feeling LOC in the 2nd question were classified as binge eaters</w:t>
            </w:r>
          </w:p>
          <w:p w:rsidR="002A3F1D" w:rsidRDefault="00B84EDF">
            <w:pPr>
              <w:pStyle w:val="TableText2"/>
              <w:ind w:left="0" w:firstLine="0"/>
              <w:rPr>
                <w:noProof/>
              </w:rPr>
            </w:pPr>
            <w:r w:rsidRPr="00A6773C">
              <w:rPr>
                <w:noProof/>
              </w:rPr>
              <w:t>Neumark-Sztainer, 2011</w:t>
            </w:r>
            <w:r w:rsidRPr="00C02DB9">
              <w:rPr>
                <w:rFonts w:ascii="Times New Roman" w:hAnsi="Times New Roman" w:cs="Times New Roman"/>
                <w:noProof/>
                <w:vertAlign w:val="superscript"/>
              </w:rPr>
              <w:t>91</w:t>
            </w:r>
            <w:r w:rsidRPr="00A6773C">
              <w:rPr>
                <w:noProof/>
              </w:rPr>
              <w:t xml:space="preserve">: Binge/LOC eating, assessed with 2 questions: </w:t>
            </w:r>
          </w:p>
          <w:p w:rsidR="002A3F1D" w:rsidRDefault="00B84EDF">
            <w:pPr>
              <w:pStyle w:val="TableText2"/>
              <w:ind w:left="0" w:firstLine="0"/>
              <w:rPr>
                <w:noProof/>
              </w:rPr>
            </w:pPr>
            <w:r w:rsidRPr="00A6773C">
              <w:rPr>
                <w:noProof/>
              </w:rPr>
              <w:t>-"In the past year, have you ever eaten so much food in a short period of time that you would be embarrassed if others saw you (binge eating)?"</w:t>
            </w:r>
          </w:p>
          <w:p w:rsidR="002A3F1D" w:rsidRDefault="00B84EDF">
            <w:pPr>
              <w:pStyle w:val="TableText2"/>
              <w:ind w:left="0" w:firstLine="0"/>
              <w:rPr>
                <w:noProof/>
              </w:rPr>
            </w:pPr>
            <w:r w:rsidRPr="00A6773C">
              <w:rPr>
                <w:noProof/>
              </w:rPr>
              <w:t>-During the times when you ate this way, did you feel you couldn't stop eating or control what or how much you were eating?" Those who indicated feeling LOC in the 2nd question were classified as binge eaters</w:t>
            </w:r>
          </w:p>
          <w:p w:rsidR="002A3F1D" w:rsidRDefault="00B84EDF">
            <w:pPr>
              <w:pStyle w:val="TableText2"/>
              <w:ind w:left="0" w:firstLine="0"/>
            </w:pPr>
            <w:r w:rsidRPr="00A6773C">
              <w:rPr>
                <w:noProof/>
              </w:rPr>
              <w:t>Goldschmidt, 2014</w:t>
            </w:r>
            <w:r w:rsidRPr="00C02DB9">
              <w:rPr>
                <w:rFonts w:ascii="Times New Roman" w:hAnsi="Times New Roman" w:cs="Times New Roman"/>
                <w:noProof/>
                <w:vertAlign w:val="superscript"/>
              </w:rPr>
              <w:t>92</w:t>
            </w:r>
            <w:r w:rsidRPr="00A6773C">
              <w:rPr>
                <w:noProof/>
              </w:rPr>
              <w:t xml:space="preserve">: Binge/LOC eating, </w:t>
            </w:r>
          </w:p>
          <w:p w:rsidR="002A3F1D" w:rsidRDefault="002A3F1D">
            <w:pPr>
              <w:pStyle w:val="TableText2"/>
              <w:ind w:left="0" w:firstLine="0"/>
            </w:pPr>
          </w:p>
        </w:tc>
        <w:tc>
          <w:tcPr>
            <w:tcW w:w="2970" w:type="dxa"/>
          </w:tcPr>
          <w:p w:rsidR="002A3F1D" w:rsidRDefault="00B84EDF">
            <w:pPr>
              <w:pStyle w:val="TableText2"/>
              <w:ind w:left="0" w:firstLine="0"/>
              <w:rPr>
                <w:noProof/>
              </w:rPr>
            </w:pPr>
            <w:r w:rsidRPr="00A6773C">
              <w:rPr>
                <w:noProof/>
              </w:rPr>
              <w:t>Eisenberg, 2010</w:t>
            </w:r>
            <w:r w:rsidRPr="00C02DB9">
              <w:rPr>
                <w:rFonts w:ascii="Times New Roman" w:hAnsi="Times New Roman" w:cs="Times New Roman"/>
                <w:noProof/>
                <w:vertAlign w:val="superscript"/>
              </w:rPr>
              <w:t>90</w:t>
            </w:r>
            <w:r w:rsidRPr="00A6773C">
              <w:rPr>
                <w:noProof/>
              </w:rPr>
              <w:t>: Binge/LOC eating, percent of larger sample</w:t>
            </w:r>
          </w:p>
          <w:p w:rsidR="002A3F1D" w:rsidRDefault="00B84EDF">
            <w:pPr>
              <w:pStyle w:val="TableText2"/>
              <w:ind w:left="0" w:firstLine="0"/>
              <w:rPr>
                <w:noProof/>
              </w:rPr>
            </w:pPr>
            <w:r w:rsidRPr="00A6773C">
              <w:rPr>
                <w:noProof/>
              </w:rPr>
              <w:t>Overall: 212 (8.7%)</w:t>
            </w:r>
          </w:p>
          <w:p w:rsidR="002A3F1D" w:rsidRDefault="00B84EDF">
            <w:pPr>
              <w:pStyle w:val="TableText2"/>
              <w:ind w:left="0" w:firstLine="0"/>
              <w:rPr>
                <w:noProof/>
              </w:rPr>
            </w:pPr>
            <w:r w:rsidRPr="00A6773C">
              <w:rPr>
                <w:noProof/>
              </w:rPr>
              <w:t>G1: 168 (12.6%)</w:t>
            </w:r>
          </w:p>
          <w:p w:rsidR="002A3F1D" w:rsidRDefault="00B84EDF">
            <w:pPr>
              <w:pStyle w:val="TableText2"/>
              <w:ind w:left="0" w:firstLine="0"/>
              <w:rPr>
                <w:noProof/>
              </w:rPr>
            </w:pPr>
            <w:r w:rsidRPr="00A6773C">
              <w:rPr>
                <w:noProof/>
              </w:rPr>
              <w:t>G2: 43 (4.0%)</w:t>
            </w:r>
          </w:p>
          <w:p w:rsidR="002A3F1D" w:rsidRDefault="00B84EDF">
            <w:pPr>
              <w:pStyle w:val="TableText2"/>
              <w:ind w:left="0" w:firstLine="0"/>
              <w:rPr>
                <w:noProof/>
              </w:rPr>
            </w:pPr>
            <w:r w:rsidRPr="00A6773C">
              <w:rPr>
                <w:noProof/>
              </w:rPr>
              <w:t>Neumark-Sztainer, 2011</w:t>
            </w:r>
            <w:r w:rsidRPr="00C02DB9">
              <w:rPr>
                <w:rFonts w:ascii="Times New Roman" w:hAnsi="Times New Roman" w:cs="Times New Roman"/>
                <w:noProof/>
                <w:vertAlign w:val="superscript"/>
              </w:rPr>
              <w:t>91</w:t>
            </w:r>
            <w:r w:rsidRPr="00A6773C">
              <w:rPr>
                <w:noProof/>
              </w:rPr>
              <w:t>: Binge/LOC eating used at predictor</w:t>
            </w:r>
          </w:p>
          <w:p w:rsidR="002A3F1D" w:rsidRDefault="00B84EDF">
            <w:pPr>
              <w:pStyle w:val="TableText2"/>
              <w:ind w:left="0" w:firstLine="0"/>
              <w:rPr>
                <w:noProof/>
              </w:rPr>
            </w:pPr>
            <w:r w:rsidRPr="00A6773C">
              <w:rPr>
                <w:noProof/>
              </w:rPr>
              <w:t xml:space="preserve">Prevalence: </w:t>
            </w:r>
          </w:p>
          <w:p w:rsidR="002A3F1D" w:rsidRDefault="00B84EDF">
            <w:pPr>
              <w:pStyle w:val="TableText2"/>
              <w:ind w:left="0" w:firstLine="0"/>
              <w:rPr>
                <w:noProof/>
              </w:rPr>
            </w:pPr>
            <w:r w:rsidRPr="00A6773C">
              <w:rPr>
                <w:noProof/>
              </w:rPr>
              <w:t xml:space="preserve">Girls: </w:t>
            </w:r>
          </w:p>
          <w:p w:rsidR="002A3F1D" w:rsidRDefault="00B84EDF">
            <w:pPr>
              <w:pStyle w:val="TableText2"/>
              <w:ind w:left="0" w:firstLine="0"/>
              <w:rPr>
                <w:noProof/>
              </w:rPr>
            </w:pPr>
            <w:r w:rsidRPr="00A6773C">
              <w:rPr>
                <w:noProof/>
              </w:rPr>
              <w:t>Baseline: 9.9%</w:t>
            </w:r>
          </w:p>
          <w:p w:rsidR="002A3F1D" w:rsidRDefault="00B84EDF">
            <w:pPr>
              <w:pStyle w:val="TableText2"/>
              <w:ind w:left="0" w:firstLine="0"/>
              <w:rPr>
                <w:noProof/>
              </w:rPr>
            </w:pPr>
            <w:r w:rsidRPr="00A6773C">
              <w:rPr>
                <w:noProof/>
              </w:rPr>
              <w:t>FU: 14.1%</w:t>
            </w:r>
          </w:p>
          <w:p w:rsidR="002A3F1D" w:rsidRDefault="00B84EDF">
            <w:pPr>
              <w:pStyle w:val="TableText2"/>
              <w:ind w:left="0" w:firstLine="0"/>
              <w:rPr>
                <w:noProof/>
              </w:rPr>
            </w:pPr>
            <w:r w:rsidRPr="00A6773C">
              <w:rPr>
                <w:noProof/>
              </w:rPr>
              <w:t>boys:</w:t>
            </w:r>
          </w:p>
          <w:p w:rsidR="002A3F1D" w:rsidRDefault="00B84EDF">
            <w:pPr>
              <w:pStyle w:val="TableText2"/>
              <w:ind w:left="0" w:firstLine="0"/>
              <w:rPr>
                <w:noProof/>
              </w:rPr>
            </w:pPr>
            <w:r w:rsidRPr="00A6773C">
              <w:rPr>
                <w:noProof/>
              </w:rPr>
              <w:t>baseline: 3.0%</w:t>
            </w:r>
          </w:p>
          <w:p w:rsidR="002A3F1D" w:rsidRDefault="00B84EDF">
            <w:pPr>
              <w:pStyle w:val="TableText2"/>
              <w:ind w:left="0" w:firstLine="0"/>
            </w:pPr>
            <w:r w:rsidRPr="00A6773C">
              <w:rPr>
                <w:noProof/>
              </w:rPr>
              <w:t>FU:</w:t>
            </w:r>
          </w:p>
        </w:tc>
        <w:tc>
          <w:tcPr>
            <w:tcW w:w="5382" w:type="dxa"/>
          </w:tcPr>
          <w:p w:rsidR="002A3F1D" w:rsidRDefault="00B84EDF">
            <w:pPr>
              <w:pStyle w:val="TableText2"/>
              <w:ind w:left="0" w:firstLine="0"/>
              <w:rPr>
                <w:noProof/>
              </w:rPr>
            </w:pPr>
            <w:r w:rsidRPr="00A6773C">
              <w:rPr>
                <w:noProof/>
              </w:rPr>
              <w:t>Eisenberg, 2010</w:t>
            </w:r>
            <w:r w:rsidRPr="00C02DB9">
              <w:rPr>
                <w:rFonts w:ascii="Times New Roman" w:hAnsi="Times New Roman" w:cs="Times New Roman"/>
                <w:noProof/>
                <w:vertAlign w:val="superscript"/>
              </w:rPr>
              <w:t>90</w:t>
            </w:r>
            <w:r w:rsidRPr="00A6773C">
              <w:rPr>
                <w:noProof/>
              </w:rPr>
              <w:t>: Outcome: 5y Binge/LOC eating</w:t>
            </w:r>
          </w:p>
          <w:p w:rsidR="002A3F1D" w:rsidRDefault="00B84EDF">
            <w:pPr>
              <w:pStyle w:val="TableText2"/>
              <w:ind w:left="0" w:firstLine="0"/>
              <w:rPr>
                <w:noProof/>
              </w:rPr>
            </w:pPr>
            <w:r w:rsidRPr="00A6773C">
              <w:rPr>
                <w:noProof/>
              </w:rPr>
              <w:t>Overall: 193 (7.9%)</w:t>
            </w:r>
          </w:p>
          <w:p w:rsidR="002A3F1D" w:rsidRDefault="00B84EDF">
            <w:pPr>
              <w:pStyle w:val="TableText2"/>
              <w:ind w:left="0" w:firstLine="0"/>
              <w:rPr>
                <w:noProof/>
              </w:rPr>
            </w:pPr>
            <w:r w:rsidRPr="00A6773C">
              <w:rPr>
                <w:noProof/>
              </w:rPr>
              <w:t>G1: 154 (11.4%)</w:t>
            </w:r>
          </w:p>
          <w:p w:rsidR="002A3F1D" w:rsidRDefault="00B84EDF">
            <w:pPr>
              <w:pStyle w:val="TableText2"/>
              <w:ind w:left="0" w:firstLine="0"/>
              <w:rPr>
                <w:noProof/>
              </w:rPr>
            </w:pPr>
            <w:r w:rsidRPr="00A6773C">
              <w:rPr>
                <w:noProof/>
              </w:rPr>
              <w:t>G2: 39 (3.5%)</w:t>
            </w:r>
          </w:p>
          <w:p w:rsidR="002A3F1D" w:rsidRDefault="00B84EDF">
            <w:pPr>
              <w:pStyle w:val="TableText2"/>
              <w:ind w:left="0" w:firstLine="0"/>
              <w:rPr>
                <w:noProof/>
              </w:rPr>
            </w:pPr>
            <w:r w:rsidRPr="00A6773C">
              <w:rPr>
                <w:noProof/>
              </w:rPr>
              <w:t>General linear modeling was used to generate probability of binge eating at follow-up  Model adjusted for binge eating at BL, friends dieting behavior at BL, same sex parent's dieting at BL, BMI at 5y, race, and SES. All analyses were conducted separately  by gender (G1: females, G2: males).</w:t>
            </w:r>
          </w:p>
          <w:p w:rsidR="002A3F1D" w:rsidRDefault="00B84EDF">
            <w:pPr>
              <w:pStyle w:val="TableText2"/>
              <w:ind w:left="0" w:firstLine="0"/>
              <w:rPr>
                <w:noProof/>
              </w:rPr>
            </w:pPr>
            <w:r w:rsidRPr="00A6773C">
              <w:rPr>
                <w:noProof/>
              </w:rPr>
              <w:t>Data were weighted using a response propensity method "to be more fully generalizable to the population of young people in this area."</w:t>
            </w:r>
          </w:p>
          <w:p w:rsidR="002A3F1D" w:rsidRDefault="00B84EDF">
            <w:pPr>
              <w:pStyle w:val="TableText2"/>
              <w:ind w:left="0" w:firstLine="0"/>
              <w:rPr>
                <w:noProof/>
              </w:rPr>
            </w:pPr>
            <w:r w:rsidRPr="00A6773C">
              <w:rPr>
                <w:noProof/>
              </w:rPr>
              <w:t xml:space="preserve">G1 (Females) Predictors in multivariate model:  </w:t>
            </w:r>
          </w:p>
          <w:p w:rsidR="002A3F1D" w:rsidRDefault="00B84EDF">
            <w:pPr>
              <w:pStyle w:val="TableText2"/>
              <w:ind w:left="0" w:firstLine="0"/>
              <w:rPr>
                <w:noProof/>
              </w:rPr>
            </w:pPr>
            <w:r w:rsidRPr="00A6773C">
              <w:rPr>
                <w:noProof/>
              </w:rPr>
              <w:t>BL Friends' dieting, F=3.25, (p=0.021)</w:t>
            </w:r>
          </w:p>
          <w:p w:rsidR="002A3F1D" w:rsidRDefault="00B84EDF">
            <w:pPr>
              <w:pStyle w:val="TableText2"/>
              <w:ind w:left="0" w:firstLine="0"/>
              <w:rPr>
                <w:noProof/>
              </w:rPr>
            </w:pPr>
            <w:r w:rsidRPr="00A6773C">
              <w:rPr>
                <w:noProof/>
              </w:rPr>
              <w:t>trend in friends' dieting (p = 0.012)</w:t>
            </w:r>
          </w:p>
          <w:p w:rsidR="002A3F1D" w:rsidRDefault="00B84EDF">
            <w:pPr>
              <w:pStyle w:val="TableText2"/>
              <w:ind w:left="0" w:firstLine="0"/>
              <w:rPr>
                <w:noProof/>
              </w:rPr>
            </w:pPr>
            <w:r w:rsidRPr="00A6773C">
              <w:rPr>
                <w:noProof/>
              </w:rPr>
              <w:t>BL Mother's dieting, F=1.5, p=0.212</w:t>
            </w:r>
          </w:p>
          <w:p w:rsidR="002A3F1D" w:rsidRDefault="00B84EDF">
            <w:pPr>
              <w:pStyle w:val="TableText2"/>
              <w:ind w:left="0" w:firstLine="0"/>
              <w:rPr>
                <w:noProof/>
              </w:rPr>
            </w:pPr>
            <w:r w:rsidRPr="00A6773C">
              <w:rPr>
                <w:noProof/>
              </w:rPr>
              <w:t>5y BMI, F=12.7, p &lt; 0.001</w:t>
            </w:r>
          </w:p>
          <w:p w:rsidR="002A3F1D" w:rsidRDefault="00B84EDF">
            <w:pPr>
              <w:pStyle w:val="TableText2"/>
              <w:ind w:left="0" w:firstLine="0"/>
              <w:rPr>
                <w:noProof/>
              </w:rPr>
            </w:pPr>
            <w:r w:rsidRPr="00A6773C">
              <w:rPr>
                <w:noProof/>
              </w:rPr>
              <w:t>White race, F=0.74, p=0.391</w:t>
            </w:r>
          </w:p>
          <w:p w:rsidR="002A3F1D" w:rsidRDefault="00B84EDF">
            <w:pPr>
              <w:pStyle w:val="TableText2"/>
              <w:ind w:left="0" w:firstLine="0"/>
              <w:rPr>
                <w:noProof/>
              </w:rPr>
            </w:pPr>
            <w:r w:rsidRPr="00A6773C">
              <w:rPr>
                <w:noProof/>
              </w:rPr>
              <w:t>SES, F=0.41, p=0.520</w:t>
            </w:r>
          </w:p>
          <w:p w:rsidR="002A3F1D" w:rsidRDefault="00B84EDF">
            <w:pPr>
              <w:pStyle w:val="TableText2"/>
              <w:ind w:left="0" w:firstLine="0"/>
              <w:rPr>
                <w:noProof/>
              </w:rPr>
            </w:pPr>
            <w:r w:rsidRPr="00A6773C">
              <w:rPr>
                <w:noProof/>
              </w:rPr>
              <w:t>Binge/LOC eating, F=22.9, p&lt;0.001</w:t>
            </w:r>
          </w:p>
          <w:p w:rsidR="002A3F1D" w:rsidRDefault="00B84EDF">
            <w:pPr>
              <w:pStyle w:val="TableText2"/>
              <w:ind w:left="0" w:firstLine="0"/>
              <w:rPr>
                <w:noProof/>
              </w:rPr>
            </w:pPr>
            <w:r w:rsidRPr="00A6773C">
              <w:rPr>
                <w:noProof/>
              </w:rPr>
              <w:t>Neumark-Sztainer, 2011</w:t>
            </w:r>
            <w:r w:rsidRPr="00C02DB9">
              <w:rPr>
                <w:rFonts w:ascii="Times New Roman" w:hAnsi="Times New Roman" w:cs="Times New Roman"/>
                <w:noProof/>
                <w:vertAlign w:val="superscript"/>
              </w:rPr>
              <w:t>91</w:t>
            </w:r>
            <w:r w:rsidRPr="00A6773C">
              <w:rPr>
                <w:noProof/>
              </w:rPr>
              <w:t xml:space="preserve">: </w:t>
            </w:r>
          </w:p>
          <w:p w:rsidR="002A3F1D" w:rsidRDefault="00B84EDF">
            <w:pPr>
              <w:pStyle w:val="TableText2"/>
              <w:ind w:left="0" w:firstLine="0"/>
              <w:rPr>
                <w:noProof/>
              </w:rPr>
            </w:pPr>
            <w:r w:rsidRPr="00A6773C">
              <w:rPr>
                <w:noProof/>
              </w:rPr>
              <w:t>Log binomial model of fu behavior on baseline behaviors stratified by cohort and sex and controlling for nonresponse weight.</w:t>
            </w:r>
          </w:p>
          <w:p w:rsidR="002A3F1D" w:rsidRDefault="00B84EDF">
            <w:pPr>
              <w:pStyle w:val="TableText2"/>
              <w:ind w:left="0" w:firstLine="0"/>
              <w:rPr>
                <w:noProof/>
              </w:rPr>
            </w:pPr>
            <w:r w:rsidRPr="00A6773C">
              <w:rPr>
                <w:noProof/>
              </w:rPr>
              <w:t>Probability of binge eating w LOC, controlling for this behavior at baseline:</w:t>
            </w:r>
          </w:p>
          <w:p w:rsidR="002A3F1D" w:rsidRDefault="00B84EDF">
            <w:pPr>
              <w:pStyle w:val="TableText2"/>
              <w:ind w:left="0" w:firstLine="0"/>
              <w:rPr>
                <w:noProof/>
              </w:rPr>
            </w:pPr>
            <w:r w:rsidRPr="00A6773C">
              <w:rPr>
                <w:noProof/>
              </w:rPr>
              <w:t>Younger females (n = 308)</w:t>
            </w:r>
          </w:p>
          <w:p w:rsidR="002A3F1D" w:rsidRDefault="00B84EDF">
            <w:pPr>
              <w:pStyle w:val="TableText2"/>
              <w:ind w:left="0" w:firstLine="0"/>
              <w:rPr>
                <w:noProof/>
              </w:rPr>
            </w:pPr>
            <w:r w:rsidRPr="00A6773C">
              <w:rPr>
                <w:noProof/>
              </w:rPr>
              <w:t xml:space="preserve">RR = 2.21 (95% CI, 1.31, 3.71) </w:t>
            </w:r>
          </w:p>
          <w:p w:rsidR="002A3F1D" w:rsidRDefault="00B84EDF">
            <w:pPr>
              <w:pStyle w:val="TableText2"/>
              <w:ind w:left="0" w:firstLine="0"/>
              <w:rPr>
                <w:noProof/>
              </w:rPr>
            </w:pPr>
            <w:r w:rsidRPr="00A6773C">
              <w:rPr>
                <w:noProof/>
              </w:rPr>
              <w:t>Older females: (n=722)</w:t>
            </w:r>
          </w:p>
          <w:p w:rsidR="002A3F1D" w:rsidRDefault="00B84EDF">
            <w:pPr>
              <w:pStyle w:val="TableText2"/>
              <w:ind w:left="0" w:firstLine="0"/>
              <w:rPr>
                <w:noProof/>
              </w:rPr>
            </w:pPr>
            <w:r w:rsidRPr="00A6773C">
              <w:rPr>
                <w:noProof/>
              </w:rPr>
              <w:t>RR = 2.42 (95% CI, 1.68, 3.47)</w:t>
            </w:r>
          </w:p>
          <w:p w:rsidR="002A3F1D" w:rsidRDefault="00B84EDF">
            <w:pPr>
              <w:pStyle w:val="TableText2"/>
              <w:ind w:left="0" w:firstLine="0"/>
              <w:rPr>
                <w:noProof/>
              </w:rPr>
            </w:pPr>
            <w:r w:rsidRPr="00A6773C">
              <w:rPr>
                <w:noProof/>
              </w:rPr>
              <w:t>Younger males (n = 377)</w:t>
            </w:r>
          </w:p>
          <w:p w:rsidR="002A3F1D" w:rsidRDefault="00B84EDF">
            <w:pPr>
              <w:pStyle w:val="TableText2"/>
              <w:ind w:left="0" w:firstLine="0"/>
              <w:rPr>
                <w:noProof/>
              </w:rPr>
            </w:pPr>
            <w:r w:rsidRPr="00A6773C">
              <w:rPr>
                <w:noProof/>
              </w:rPr>
              <w:t>RR = 0.47 (95% CI, 0.03, 7.12)</w:t>
            </w:r>
          </w:p>
          <w:p w:rsidR="002A3F1D" w:rsidRDefault="00B84EDF">
            <w:pPr>
              <w:pStyle w:val="TableText2"/>
              <w:ind w:left="0" w:firstLine="0"/>
              <w:rPr>
                <w:noProof/>
              </w:rPr>
            </w:pPr>
            <w:r w:rsidRPr="00A6773C">
              <w:rPr>
                <w:noProof/>
              </w:rPr>
              <w:t>Older males (n = 880)</w:t>
            </w:r>
          </w:p>
          <w:p w:rsidR="002A3F1D" w:rsidRDefault="00B84EDF">
            <w:pPr>
              <w:pStyle w:val="TableText2"/>
              <w:ind w:left="0" w:firstLine="0"/>
              <w:rPr>
                <w:noProof/>
              </w:rPr>
            </w:pPr>
            <w:r w:rsidRPr="00A6773C">
              <w:rPr>
                <w:noProof/>
              </w:rPr>
              <w:t>RR = 5.27 (95% CI, 2.68, 10.34)</w:t>
            </w:r>
          </w:p>
          <w:p w:rsidR="002A3F1D" w:rsidRDefault="00B84EDF">
            <w:pPr>
              <w:pStyle w:val="TableText2"/>
              <w:ind w:left="0" w:firstLine="0"/>
              <w:rPr>
                <w:noProof/>
              </w:rPr>
            </w:pPr>
            <w:r w:rsidRPr="00A6773C">
              <w:rPr>
                <w:noProof/>
              </w:rPr>
              <w:t>Goldschmidt, 2014</w:t>
            </w:r>
            <w:r w:rsidRPr="00C02DB9">
              <w:rPr>
                <w:rFonts w:ascii="Times New Roman" w:hAnsi="Times New Roman" w:cs="Times New Roman"/>
                <w:noProof/>
                <w:vertAlign w:val="superscript"/>
              </w:rPr>
              <w:t>92</w:t>
            </w:r>
            <w:r w:rsidRPr="00A6773C">
              <w:rPr>
                <w:noProof/>
              </w:rPr>
              <w:t>: Binge eating at T1 and T2: 15.8%</w:t>
            </w:r>
          </w:p>
          <w:p w:rsidR="002A3F1D" w:rsidRDefault="00B84EDF">
            <w:pPr>
              <w:pStyle w:val="TableText2"/>
              <w:ind w:left="0" w:firstLine="0"/>
              <w:rPr>
                <w:noProof/>
              </w:rPr>
            </w:pPr>
            <w:r w:rsidRPr="00A6773C">
              <w:rPr>
                <w:noProof/>
              </w:rPr>
              <w:t>Binge eating at T2 and T3: 42%</w:t>
            </w:r>
          </w:p>
          <w:p w:rsidR="002A3F1D" w:rsidRDefault="002A3F1D">
            <w:pPr>
              <w:pStyle w:val="TableText2"/>
              <w:ind w:left="0" w:firstLine="0"/>
            </w:pPr>
          </w:p>
        </w:tc>
      </w:tr>
    </w:tbl>
    <w:p w:rsidR="00B84EDF" w:rsidRDefault="00B84EDF" w:rsidP="00B84EDF">
      <w:pPr>
        <w:pStyle w:val="TableTitle"/>
        <w:tabs>
          <w:tab w:val="left" w:pos="5148"/>
        </w:tabs>
      </w:pPr>
      <w:r>
        <w:br w:type="page"/>
      </w:r>
      <w:r>
        <w:lastRenderedPageBreak/>
        <w:t>Evidence Table 76. Course of illness studies – part 4 (continued)</w:t>
      </w:r>
    </w:p>
    <w:tbl>
      <w:tblPr>
        <w:tblStyle w:val="AHRQ1"/>
        <w:tblW w:w="12960" w:type="dxa"/>
        <w:tblLayout w:type="fixed"/>
        <w:tblLook w:val="04A0"/>
      </w:tblPr>
      <w:tblGrid>
        <w:gridCol w:w="2160"/>
        <w:gridCol w:w="2448"/>
        <w:gridCol w:w="2970"/>
        <w:gridCol w:w="5382"/>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448" w:type="dxa"/>
          </w:tcPr>
          <w:p w:rsidR="00B84EDF" w:rsidRPr="00F0301D" w:rsidRDefault="00B84EDF" w:rsidP="00D26E16">
            <w:pPr>
              <w:pStyle w:val="TableText2"/>
            </w:pPr>
            <w:r>
              <w:t xml:space="preserve">Definition of Binges </w:t>
            </w:r>
            <w:r w:rsidRPr="00694729">
              <w:t>(Days; Frequency; Remission; Abstinence</w:t>
            </w:r>
            <w:r>
              <w:t>,</w:t>
            </w:r>
            <w:r w:rsidRPr="00694729">
              <w:t xml:space="preserve"> etc.)</w:t>
            </w:r>
          </w:p>
        </w:tc>
        <w:tc>
          <w:tcPr>
            <w:tcW w:w="2970" w:type="dxa"/>
          </w:tcPr>
          <w:p w:rsidR="00B84EDF" w:rsidRPr="00F0301D" w:rsidRDefault="00B84EDF" w:rsidP="00D26E16">
            <w:pPr>
              <w:pStyle w:val="TableText2"/>
            </w:pPr>
            <w:r>
              <w:t>Binges Baseline</w:t>
            </w:r>
          </w:p>
        </w:tc>
        <w:tc>
          <w:tcPr>
            <w:tcW w:w="5382" w:type="dxa"/>
          </w:tcPr>
          <w:p w:rsidR="00B84EDF" w:rsidRPr="00F0301D" w:rsidRDefault="00B84EDF" w:rsidP="00D26E16">
            <w:pPr>
              <w:pStyle w:val="TableText2"/>
            </w:pPr>
            <w:r>
              <w:t>Binges Outcomes</w:t>
            </w:r>
          </w:p>
        </w:tc>
      </w:tr>
      <w:tr w:rsidR="00B84EDF" w:rsidRPr="00552FD6" w:rsidTr="00D26E16">
        <w:tc>
          <w:tcPr>
            <w:tcW w:w="2160" w:type="dxa"/>
          </w:tcPr>
          <w:p w:rsidR="00B84EDF" w:rsidRPr="00A6773C" w:rsidRDefault="00B84EDF" w:rsidP="00D26E16">
            <w:pPr>
              <w:pStyle w:val="TableText2"/>
              <w:rPr>
                <w:noProof/>
              </w:rPr>
            </w:pPr>
            <w:r w:rsidRPr="00A6773C">
              <w:rPr>
                <w:noProof/>
              </w:rPr>
              <w:t>Eisenberg, 2010</w:t>
            </w:r>
            <w:r w:rsidRPr="00C02DB9">
              <w:rPr>
                <w:rFonts w:ascii="Times New Roman" w:hAnsi="Times New Roman" w:cs="Times New Roman"/>
                <w:noProof/>
                <w:vertAlign w:val="superscript"/>
              </w:rPr>
              <w:t>90</w:t>
            </w:r>
          </w:p>
          <w:p w:rsidR="00B84EDF" w:rsidRPr="00A6773C" w:rsidRDefault="00B84EDF" w:rsidP="00D26E16">
            <w:pPr>
              <w:pStyle w:val="TableText2"/>
              <w:rPr>
                <w:noProof/>
              </w:rPr>
            </w:pPr>
            <w:r w:rsidRPr="00A6773C">
              <w:rPr>
                <w:noProof/>
              </w:rPr>
              <w:t>Neumark-Sztainer, 2011</w:t>
            </w:r>
            <w:r w:rsidRPr="00C02DB9">
              <w:rPr>
                <w:rFonts w:ascii="Times New Roman" w:hAnsi="Times New Roman" w:cs="Times New Roman"/>
                <w:noProof/>
                <w:vertAlign w:val="superscript"/>
              </w:rPr>
              <w:t>91</w:t>
            </w:r>
          </w:p>
          <w:p w:rsidR="00B84EDF" w:rsidRDefault="00B84EDF" w:rsidP="00D26E16">
            <w:pPr>
              <w:pStyle w:val="TableText2"/>
              <w:rPr>
                <w:noProof/>
              </w:rPr>
            </w:pPr>
            <w:r w:rsidRPr="00A6773C">
              <w:rPr>
                <w:noProof/>
              </w:rPr>
              <w:t>Goldschmidt, 2014</w:t>
            </w:r>
            <w:r w:rsidRPr="00C02DB9">
              <w:rPr>
                <w:rFonts w:ascii="Times New Roman" w:hAnsi="Times New Roman" w:cs="Times New Roman"/>
                <w:noProof/>
                <w:vertAlign w:val="superscript"/>
              </w:rPr>
              <w:t>92</w:t>
            </w:r>
          </w:p>
          <w:p w:rsidR="00B84EDF" w:rsidRPr="00A6773C" w:rsidRDefault="00B84EDF" w:rsidP="00D26E16">
            <w:pPr>
              <w:pStyle w:val="TableText2"/>
              <w:rPr>
                <w:noProof/>
              </w:rPr>
            </w:pPr>
            <w:r>
              <w:rPr>
                <w:noProof/>
              </w:rPr>
              <w:t>(continued)</w:t>
            </w:r>
          </w:p>
        </w:tc>
        <w:tc>
          <w:tcPr>
            <w:tcW w:w="2448" w:type="dxa"/>
          </w:tcPr>
          <w:p w:rsidR="00B84EDF" w:rsidRPr="00A6773C" w:rsidRDefault="00B84EDF" w:rsidP="00D26E16">
            <w:pPr>
              <w:pStyle w:val="TableText2"/>
              <w:rPr>
                <w:noProof/>
              </w:rPr>
            </w:pPr>
            <w:r w:rsidRPr="00A6773C">
              <w:rPr>
                <w:noProof/>
              </w:rPr>
              <w:t xml:space="preserve">assessed with 2 questions: </w:t>
            </w:r>
          </w:p>
          <w:p w:rsidR="00B84EDF" w:rsidRPr="00A6773C" w:rsidRDefault="00B84EDF" w:rsidP="00D26E16">
            <w:pPr>
              <w:pStyle w:val="TableText2"/>
              <w:rPr>
                <w:noProof/>
              </w:rPr>
            </w:pPr>
            <w:r w:rsidRPr="00A6773C">
              <w:rPr>
                <w:noProof/>
              </w:rPr>
              <w:t>-"In the past year, have you ever eaten so much food in a short period of time that you would be embarrassed if others saw you (binge eating)?"</w:t>
            </w:r>
          </w:p>
          <w:p w:rsidR="00B84EDF" w:rsidRPr="00A6773C" w:rsidRDefault="00B84EDF" w:rsidP="00D26E16">
            <w:pPr>
              <w:pStyle w:val="TableText2"/>
              <w:rPr>
                <w:noProof/>
              </w:rPr>
            </w:pPr>
            <w:r w:rsidRPr="00A6773C">
              <w:rPr>
                <w:noProof/>
              </w:rPr>
              <w:t>-During the times when you ate this way, did you feel you couldn't stop eating or control what or how much you were eating?" Those who indicated feeling LOC in the 2nd question were classified as binge eater</w:t>
            </w:r>
          </w:p>
        </w:tc>
        <w:tc>
          <w:tcPr>
            <w:tcW w:w="2970" w:type="dxa"/>
          </w:tcPr>
          <w:p w:rsidR="00B84EDF" w:rsidRPr="00A6773C" w:rsidRDefault="00B84EDF" w:rsidP="00D26E16">
            <w:pPr>
              <w:pStyle w:val="TableText2"/>
              <w:rPr>
                <w:noProof/>
              </w:rPr>
            </w:pPr>
          </w:p>
        </w:tc>
        <w:tc>
          <w:tcPr>
            <w:tcW w:w="5382" w:type="dxa"/>
          </w:tcPr>
          <w:p w:rsidR="00B84EDF" w:rsidRPr="00A6773C" w:rsidRDefault="00B84EDF" w:rsidP="00D26E16">
            <w:pPr>
              <w:pStyle w:val="TableText2"/>
              <w:rPr>
                <w:noProof/>
              </w:rPr>
            </w:pPr>
            <w:r w:rsidRPr="00A6773C">
              <w:rPr>
                <w:noProof/>
              </w:rPr>
              <w:t>OR for Binge eating cessation (controlling for baseline value of the change variable to ensure that individual differences in functioning at the previous time point did not confound our results. All models additionally controlled for age cohort, sex, race/ethnicity (categorized as non-Hispanic White vs. all others), and SES and weighted to control for attrition)</w:t>
            </w:r>
          </w:p>
          <w:p w:rsidR="00B84EDF" w:rsidRPr="00A6773C" w:rsidRDefault="00B84EDF" w:rsidP="00D26E16">
            <w:pPr>
              <w:pStyle w:val="TableText2"/>
              <w:rPr>
                <w:noProof/>
              </w:rPr>
            </w:pPr>
            <w:r w:rsidRPr="00A6773C">
              <w:rPr>
                <w:noProof/>
              </w:rPr>
              <w:t>cessation at T2 based on value at previous time point:</w:t>
            </w:r>
          </w:p>
          <w:p w:rsidR="00B84EDF" w:rsidRPr="00A6773C" w:rsidRDefault="00B84EDF" w:rsidP="00D26E16">
            <w:pPr>
              <w:pStyle w:val="TableText2"/>
              <w:rPr>
                <w:noProof/>
              </w:rPr>
            </w:pPr>
            <w:r w:rsidRPr="00A6773C">
              <w:rPr>
                <w:noProof/>
              </w:rPr>
              <w:t xml:space="preserve">BMI: 1.10 (1.00–1.21); p =0.06 </w:t>
            </w:r>
          </w:p>
          <w:p w:rsidR="00B84EDF" w:rsidRPr="00A6773C" w:rsidRDefault="00B84EDF" w:rsidP="00D26E16">
            <w:pPr>
              <w:pStyle w:val="TableText2"/>
              <w:rPr>
                <w:noProof/>
              </w:rPr>
            </w:pPr>
            <w:r w:rsidRPr="00A6773C">
              <w:rPr>
                <w:noProof/>
              </w:rPr>
              <w:t xml:space="preserve">Body satisfaction: 1.00 (0.94–1.06); p =0.88 </w:t>
            </w:r>
          </w:p>
          <w:p w:rsidR="00B84EDF" w:rsidRPr="00A6773C" w:rsidRDefault="00B84EDF" w:rsidP="00D26E16">
            <w:pPr>
              <w:pStyle w:val="TableText2"/>
              <w:rPr>
                <w:noProof/>
              </w:rPr>
            </w:pPr>
            <w:r w:rsidRPr="00A6773C">
              <w:rPr>
                <w:noProof/>
              </w:rPr>
              <w:t>Depression symptoms:0.96 (0.81–1.13); p= 0.58</w:t>
            </w:r>
          </w:p>
          <w:p w:rsidR="00B84EDF" w:rsidRPr="00A6773C" w:rsidRDefault="00B84EDF" w:rsidP="00D26E16">
            <w:pPr>
              <w:pStyle w:val="TableText2"/>
              <w:rPr>
                <w:noProof/>
              </w:rPr>
            </w:pPr>
            <w:r w:rsidRPr="00A6773C">
              <w:rPr>
                <w:noProof/>
              </w:rPr>
              <w:t xml:space="preserve">Self-esteem: 1.04 (0.92–1.18); p =0.52 </w:t>
            </w:r>
          </w:p>
          <w:p w:rsidR="00B84EDF" w:rsidRPr="00A6773C" w:rsidRDefault="00B84EDF" w:rsidP="00D26E16">
            <w:pPr>
              <w:pStyle w:val="TableText2"/>
              <w:rPr>
                <w:noProof/>
              </w:rPr>
            </w:pPr>
            <w:r w:rsidRPr="00A6773C">
              <w:rPr>
                <w:noProof/>
              </w:rPr>
              <w:t>Change in BMI: 0.93 (0.81–1.07); p=0.31</w:t>
            </w:r>
          </w:p>
          <w:p w:rsidR="00B84EDF" w:rsidRPr="00A6773C" w:rsidRDefault="00B84EDF" w:rsidP="00D26E16">
            <w:pPr>
              <w:pStyle w:val="TableText2"/>
              <w:rPr>
                <w:noProof/>
              </w:rPr>
            </w:pPr>
            <w:r w:rsidRPr="00A6773C">
              <w:rPr>
                <w:noProof/>
              </w:rPr>
              <w:t>Change in body satisfaction: 1.01 (0.96–1.07); p=0.68</w:t>
            </w:r>
          </w:p>
          <w:p w:rsidR="00B84EDF" w:rsidRPr="00A6773C" w:rsidRDefault="00B84EDF" w:rsidP="00D26E16">
            <w:pPr>
              <w:pStyle w:val="TableText2"/>
              <w:rPr>
                <w:noProof/>
              </w:rPr>
            </w:pPr>
            <w:r w:rsidRPr="00A6773C">
              <w:rPr>
                <w:noProof/>
              </w:rPr>
              <w:t xml:space="preserve">Change in depression symptoms: 0.89 (0.73–1.09); p=0.28 </w:t>
            </w:r>
          </w:p>
          <w:p w:rsidR="00B84EDF" w:rsidRPr="00A6773C" w:rsidRDefault="00B84EDF" w:rsidP="00D26E16">
            <w:pPr>
              <w:pStyle w:val="TableText2"/>
              <w:rPr>
                <w:noProof/>
              </w:rPr>
            </w:pPr>
            <w:r w:rsidRPr="00A6773C">
              <w:rPr>
                <w:noProof/>
              </w:rPr>
              <w:t>Change in self-esteem: 1.21 (1.02–1.44); p=0.03</w:t>
            </w:r>
          </w:p>
          <w:p w:rsidR="00B84EDF" w:rsidRPr="00A6773C" w:rsidRDefault="00B84EDF" w:rsidP="00D26E16">
            <w:pPr>
              <w:pStyle w:val="TableText2"/>
              <w:rPr>
                <w:noProof/>
              </w:rPr>
            </w:pPr>
            <w:r w:rsidRPr="00A6773C">
              <w:rPr>
                <w:noProof/>
              </w:rPr>
              <w:t>cessation at T3 based on value at previous time point:</w:t>
            </w:r>
          </w:p>
          <w:p w:rsidR="00B84EDF" w:rsidRPr="00A6773C" w:rsidRDefault="00B84EDF" w:rsidP="00D26E16">
            <w:pPr>
              <w:pStyle w:val="TableText2"/>
              <w:rPr>
                <w:noProof/>
              </w:rPr>
            </w:pPr>
            <w:r w:rsidRPr="00A6773C">
              <w:rPr>
                <w:noProof/>
              </w:rPr>
              <w:t>BMI: 0.95 (0.88–1.04); p =0.26</w:t>
            </w:r>
          </w:p>
          <w:p w:rsidR="00B84EDF" w:rsidRPr="00A6773C" w:rsidRDefault="00B84EDF" w:rsidP="00D26E16">
            <w:pPr>
              <w:pStyle w:val="TableText2"/>
              <w:rPr>
                <w:noProof/>
              </w:rPr>
            </w:pPr>
            <w:r w:rsidRPr="00A6773C">
              <w:rPr>
                <w:noProof/>
              </w:rPr>
              <w:t>Body satisfaction: 1.01 (0.95–1.06); p= 0.84</w:t>
            </w:r>
          </w:p>
          <w:p w:rsidR="00B84EDF" w:rsidRPr="00A6773C" w:rsidRDefault="00B84EDF" w:rsidP="00D26E16">
            <w:pPr>
              <w:pStyle w:val="TableText2"/>
              <w:rPr>
                <w:noProof/>
              </w:rPr>
            </w:pPr>
            <w:r w:rsidRPr="00A6773C">
              <w:rPr>
                <w:noProof/>
              </w:rPr>
              <w:t>Depression symptoms: 0.92 (0.81–1.05); p=0.21</w:t>
            </w:r>
          </w:p>
          <w:p w:rsidR="00B84EDF" w:rsidRPr="00A6773C" w:rsidRDefault="00B84EDF" w:rsidP="00D26E16">
            <w:pPr>
              <w:pStyle w:val="TableText2"/>
              <w:rPr>
                <w:noProof/>
              </w:rPr>
            </w:pPr>
            <w:r w:rsidRPr="00A6773C">
              <w:rPr>
                <w:noProof/>
              </w:rPr>
              <w:t>Self-esteem: 1.03 (0.91–1.15); p=0.67</w:t>
            </w:r>
          </w:p>
          <w:p w:rsidR="00B84EDF" w:rsidRPr="00A6773C" w:rsidRDefault="00B84EDF" w:rsidP="00D26E16">
            <w:pPr>
              <w:pStyle w:val="TableText2"/>
              <w:rPr>
                <w:noProof/>
              </w:rPr>
            </w:pPr>
            <w:r w:rsidRPr="00A6773C">
              <w:rPr>
                <w:noProof/>
              </w:rPr>
              <w:t>Change in BMI: 0.98 (0.88–1.09); p=0.70</w:t>
            </w:r>
          </w:p>
          <w:p w:rsidR="00B84EDF" w:rsidRPr="00A6773C" w:rsidRDefault="00B84EDF" w:rsidP="00D26E16">
            <w:pPr>
              <w:pStyle w:val="TableText2"/>
              <w:rPr>
                <w:noProof/>
              </w:rPr>
            </w:pPr>
            <w:r w:rsidRPr="00A6773C">
              <w:rPr>
                <w:noProof/>
              </w:rPr>
              <w:t>Change in body satisfaction: 1.06 (1.00–1.13); p=0.05</w:t>
            </w:r>
          </w:p>
          <w:p w:rsidR="00B84EDF" w:rsidRPr="00A6773C" w:rsidRDefault="00B84EDF" w:rsidP="00D26E16">
            <w:pPr>
              <w:pStyle w:val="TableText2"/>
              <w:rPr>
                <w:noProof/>
              </w:rPr>
            </w:pPr>
            <w:r w:rsidRPr="00A6773C">
              <w:rPr>
                <w:noProof/>
              </w:rPr>
              <w:t>Change in depression symptoms:  0.81 (0.68–0.95); p=0.009</w:t>
            </w:r>
          </w:p>
          <w:p w:rsidR="00B84EDF" w:rsidRPr="00A6773C" w:rsidRDefault="00B84EDF" w:rsidP="00D26E16">
            <w:pPr>
              <w:pStyle w:val="TableText2"/>
              <w:rPr>
                <w:noProof/>
              </w:rPr>
            </w:pPr>
            <w:r w:rsidRPr="00A6773C">
              <w:rPr>
                <w:noProof/>
              </w:rPr>
              <w:t>Change in self-esteem: 1.23 (1.07–1.41); p =0.004</w:t>
            </w:r>
          </w:p>
          <w:p w:rsidR="00B84EDF" w:rsidRPr="00A6773C" w:rsidRDefault="00B84EDF" w:rsidP="00D26E16">
            <w:pPr>
              <w:pStyle w:val="TableText2"/>
              <w:rPr>
                <w:noProof/>
              </w:rPr>
            </w:pPr>
          </w:p>
        </w:tc>
      </w:tr>
    </w:tbl>
    <w:p w:rsidR="00B84EDF" w:rsidRDefault="00B84EDF" w:rsidP="00B84EDF">
      <w:pPr>
        <w:pStyle w:val="TableTitle"/>
        <w:tabs>
          <w:tab w:val="left" w:pos="5148"/>
        </w:tabs>
      </w:pPr>
      <w:r>
        <w:br w:type="page"/>
      </w:r>
      <w:r>
        <w:lastRenderedPageBreak/>
        <w:t>Evidence Table 76. Course of illness studies – part 4 (continued)</w:t>
      </w:r>
    </w:p>
    <w:tbl>
      <w:tblPr>
        <w:tblStyle w:val="AHRQ1"/>
        <w:tblW w:w="12960" w:type="dxa"/>
        <w:tblLayout w:type="fixed"/>
        <w:tblLook w:val="04A0"/>
      </w:tblPr>
      <w:tblGrid>
        <w:gridCol w:w="2160"/>
        <w:gridCol w:w="2448"/>
        <w:gridCol w:w="2970"/>
        <w:gridCol w:w="5382"/>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448" w:type="dxa"/>
          </w:tcPr>
          <w:p w:rsidR="00B84EDF" w:rsidRPr="00F0301D" w:rsidRDefault="00B84EDF" w:rsidP="00D26E16">
            <w:pPr>
              <w:pStyle w:val="TableText2"/>
            </w:pPr>
            <w:r>
              <w:t xml:space="preserve">Definition of Binges </w:t>
            </w:r>
            <w:r w:rsidRPr="00694729">
              <w:t>(Days; Frequency; Remission; Abstinence</w:t>
            </w:r>
            <w:r>
              <w:t>,</w:t>
            </w:r>
            <w:r w:rsidRPr="00694729">
              <w:t xml:space="preserve"> etc.)</w:t>
            </w:r>
          </w:p>
        </w:tc>
        <w:tc>
          <w:tcPr>
            <w:tcW w:w="2970" w:type="dxa"/>
          </w:tcPr>
          <w:p w:rsidR="00B84EDF" w:rsidRPr="00F0301D" w:rsidRDefault="00B84EDF" w:rsidP="00D26E16">
            <w:pPr>
              <w:pStyle w:val="TableText2"/>
            </w:pPr>
            <w:r>
              <w:t>Binges Baseline</w:t>
            </w:r>
          </w:p>
        </w:tc>
        <w:tc>
          <w:tcPr>
            <w:tcW w:w="5382" w:type="dxa"/>
          </w:tcPr>
          <w:p w:rsidR="00B84EDF" w:rsidRPr="00F0301D" w:rsidRDefault="00B84EDF" w:rsidP="00D26E16">
            <w:pPr>
              <w:pStyle w:val="TableText2"/>
            </w:pPr>
            <w:r>
              <w:t>Binges Outcomes</w:t>
            </w:r>
          </w:p>
        </w:tc>
      </w:tr>
      <w:tr w:rsidR="00B84EDF" w:rsidRPr="00552FD6" w:rsidTr="00D26E16">
        <w:tc>
          <w:tcPr>
            <w:tcW w:w="2160" w:type="dxa"/>
          </w:tcPr>
          <w:p w:rsidR="00B84EDF" w:rsidRPr="00A6773C" w:rsidRDefault="00B84EDF" w:rsidP="00D26E16">
            <w:pPr>
              <w:pStyle w:val="TableText2"/>
              <w:rPr>
                <w:noProof/>
              </w:rPr>
            </w:pPr>
            <w:r w:rsidRPr="00A6773C">
              <w:rPr>
                <w:noProof/>
              </w:rPr>
              <w:t>Fichter, 1993</w:t>
            </w:r>
            <w:r w:rsidRPr="00C02DB9">
              <w:rPr>
                <w:rFonts w:ascii="Times New Roman" w:hAnsi="Times New Roman" w:cs="Times New Roman"/>
                <w:noProof/>
                <w:vertAlign w:val="superscript"/>
              </w:rPr>
              <w:t>93</w:t>
            </w:r>
          </w:p>
          <w:p w:rsidR="00B84EDF" w:rsidRPr="00A6773C" w:rsidRDefault="00B84EDF" w:rsidP="00D26E16">
            <w:pPr>
              <w:pStyle w:val="TableText2"/>
              <w:rPr>
                <w:noProof/>
              </w:rPr>
            </w:pPr>
            <w:r w:rsidRPr="00A6773C">
              <w:rPr>
                <w:noProof/>
              </w:rPr>
              <w:t>Fichter, 1998</w:t>
            </w:r>
            <w:r w:rsidRPr="00C02DB9">
              <w:rPr>
                <w:rFonts w:ascii="Times New Roman" w:hAnsi="Times New Roman" w:cs="Times New Roman"/>
                <w:noProof/>
                <w:vertAlign w:val="superscript"/>
              </w:rPr>
              <w:t>94</w:t>
            </w:r>
          </w:p>
          <w:p w:rsidR="00B84EDF" w:rsidRPr="00A6773C" w:rsidRDefault="00B84EDF" w:rsidP="00D26E16">
            <w:pPr>
              <w:pStyle w:val="TableText2"/>
              <w:rPr>
                <w:noProof/>
              </w:rPr>
            </w:pPr>
            <w:r w:rsidRPr="00A6773C">
              <w:rPr>
                <w:noProof/>
              </w:rPr>
              <w:t>Fichter, 2003</w:t>
            </w:r>
            <w:r w:rsidRPr="00C02DB9">
              <w:rPr>
                <w:rFonts w:ascii="Times New Roman" w:hAnsi="Times New Roman" w:cs="Times New Roman"/>
                <w:noProof/>
                <w:vertAlign w:val="superscript"/>
              </w:rPr>
              <w:t>95</w:t>
            </w:r>
          </w:p>
          <w:p w:rsidR="00B84EDF" w:rsidRPr="00552FD6" w:rsidRDefault="00B84EDF" w:rsidP="00D26E16">
            <w:pPr>
              <w:pStyle w:val="TableText2"/>
            </w:pPr>
            <w:r w:rsidRPr="00A6773C">
              <w:rPr>
                <w:noProof/>
              </w:rPr>
              <w:t>Fichter, 2008</w:t>
            </w:r>
            <w:r w:rsidRPr="00C02DB9">
              <w:rPr>
                <w:rFonts w:ascii="Times New Roman" w:hAnsi="Times New Roman" w:cs="Times New Roman"/>
                <w:noProof/>
                <w:vertAlign w:val="superscript"/>
              </w:rPr>
              <w:t>96</w:t>
            </w:r>
          </w:p>
        </w:tc>
        <w:tc>
          <w:tcPr>
            <w:tcW w:w="2448" w:type="dxa"/>
          </w:tcPr>
          <w:p w:rsidR="00B84EDF" w:rsidRPr="00552FD6" w:rsidRDefault="00B84EDF" w:rsidP="00D26E16">
            <w:pPr>
              <w:pStyle w:val="TableText2"/>
            </w:pPr>
            <w:r w:rsidRPr="00A6773C">
              <w:rPr>
                <w:noProof/>
              </w:rPr>
              <w:t>BE ≥ 2 times/wk</w:t>
            </w:r>
          </w:p>
        </w:tc>
        <w:tc>
          <w:tcPr>
            <w:tcW w:w="2970" w:type="dxa"/>
          </w:tcPr>
          <w:p w:rsidR="00B84EDF" w:rsidRPr="00552FD6" w:rsidRDefault="00B84EDF" w:rsidP="00D26E16">
            <w:pPr>
              <w:pStyle w:val="TableText2"/>
            </w:pPr>
            <w:r w:rsidRPr="00A6773C">
              <w:rPr>
                <w:noProof/>
              </w:rPr>
              <w:t>100%</w:t>
            </w:r>
          </w:p>
        </w:tc>
        <w:tc>
          <w:tcPr>
            <w:tcW w:w="5382" w:type="dxa"/>
          </w:tcPr>
          <w:p w:rsidR="00B84EDF" w:rsidRPr="00A6773C" w:rsidRDefault="00B84EDF" w:rsidP="00D26E16">
            <w:pPr>
              <w:pStyle w:val="TableText2"/>
              <w:rPr>
                <w:noProof/>
              </w:rPr>
            </w:pPr>
            <w:r w:rsidRPr="00A6773C">
              <w:rPr>
                <w:noProof/>
              </w:rPr>
              <w:t>3 year: 16.1%; 6 years: 34%</w:t>
            </w:r>
          </w:p>
          <w:p w:rsidR="00B84EDF" w:rsidRPr="00A6773C" w:rsidRDefault="00B84EDF" w:rsidP="00D26E16">
            <w:pPr>
              <w:pStyle w:val="TableText2"/>
              <w:rPr>
                <w:noProof/>
              </w:rPr>
            </w:pPr>
            <w:r w:rsidRPr="00A6773C">
              <w:rPr>
                <w:noProof/>
              </w:rPr>
              <w:t>BED at 6 year FU: 5.9%, 77.9% no major eating disorder</w:t>
            </w:r>
          </w:p>
          <w:p w:rsidR="00B84EDF" w:rsidRPr="00A6773C" w:rsidRDefault="00B84EDF" w:rsidP="00D26E16">
            <w:pPr>
              <w:pStyle w:val="TableText2"/>
              <w:rPr>
                <w:noProof/>
              </w:rPr>
            </w:pPr>
            <w:r w:rsidRPr="00A6773C">
              <w:rPr>
                <w:noProof/>
              </w:rPr>
              <w:t>SEM results: BED at t1 (start of tx) sig predicted BED at t2 (end of tx); BED at end of tx predicted BED at 3 year fu and at 6 year fu</w:t>
            </w:r>
          </w:p>
          <w:p w:rsidR="00B84EDF" w:rsidRPr="00A6773C" w:rsidRDefault="00B84EDF" w:rsidP="00D26E16">
            <w:pPr>
              <w:pStyle w:val="TableText2"/>
              <w:rPr>
                <w:noProof/>
              </w:rPr>
            </w:pPr>
            <w:r w:rsidRPr="00A6773C">
              <w:rPr>
                <w:noProof/>
              </w:rPr>
              <w:t>BED at beginning of tx did not sig predict BED at 3-year fu</w:t>
            </w:r>
          </w:p>
          <w:p w:rsidR="00B84EDF" w:rsidRPr="00A6773C" w:rsidRDefault="00B84EDF" w:rsidP="00D26E16">
            <w:pPr>
              <w:pStyle w:val="TableText2"/>
              <w:rPr>
                <w:noProof/>
              </w:rPr>
            </w:pPr>
            <w:r w:rsidRPr="00A6773C">
              <w:rPr>
                <w:noProof/>
              </w:rPr>
              <w:t xml:space="preserve">predictors of poor diagnostic outcome at 12 years (any eating disorder-AN, BN, BED or ED-NOS): </w:t>
            </w:r>
          </w:p>
          <w:p w:rsidR="00B84EDF" w:rsidRPr="00A6773C" w:rsidRDefault="00B84EDF" w:rsidP="00D26E16">
            <w:pPr>
              <w:pStyle w:val="TableText2"/>
              <w:rPr>
                <w:noProof/>
              </w:rPr>
            </w:pPr>
            <w:r w:rsidRPr="00A6773C">
              <w:rPr>
                <w:noProof/>
              </w:rPr>
              <w:t>psychiatric comorbidity OR = 6.00 (1.17 to 30.95)</w:t>
            </w:r>
          </w:p>
          <w:p w:rsidR="00B84EDF" w:rsidRPr="00A6773C" w:rsidRDefault="00B84EDF" w:rsidP="00D26E16">
            <w:pPr>
              <w:pStyle w:val="TableText2"/>
              <w:rPr>
                <w:noProof/>
              </w:rPr>
            </w:pPr>
            <w:r w:rsidRPr="00A6773C">
              <w:rPr>
                <w:noProof/>
              </w:rPr>
              <w:t>Severe sexual abuse: OR = 4.55 (1.04 to 1.9)</w:t>
            </w:r>
          </w:p>
          <w:p w:rsidR="00B84EDF" w:rsidRPr="00A6773C" w:rsidRDefault="00B84EDF" w:rsidP="00D26E16">
            <w:pPr>
              <w:pStyle w:val="TableText2"/>
              <w:rPr>
                <w:noProof/>
              </w:rPr>
            </w:pPr>
            <w:r w:rsidRPr="00A6773C">
              <w:rPr>
                <w:noProof/>
              </w:rPr>
              <w:t>Other non-significant predictor: self-injury</w:t>
            </w:r>
          </w:p>
          <w:p w:rsidR="00B84EDF" w:rsidRPr="00A6773C" w:rsidRDefault="00B84EDF" w:rsidP="00D26E16">
            <w:pPr>
              <w:pStyle w:val="TableText2"/>
              <w:rPr>
                <w:noProof/>
              </w:rPr>
            </w:pPr>
            <w:r w:rsidRPr="00A6773C">
              <w:rPr>
                <w:noProof/>
              </w:rPr>
              <w:t>Predictors of poor bingeing episode outcome at 12 years (one or more binges occurred in the three months preceding follow-up)</w:t>
            </w:r>
          </w:p>
          <w:p w:rsidR="00B84EDF" w:rsidRPr="00A6773C" w:rsidRDefault="00B84EDF" w:rsidP="00D26E16">
            <w:pPr>
              <w:pStyle w:val="TableText2"/>
              <w:rPr>
                <w:noProof/>
              </w:rPr>
            </w:pPr>
            <w:r w:rsidRPr="00A6773C">
              <w:rPr>
                <w:noProof/>
              </w:rPr>
              <w:t>Psychiatric comorbidity OR = 13.09 (1.45-118.62)</w:t>
            </w:r>
          </w:p>
          <w:p w:rsidR="00B84EDF" w:rsidRPr="00A6773C" w:rsidRDefault="00B84EDF" w:rsidP="00D26E16">
            <w:pPr>
              <w:pStyle w:val="TableText2"/>
              <w:rPr>
                <w:noProof/>
              </w:rPr>
            </w:pPr>
            <w:r w:rsidRPr="00A6773C">
              <w:rPr>
                <w:noProof/>
              </w:rPr>
              <w:t>other non-significant predictors: self-injury, emotional liability, interoceptive awareness, obesity of patient's father</w:t>
            </w:r>
          </w:p>
          <w:p w:rsidR="00B84EDF" w:rsidRPr="00A6773C" w:rsidRDefault="00B84EDF" w:rsidP="00D26E16">
            <w:pPr>
              <w:pStyle w:val="TableText2"/>
              <w:rPr>
                <w:noProof/>
              </w:rPr>
            </w:pPr>
            <w:r w:rsidRPr="00A6773C">
              <w:rPr>
                <w:noProof/>
              </w:rPr>
              <w:t>predictors of Poor bingeing severity outcome at 12 years (severe and frequent binges, meeting DSM-IV definition)</w:t>
            </w:r>
          </w:p>
          <w:p w:rsidR="00B84EDF" w:rsidRPr="00A6773C" w:rsidRDefault="00B84EDF" w:rsidP="00D26E16">
            <w:pPr>
              <w:pStyle w:val="TableText2"/>
              <w:rPr>
                <w:noProof/>
              </w:rPr>
            </w:pPr>
            <w:r w:rsidRPr="00A6773C">
              <w:rPr>
                <w:noProof/>
              </w:rPr>
              <w:t>Impulsivity: OR=13.60 (1.57–117.68)</w:t>
            </w:r>
          </w:p>
          <w:p w:rsidR="00B84EDF" w:rsidRPr="00A6773C" w:rsidRDefault="00B84EDF" w:rsidP="00D26E16">
            <w:pPr>
              <w:pStyle w:val="TableText2"/>
              <w:rPr>
                <w:noProof/>
              </w:rPr>
            </w:pPr>
            <w:r w:rsidRPr="00A6773C">
              <w:rPr>
                <w:noProof/>
              </w:rPr>
              <w:t>Psychiatric comorbidity: OR=12.37 (1.42–107.79)</w:t>
            </w:r>
          </w:p>
          <w:p w:rsidR="00B84EDF" w:rsidRPr="00552FD6" w:rsidRDefault="00B84EDF" w:rsidP="00D26E16">
            <w:pPr>
              <w:pStyle w:val="TableText2"/>
            </w:pPr>
            <w:r w:rsidRPr="00A6773C">
              <w:rPr>
                <w:noProof/>
              </w:rPr>
              <w:t>Other non-sig predictors: self-injury, inefficiency</w:t>
            </w:r>
          </w:p>
        </w:tc>
      </w:tr>
    </w:tbl>
    <w:p w:rsidR="00B84EDF" w:rsidRDefault="00B84EDF" w:rsidP="00B84EDF">
      <w:pPr>
        <w:pStyle w:val="TableTitle"/>
        <w:tabs>
          <w:tab w:val="left" w:pos="5148"/>
        </w:tabs>
      </w:pPr>
      <w:r>
        <w:br w:type="page"/>
      </w:r>
      <w:r>
        <w:lastRenderedPageBreak/>
        <w:t>Evidence Table 76. Course of illness studies – part 4 (continued)</w:t>
      </w:r>
    </w:p>
    <w:tbl>
      <w:tblPr>
        <w:tblStyle w:val="AHRQ1"/>
        <w:tblW w:w="12960" w:type="dxa"/>
        <w:tblLayout w:type="fixed"/>
        <w:tblLook w:val="04A0"/>
      </w:tblPr>
      <w:tblGrid>
        <w:gridCol w:w="2160"/>
        <w:gridCol w:w="2448"/>
        <w:gridCol w:w="2970"/>
        <w:gridCol w:w="5382"/>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448" w:type="dxa"/>
          </w:tcPr>
          <w:p w:rsidR="00B84EDF" w:rsidRPr="00F0301D" w:rsidRDefault="00B84EDF" w:rsidP="00D26E16">
            <w:pPr>
              <w:pStyle w:val="TableText2"/>
            </w:pPr>
            <w:r>
              <w:t xml:space="preserve">Definition of Binges </w:t>
            </w:r>
            <w:r w:rsidRPr="00694729">
              <w:t>(Days; Frequency; Remission; Abstinence</w:t>
            </w:r>
            <w:r>
              <w:t>,</w:t>
            </w:r>
            <w:r w:rsidRPr="00694729">
              <w:t xml:space="preserve"> etc.)</w:t>
            </w:r>
          </w:p>
        </w:tc>
        <w:tc>
          <w:tcPr>
            <w:tcW w:w="2970" w:type="dxa"/>
          </w:tcPr>
          <w:p w:rsidR="00B84EDF" w:rsidRPr="00F0301D" w:rsidRDefault="00B84EDF" w:rsidP="00D26E16">
            <w:pPr>
              <w:pStyle w:val="TableText2"/>
            </w:pPr>
            <w:r>
              <w:t>Binges Baseline</w:t>
            </w:r>
          </w:p>
        </w:tc>
        <w:tc>
          <w:tcPr>
            <w:tcW w:w="5382" w:type="dxa"/>
          </w:tcPr>
          <w:p w:rsidR="00B84EDF" w:rsidRPr="00F0301D" w:rsidRDefault="00B84EDF" w:rsidP="00D26E16">
            <w:pPr>
              <w:pStyle w:val="TableText2"/>
            </w:pPr>
            <w:r>
              <w:t>Binges Outcomes</w:t>
            </w:r>
          </w:p>
        </w:tc>
      </w:tr>
      <w:tr w:rsidR="00B84EDF" w:rsidRPr="00552FD6" w:rsidTr="00D26E16">
        <w:tc>
          <w:tcPr>
            <w:tcW w:w="2160" w:type="dxa"/>
          </w:tcPr>
          <w:p w:rsidR="00B84EDF" w:rsidRPr="00A6773C" w:rsidRDefault="00B84EDF" w:rsidP="00D26E16">
            <w:pPr>
              <w:pStyle w:val="TableText2"/>
              <w:rPr>
                <w:noProof/>
              </w:rPr>
            </w:pPr>
            <w:r w:rsidRPr="00A6773C">
              <w:rPr>
                <w:noProof/>
              </w:rPr>
              <w:t>Field, 2012</w:t>
            </w:r>
            <w:r w:rsidRPr="00C02DB9">
              <w:rPr>
                <w:rFonts w:ascii="Times New Roman" w:hAnsi="Times New Roman" w:cs="Times New Roman"/>
                <w:noProof/>
                <w:vertAlign w:val="superscript"/>
              </w:rPr>
              <w:t>97</w:t>
            </w:r>
          </w:p>
          <w:p w:rsidR="00B84EDF" w:rsidRPr="00552FD6" w:rsidRDefault="00B84EDF" w:rsidP="00D26E16">
            <w:pPr>
              <w:pStyle w:val="TableText2"/>
            </w:pPr>
            <w:r w:rsidRPr="00A6773C">
              <w:rPr>
                <w:noProof/>
              </w:rPr>
              <w:t>Sonneville, 2013</w:t>
            </w:r>
            <w:r w:rsidRPr="00C02DB9">
              <w:rPr>
                <w:rFonts w:ascii="Times New Roman" w:hAnsi="Times New Roman" w:cs="Times New Roman"/>
                <w:noProof/>
                <w:vertAlign w:val="superscript"/>
              </w:rPr>
              <w:t>98</w:t>
            </w:r>
          </w:p>
        </w:tc>
        <w:tc>
          <w:tcPr>
            <w:tcW w:w="2448" w:type="dxa"/>
          </w:tcPr>
          <w:p w:rsidR="00B84EDF" w:rsidRPr="00552FD6" w:rsidRDefault="00B84EDF" w:rsidP="00D26E16">
            <w:pPr>
              <w:pStyle w:val="TableText2"/>
            </w:pPr>
            <w:r w:rsidRPr="00A6773C">
              <w:rPr>
                <w:noProof/>
              </w:rPr>
              <w:t>Binge eating was assessed with a 2-part question. Participants were first asked how often during the past year they had eaten a very large amount of food. Participants who had eaten a very large amount of food at least occasionally were asked a follow-up question about whether they felt out of control (y/n) during these episodes, like they could not stop eating even if they wanted to stop. Binge eating was defined as at least weekly episodes of eating a large amount of food with LOC based on DSM-V.</w:t>
            </w:r>
          </w:p>
        </w:tc>
        <w:tc>
          <w:tcPr>
            <w:tcW w:w="2970" w:type="dxa"/>
          </w:tcPr>
          <w:p w:rsidR="00B84EDF" w:rsidRPr="00552FD6" w:rsidRDefault="00B84EDF" w:rsidP="00D26E16">
            <w:pPr>
              <w:pStyle w:val="TableText2"/>
            </w:pPr>
            <w:r w:rsidRPr="00A6773C">
              <w:rPr>
                <w:noProof/>
              </w:rPr>
              <w:t>NR</w:t>
            </w:r>
          </w:p>
        </w:tc>
        <w:tc>
          <w:tcPr>
            <w:tcW w:w="5382" w:type="dxa"/>
          </w:tcPr>
          <w:p w:rsidR="00B84EDF" w:rsidRPr="00A6773C" w:rsidRDefault="00B84EDF" w:rsidP="00D26E16">
            <w:pPr>
              <w:pStyle w:val="TableText2"/>
              <w:rPr>
                <w:noProof/>
              </w:rPr>
            </w:pPr>
            <w:r w:rsidRPr="00A6773C">
              <w:rPr>
                <w:noProof/>
              </w:rPr>
              <w:t>Binge eating prevalence among 16-year-old females: 2.3%</w:t>
            </w:r>
          </w:p>
          <w:p w:rsidR="00B84EDF" w:rsidRPr="00A6773C" w:rsidRDefault="00B84EDF" w:rsidP="00D26E16">
            <w:pPr>
              <w:pStyle w:val="TableText2"/>
              <w:rPr>
                <w:noProof/>
              </w:rPr>
            </w:pPr>
            <w:r w:rsidRPr="00A6773C">
              <w:rPr>
                <w:noProof/>
              </w:rPr>
              <w:t>Binge eating prevalence among 24-year-old females: 3.1%</w:t>
            </w:r>
          </w:p>
          <w:p w:rsidR="00B84EDF" w:rsidRPr="00A6773C" w:rsidRDefault="00B84EDF" w:rsidP="00D26E16">
            <w:pPr>
              <w:pStyle w:val="TableText2"/>
              <w:rPr>
                <w:noProof/>
              </w:rPr>
            </w:pPr>
            <w:r w:rsidRPr="00A6773C">
              <w:rPr>
                <w:noProof/>
              </w:rPr>
              <w:t>Binge eating prevalence among 16-year-old males: 0.3%</w:t>
            </w:r>
          </w:p>
          <w:p w:rsidR="00B84EDF" w:rsidRPr="00A6773C" w:rsidRDefault="00B84EDF" w:rsidP="00D26E16">
            <w:pPr>
              <w:pStyle w:val="TableText2"/>
              <w:rPr>
                <w:noProof/>
              </w:rPr>
            </w:pPr>
            <w:r w:rsidRPr="00A6773C">
              <w:rPr>
                <w:noProof/>
              </w:rPr>
              <w:t>Binge eating prevalence among 24-year-old males: 1.0%</w:t>
            </w:r>
          </w:p>
          <w:p w:rsidR="00B84EDF" w:rsidRPr="00A6773C" w:rsidRDefault="00B84EDF" w:rsidP="00D26E16">
            <w:pPr>
              <w:pStyle w:val="TableText2"/>
              <w:rPr>
                <w:noProof/>
              </w:rPr>
            </w:pPr>
            <w:r w:rsidRPr="00A6773C">
              <w:rPr>
                <w:noProof/>
              </w:rPr>
              <w:t>Lagged analysis with time-varying covariates so that outcomes were modeled as a function of predictors assessed on the previous questionnaire. Tested for an interaction between overeating status and sex in fully adjusted models for all outcomes. "No overeating" group is referent for ORs.</w:t>
            </w:r>
          </w:p>
          <w:p w:rsidR="00B84EDF" w:rsidRPr="00A6773C" w:rsidRDefault="00B84EDF" w:rsidP="00D26E16">
            <w:pPr>
              <w:pStyle w:val="TableText2"/>
              <w:rPr>
                <w:noProof/>
              </w:rPr>
            </w:pPr>
            <w:r w:rsidRPr="00A6773C">
              <w:rPr>
                <w:noProof/>
              </w:rPr>
              <w:t>Associations with weekly binge eating on the previous questionnaire (1-2 years prior) : OR (95% CI)</w:t>
            </w:r>
          </w:p>
          <w:p w:rsidR="00B84EDF" w:rsidRPr="00A6773C" w:rsidRDefault="00B84EDF" w:rsidP="00D26E16">
            <w:pPr>
              <w:pStyle w:val="TableText2"/>
              <w:rPr>
                <w:noProof/>
              </w:rPr>
            </w:pPr>
            <w:r w:rsidRPr="00A6773C">
              <w:rPr>
                <w:noProof/>
              </w:rPr>
              <w:t>Overweight/obesity: 1.73 (1.11-2.69) (adjusting for age, sex, BMI and dieting)</w:t>
            </w:r>
          </w:p>
          <w:p w:rsidR="00B84EDF" w:rsidRPr="00A6773C" w:rsidRDefault="00B84EDF" w:rsidP="00D26E16">
            <w:pPr>
              <w:pStyle w:val="TableText2"/>
              <w:rPr>
                <w:noProof/>
              </w:rPr>
            </w:pPr>
            <w:r w:rsidRPr="00A6773C">
              <w:rPr>
                <w:noProof/>
              </w:rPr>
              <w:t>High depressive symptoms: 2.19 (1.40-3.45) (adjusting for age, sex, having 1+ parents who drink, having a sibling who started drinking before age 18 years, having 1+ friends who drink, having a sibling who uses drugs, having friends who use drugs)</w:t>
            </w:r>
          </w:p>
          <w:p w:rsidR="00B84EDF" w:rsidRPr="00A6773C" w:rsidRDefault="00B84EDF" w:rsidP="00D26E16">
            <w:pPr>
              <w:pStyle w:val="TableText2"/>
              <w:rPr>
                <w:noProof/>
              </w:rPr>
            </w:pPr>
            <w:r w:rsidRPr="00A6773C">
              <w:rPr>
                <w:noProof/>
              </w:rPr>
              <w:t>Frequent binge drinking: 1.14 (0.83-1.57) (age, sex, having 1+ parents who drink, having a sibling who started drinking before age 18 years, having 1+ friends who drink, having a sibling who uses drugs, having friends who use drugs)</w:t>
            </w:r>
          </w:p>
          <w:p w:rsidR="00B84EDF" w:rsidRPr="00A6773C" w:rsidRDefault="00B84EDF" w:rsidP="00D26E16">
            <w:pPr>
              <w:pStyle w:val="TableText2"/>
              <w:rPr>
                <w:noProof/>
              </w:rPr>
            </w:pPr>
            <w:r w:rsidRPr="00A6773C">
              <w:rPr>
                <w:noProof/>
              </w:rPr>
              <w:t>Marijuana use: 1.85 (1.27-2.67) (age, sex, having 1+ parents who drink, having a sibling who started drinking before age 18 years, having 1+ friends who drink, having a sibling who uses drugs, having friends who use drugs)</w:t>
            </w:r>
          </w:p>
          <w:p w:rsidR="00B84EDF" w:rsidRPr="00552FD6" w:rsidRDefault="00B84EDF" w:rsidP="00D26E16">
            <w:pPr>
              <w:pStyle w:val="TableText2"/>
            </w:pPr>
            <w:r w:rsidRPr="00A6773C">
              <w:rPr>
                <w:noProof/>
              </w:rPr>
              <w:t>Other drugs use: 1.59 (1.08-2.33) (age, sex, having 1+ parents who drink, having a sibling who started drinking before age 18 years, having 1+ friends who drink, having a sibling who uses drugs, having friends who use drugs)</w:t>
            </w:r>
          </w:p>
        </w:tc>
      </w:tr>
    </w:tbl>
    <w:p w:rsidR="00B84EDF" w:rsidRDefault="00B84EDF" w:rsidP="00B84EDF">
      <w:pPr>
        <w:pStyle w:val="TableTitle"/>
        <w:tabs>
          <w:tab w:val="left" w:pos="5148"/>
        </w:tabs>
      </w:pPr>
      <w:r>
        <w:br w:type="page"/>
      </w:r>
      <w:r>
        <w:lastRenderedPageBreak/>
        <w:t>Evidence Table 76. Course of illness studies – part 4 (continued)</w:t>
      </w:r>
    </w:p>
    <w:tbl>
      <w:tblPr>
        <w:tblStyle w:val="AHRQ1"/>
        <w:tblW w:w="12960" w:type="dxa"/>
        <w:tblLayout w:type="fixed"/>
        <w:tblLook w:val="04A0"/>
      </w:tblPr>
      <w:tblGrid>
        <w:gridCol w:w="2160"/>
        <w:gridCol w:w="2448"/>
        <w:gridCol w:w="2970"/>
        <w:gridCol w:w="5382"/>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448" w:type="dxa"/>
          </w:tcPr>
          <w:p w:rsidR="00B84EDF" w:rsidRPr="00F0301D" w:rsidRDefault="00B84EDF" w:rsidP="00D26E16">
            <w:pPr>
              <w:pStyle w:val="TableText2"/>
            </w:pPr>
            <w:r>
              <w:t xml:space="preserve">Definition of Binges </w:t>
            </w:r>
            <w:r w:rsidRPr="00694729">
              <w:t>(Days; Frequency; Remission; Abstinence</w:t>
            </w:r>
            <w:r>
              <w:t>,</w:t>
            </w:r>
            <w:r w:rsidRPr="00694729">
              <w:t xml:space="preserve"> etc.)</w:t>
            </w:r>
          </w:p>
        </w:tc>
        <w:tc>
          <w:tcPr>
            <w:tcW w:w="2970" w:type="dxa"/>
          </w:tcPr>
          <w:p w:rsidR="00B84EDF" w:rsidRPr="00F0301D" w:rsidRDefault="00B84EDF" w:rsidP="00D26E16">
            <w:pPr>
              <w:pStyle w:val="TableText2"/>
            </w:pPr>
            <w:r>
              <w:t>Binges Baseline</w:t>
            </w:r>
          </w:p>
        </w:tc>
        <w:tc>
          <w:tcPr>
            <w:tcW w:w="5382" w:type="dxa"/>
          </w:tcPr>
          <w:p w:rsidR="00B84EDF" w:rsidRPr="00F0301D" w:rsidRDefault="00B84EDF" w:rsidP="00D26E16">
            <w:pPr>
              <w:pStyle w:val="TableText2"/>
            </w:pPr>
            <w:r>
              <w:t>Binges Outcomes</w:t>
            </w:r>
          </w:p>
        </w:tc>
      </w:tr>
      <w:tr w:rsidR="00B84EDF" w:rsidRPr="00552FD6" w:rsidTr="00D26E16">
        <w:tc>
          <w:tcPr>
            <w:tcW w:w="2160" w:type="dxa"/>
          </w:tcPr>
          <w:p w:rsidR="00B84EDF" w:rsidRPr="00A6773C" w:rsidRDefault="00B84EDF" w:rsidP="00D26E16">
            <w:pPr>
              <w:pStyle w:val="TableText2"/>
              <w:rPr>
                <w:noProof/>
              </w:rPr>
            </w:pPr>
            <w:r w:rsidRPr="00A6773C">
              <w:rPr>
                <w:noProof/>
              </w:rPr>
              <w:t>Hilbert, 2013</w:t>
            </w:r>
            <w:r w:rsidRPr="00C02DB9">
              <w:rPr>
                <w:rFonts w:ascii="Times New Roman" w:hAnsi="Times New Roman" w:cs="Times New Roman"/>
                <w:noProof/>
                <w:vertAlign w:val="superscript"/>
              </w:rPr>
              <w:t>99</w:t>
            </w:r>
          </w:p>
          <w:p w:rsidR="00B84EDF" w:rsidRPr="00552FD6" w:rsidRDefault="00B84EDF" w:rsidP="00D26E16">
            <w:pPr>
              <w:pStyle w:val="TableText2"/>
            </w:pPr>
            <w:r w:rsidRPr="00A6773C">
              <w:rPr>
                <w:noProof/>
              </w:rPr>
              <w:t>Hilbert, 2014</w:t>
            </w:r>
            <w:r w:rsidRPr="00C02DB9">
              <w:rPr>
                <w:rFonts w:ascii="Times New Roman" w:hAnsi="Times New Roman" w:cs="Times New Roman"/>
                <w:noProof/>
                <w:vertAlign w:val="superscript"/>
              </w:rPr>
              <w:t>100</w:t>
            </w:r>
          </w:p>
        </w:tc>
        <w:tc>
          <w:tcPr>
            <w:tcW w:w="2448" w:type="dxa"/>
          </w:tcPr>
          <w:p w:rsidR="00B84EDF" w:rsidRPr="00552FD6" w:rsidRDefault="00B84EDF" w:rsidP="00D26E16">
            <w:pPr>
              <w:pStyle w:val="TableText2"/>
            </w:pPr>
            <w:r w:rsidRPr="00A6773C">
              <w:rPr>
                <w:noProof/>
              </w:rPr>
              <w:t>NA</w:t>
            </w:r>
          </w:p>
        </w:tc>
        <w:tc>
          <w:tcPr>
            <w:tcW w:w="2970" w:type="dxa"/>
          </w:tcPr>
          <w:p w:rsidR="00B84EDF" w:rsidRPr="00552FD6" w:rsidRDefault="00B84EDF" w:rsidP="00D26E16">
            <w:pPr>
              <w:pStyle w:val="TableText2"/>
            </w:pPr>
            <w:r w:rsidRPr="00A6773C">
              <w:rPr>
                <w:noProof/>
              </w:rPr>
              <w:t>NA</w:t>
            </w:r>
          </w:p>
        </w:tc>
        <w:tc>
          <w:tcPr>
            <w:tcW w:w="5382" w:type="dxa"/>
          </w:tcPr>
          <w:p w:rsidR="00B84EDF" w:rsidRPr="00A6773C" w:rsidRDefault="00B84EDF" w:rsidP="00D26E16">
            <w:pPr>
              <w:pStyle w:val="TableText2"/>
              <w:rPr>
                <w:noProof/>
              </w:rPr>
            </w:pPr>
            <w:r w:rsidRPr="00A6773C">
              <w:rPr>
                <w:noProof/>
              </w:rPr>
              <w:t>The MLM to examine the stability of LOC eating in LOC+  and LOC-  children yielded no significant association between subsequent reports of LOC eating ( ϒ=    .333, t  =  .853, p =  .39,</w:t>
            </w:r>
          </w:p>
          <w:p w:rsidR="00B84EDF" w:rsidRPr="00A6773C" w:rsidRDefault="00B84EDF" w:rsidP="00D26E16">
            <w:pPr>
              <w:pStyle w:val="TableText2"/>
              <w:rPr>
                <w:noProof/>
              </w:rPr>
            </w:pPr>
            <w:r w:rsidRPr="00A6773C">
              <w:rPr>
                <w:noProof/>
              </w:rPr>
              <w:t>OR =  .71). Thus, LOC eating at one specific timepoint was not a reliable predictor of LOC eating at the subsequent timepoint. However, children who reported more LOC eating at t1 were more likely to report LOC eating at one of the subsequent assessment timepoints ( β =   1.343, t  = 3.245, p =  .002, OR =  3.83).</w:t>
            </w:r>
          </w:p>
          <w:p w:rsidR="00B84EDF" w:rsidRPr="00A6773C" w:rsidRDefault="00B84EDF" w:rsidP="00D26E16">
            <w:pPr>
              <w:pStyle w:val="TableText2"/>
              <w:rPr>
                <w:noProof/>
              </w:rPr>
            </w:pPr>
            <w:r w:rsidRPr="00A6773C">
              <w:rPr>
                <w:noProof/>
              </w:rPr>
              <w:t>The prospective change MLM of LOC eating in the LOC+ group only (because of low occurrence of LOC eating in the LOC - group) showed that within-subject decreases in shape concern</w:t>
            </w:r>
          </w:p>
          <w:p w:rsidR="00B84EDF" w:rsidRPr="00A6773C" w:rsidRDefault="00B84EDF" w:rsidP="00D26E16">
            <w:pPr>
              <w:pStyle w:val="TableText2"/>
              <w:rPr>
                <w:noProof/>
              </w:rPr>
            </w:pPr>
            <w:r w:rsidRPr="00A6773C">
              <w:rPr>
                <w:noProof/>
              </w:rPr>
              <w:t>and increases in depression were associated with a higher likelihood of LOC eating at the subsequent timepoint.LOC+ children’s average shape concern and t1 reports of weight-related</w:t>
            </w:r>
          </w:p>
          <w:p w:rsidR="00B84EDF" w:rsidRPr="00A6773C" w:rsidRDefault="00B84EDF" w:rsidP="00D26E16">
            <w:pPr>
              <w:pStyle w:val="TableText2"/>
              <w:rPr>
                <w:noProof/>
              </w:rPr>
            </w:pPr>
            <w:r w:rsidRPr="00A6773C">
              <w:rPr>
                <w:noProof/>
              </w:rPr>
              <w:t>teasing were predictive of LOC eating episodes between t2 and t5. Regarding control variables, children who were older, who attended</w:t>
            </w:r>
          </w:p>
          <w:p w:rsidR="00B84EDF" w:rsidRPr="00A6773C" w:rsidRDefault="00B84EDF" w:rsidP="00D26E16">
            <w:pPr>
              <w:pStyle w:val="TableText2"/>
              <w:rPr>
                <w:noProof/>
              </w:rPr>
            </w:pPr>
            <w:r w:rsidRPr="00A6773C">
              <w:rPr>
                <w:noProof/>
              </w:rPr>
              <w:t>an elementary or comprehensive school, and whose parents had a higher BMI were more likely to report episodes of LOC eating across the t2 to t5 assessments. However, greater child BMI was associated with a lower likelihood of LOC eating at t2 through t5.</w:t>
            </w:r>
          </w:p>
          <w:p w:rsidR="00B84EDF" w:rsidRPr="00A6773C" w:rsidRDefault="00B84EDF" w:rsidP="00D26E16">
            <w:pPr>
              <w:pStyle w:val="TableText2"/>
              <w:rPr>
                <w:noProof/>
              </w:rPr>
            </w:pPr>
            <w:r w:rsidRPr="00A6773C">
              <w:rPr>
                <w:noProof/>
              </w:rPr>
              <w:t>Regarding the stability of LOC eating, 3.6% of the children diagnosed as LOC eaters at study entry showed persistent LOC eating at all five assessment timepoints, 41.8% showed recurring</w:t>
            </w:r>
          </w:p>
          <w:p w:rsidR="00B84EDF" w:rsidRPr="00A6773C" w:rsidRDefault="00B84EDF" w:rsidP="00D26E16">
            <w:pPr>
              <w:pStyle w:val="TableText2"/>
              <w:rPr>
                <w:noProof/>
              </w:rPr>
            </w:pPr>
            <w:r w:rsidRPr="00A6773C">
              <w:rPr>
                <w:noProof/>
              </w:rPr>
              <w:t>LOC eating at multiple timepoints, and 54.5% remitted from LOC eating and did not show any LOC eating after baseline LOC eating.</w:t>
            </w:r>
          </w:p>
          <w:p w:rsidR="00B84EDF" w:rsidRPr="00552FD6" w:rsidRDefault="00B84EDF" w:rsidP="00D26E16">
            <w:pPr>
              <w:pStyle w:val="TableText2"/>
            </w:pPr>
            <w:r w:rsidRPr="00A6773C">
              <w:rPr>
                <w:noProof/>
              </w:rPr>
              <w:t>In MLM model: partial BED was predicted by LOC eating, BMI but this may be cross sectional</w:t>
            </w:r>
          </w:p>
        </w:tc>
      </w:tr>
    </w:tbl>
    <w:p w:rsidR="00B84EDF" w:rsidRDefault="00B84EDF" w:rsidP="00B84EDF">
      <w:pPr>
        <w:pStyle w:val="TableTitle"/>
        <w:tabs>
          <w:tab w:val="left" w:pos="5148"/>
        </w:tabs>
      </w:pPr>
      <w:r>
        <w:br w:type="page"/>
      </w:r>
      <w:r>
        <w:lastRenderedPageBreak/>
        <w:t>Evidence Table 76. Course of illness studies – part 4 (continued)</w:t>
      </w:r>
    </w:p>
    <w:tbl>
      <w:tblPr>
        <w:tblStyle w:val="AHRQ1"/>
        <w:tblW w:w="12960" w:type="dxa"/>
        <w:tblLayout w:type="fixed"/>
        <w:tblLook w:val="04A0"/>
      </w:tblPr>
      <w:tblGrid>
        <w:gridCol w:w="2160"/>
        <w:gridCol w:w="2448"/>
        <w:gridCol w:w="2970"/>
        <w:gridCol w:w="5382"/>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448" w:type="dxa"/>
          </w:tcPr>
          <w:p w:rsidR="00B84EDF" w:rsidRPr="00F0301D" w:rsidRDefault="00B84EDF" w:rsidP="00D26E16">
            <w:pPr>
              <w:pStyle w:val="TableText2"/>
            </w:pPr>
            <w:r>
              <w:t xml:space="preserve">Definition of Binges </w:t>
            </w:r>
            <w:r w:rsidRPr="00694729">
              <w:t>(Days; Frequency; Remission; Abstinence</w:t>
            </w:r>
            <w:r>
              <w:t>,</w:t>
            </w:r>
            <w:r w:rsidRPr="00694729">
              <w:t xml:space="preserve"> etc.)</w:t>
            </w:r>
          </w:p>
        </w:tc>
        <w:tc>
          <w:tcPr>
            <w:tcW w:w="2970" w:type="dxa"/>
          </w:tcPr>
          <w:p w:rsidR="00B84EDF" w:rsidRPr="00F0301D" w:rsidRDefault="00B84EDF" w:rsidP="00D26E16">
            <w:pPr>
              <w:pStyle w:val="TableText2"/>
            </w:pPr>
            <w:r>
              <w:t>Binges Baseline</w:t>
            </w:r>
          </w:p>
        </w:tc>
        <w:tc>
          <w:tcPr>
            <w:tcW w:w="5382" w:type="dxa"/>
          </w:tcPr>
          <w:p w:rsidR="00B84EDF" w:rsidRPr="00F0301D" w:rsidRDefault="00B84EDF" w:rsidP="00D26E16">
            <w:pPr>
              <w:pStyle w:val="TableText2"/>
            </w:pPr>
            <w:r>
              <w:t>Binges Outcomes</w:t>
            </w:r>
          </w:p>
        </w:tc>
      </w:tr>
      <w:tr w:rsidR="00B84EDF" w:rsidRPr="00552FD6" w:rsidTr="00D26E16">
        <w:tc>
          <w:tcPr>
            <w:tcW w:w="2160" w:type="dxa"/>
          </w:tcPr>
          <w:p w:rsidR="00B84EDF" w:rsidRPr="00552FD6" w:rsidRDefault="00B84EDF" w:rsidP="00D26E16">
            <w:pPr>
              <w:pStyle w:val="TableText2"/>
            </w:pPr>
            <w:r w:rsidRPr="00A6773C">
              <w:rPr>
                <w:noProof/>
              </w:rPr>
              <w:t>Linna</w:t>
            </w:r>
            <w:r>
              <w:t xml:space="preserve">, </w:t>
            </w:r>
            <w:r w:rsidRPr="00A6773C">
              <w:rPr>
                <w:noProof/>
              </w:rPr>
              <w:t>2013</w:t>
            </w:r>
            <w:r w:rsidRPr="00C02DB9">
              <w:rPr>
                <w:rFonts w:ascii="Times New Roman" w:hAnsi="Times New Roman" w:cs="Times New Roman"/>
                <w:noProof/>
                <w:vertAlign w:val="superscript"/>
              </w:rPr>
              <w:t>101</w:t>
            </w:r>
          </w:p>
        </w:tc>
        <w:tc>
          <w:tcPr>
            <w:tcW w:w="2448" w:type="dxa"/>
          </w:tcPr>
          <w:p w:rsidR="00B84EDF" w:rsidRPr="00552FD6" w:rsidRDefault="00B84EDF" w:rsidP="00D26E16">
            <w:pPr>
              <w:pStyle w:val="TableText2"/>
            </w:pPr>
            <w:r w:rsidRPr="00A6773C">
              <w:rPr>
                <w:noProof/>
              </w:rPr>
              <w:t>NA</w:t>
            </w:r>
          </w:p>
        </w:tc>
        <w:tc>
          <w:tcPr>
            <w:tcW w:w="2970" w:type="dxa"/>
          </w:tcPr>
          <w:p w:rsidR="00B84EDF" w:rsidRPr="00552FD6" w:rsidRDefault="00B84EDF" w:rsidP="00D26E16">
            <w:pPr>
              <w:pStyle w:val="TableText2"/>
            </w:pPr>
            <w:r w:rsidRPr="00A6773C">
              <w:rPr>
                <w:noProof/>
              </w:rPr>
              <w:t>NA</w:t>
            </w:r>
          </w:p>
        </w:tc>
        <w:tc>
          <w:tcPr>
            <w:tcW w:w="5382" w:type="dxa"/>
          </w:tcPr>
          <w:p w:rsidR="00B84EDF" w:rsidRPr="00552FD6" w:rsidRDefault="00B84EDF" w:rsidP="00D26E16">
            <w:pPr>
              <w:pStyle w:val="TableText2"/>
            </w:pPr>
            <w:r w:rsidRPr="00A6773C">
              <w:rPr>
                <w:noProof/>
              </w:rPr>
              <w:t>NA</w:t>
            </w:r>
          </w:p>
        </w:tc>
      </w:tr>
      <w:tr w:rsidR="00B84EDF" w:rsidRPr="00552FD6" w:rsidTr="00D26E16">
        <w:tc>
          <w:tcPr>
            <w:tcW w:w="2160" w:type="dxa"/>
          </w:tcPr>
          <w:p w:rsidR="00B84EDF" w:rsidRPr="00552FD6" w:rsidRDefault="00B84EDF" w:rsidP="00D26E16">
            <w:pPr>
              <w:pStyle w:val="TableText2"/>
            </w:pPr>
            <w:r w:rsidRPr="00A6773C">
              <w:rPr>
                <w:noProof/>
              </w:rPr>
              <w:t>Maxwell</w:t>
            </w:r>
            <w:r>
              <w:t xml:space="preserve">, </w:t>
            </w:r>
            <w:r w:rsidRPr="00A6773C">
              <w:rPr>
                <w:noProof/>
              </w:rPr>
              <w:t>2014</w:t>
            </w:r>
            <w:r w:rsidRPr="00C02DB9">
              <w:rPr>
                <w:rFonts w:ascii="Times New Roman" w:hAnsi="Times New Roman" w:cs="Times New Roman"/>
                <w:noProof/>
                <w:vertAlign w:val="superscript"/>
              </w:rPr>
              <w:t>102</w:t>
            </w:r>
          </w:p>
        </w:tc>
        <w:tc>
          <w:tcPr>
            <w:tcW w:w="2448" w:type="dxa"/>
          </w:tcPr>
          <w:p w:rsidR="00B84EDF" w:rsidRPr="00552FD6" w:rsidRDefault="00B84EDF" w:rsidP="00D26E16">
            <w:pPr>
              <w:pStyle w:val="TableText2"/>
            </w:pPr>
            <w:r w:rsidRPr="00A6773C">
              <w:rPr>
                <w:noProof/>
              </w:rPr>
              <w:t>Days binged in the past 28 days</w:t>
            </w:r>
          </w:p>
        </w:tc>
        <w:tc>
          <w:tcPr>
            <w:tcW w:w="2970" w:type="dxa"/>
          </w:tcPr>
          <w:p w:rsidR="00B84EDF" w:rsidRPr="00552FD6" w:rsidRDefault="00B84EDF" w:rsidP="00D26E16">
            <w:pPr>
              <w:pStyle w:val="TableText2"/>
            </w:pPr>
            <w:r w:rsidRPr="00A6773C">
              <w:rPr>
                <w:noProof/>
              </w:rPr>
              <w:t>15.25 (5.72)</w:t>
            </w:r>
          </w:p>
        </w:tc>
        <w:tc>
          <w:tcPr>
            <w:tcW w:w="5382" w:type="dxa"/>
          </w:tcPr>
          <w:p w:rsidR="00B84EDF" w:rsidRPr="00A6773C" w:rsidRDefault="00B84EDF" w:rsidP="00D26E16">
            <w:pPr>
              <w:pStyle w:val="TableText2"/>
              <w:rPr>
                <w:noProof/>
              </w:rPr>
            </w:pPr>
            <w:r w:rsidRPr="00A6773C">
              <w:rPr>
                <w:noProof/>
              </w:rPr>
              <w:t>12 months: 4.78 (5.54)</w:t>
            </w:r>
          </w:p>
          <w:p w:rsidR="00B84EDF" w:rsidRPr="00552FD6" w:rsidRDefault="00B84EDF" w:rsidP="00D26E16">
            <w:pPr>
              <w:pStyle w:val="TableText2"/>
            </w:pPr>
            <w:r w:rsidRPr="00A6773C">
              <w:rPr>
                <w:noProof/>
              </w:rPr>
              <w:t>Neither attachment avoidance or attachment anxiety sig related to change in days binged (not controlling for other characteristics)</w:t>
            </w:r>
          </w:p>
        </w:tc>
      </w:tr>
      <w:tr w:rsidR="00B84EDF" w:rsidRPr="00552FD6" w:rsidTr="00D26E16">
        <w:tc>
          <w:tcPr>
            <w:tcW w:w="2160" w:type="dxa"/>
          </w:tcPr>
          <w:p w:rsidR="00B84EDF" w:rsidRPr="00552FD6" w:rsidRDefault="00B84EDF" w:rsidP="00D26E16">
            <w:pPr>
              <w:pStyle w:val="TableText2"/>
            </w:pPr>
            <w:r w:rsidRPr="00A6773C">
              <w:rPr>
                <w:noProof/>
              </w:rPr>
              <w:t>Preti</w:t>
            </w:r>
            <w:r>
              <w:t xml:space="preserve">, </w:t>
            </w:r>
            <w:r w:rsidRPr="00A6773C">
              <w:rPr>
                <w:noProof/>
              </w:rPr>
              <w:t>2011</w:t>
            </w:r>
            <w:r w:rsidRPr="00C02DB9">
              <w:rPr>
                <w:rFonts w:ascii="Times New Roman" w:hAnsi="Times New Roman" w:cs="Times New Roman"/>
                <w:noProof/>
                <w:vertAlign w:val="superscript"/>
              </w:rPr>
              <w:t>103</w:t>
            </w:r>
          </w:p>
        </w:tc>
        <w:tc>
          <w:tcPr>
            <w:tcW w:w="2448" w:type="dxa"/>
          </w:tcPr>
          <w:p w:rsidR="00B84EDF" w:rsidRPr="00552FD6" w:rsidRDefault="00B84EDF" w:rsidP="00D26E16">
            <w:pPr>
              <w:pStyle w:val="TableText2"/>
            </w:pPr>
            <w:r w:rsidRPr="00A6773C">
              <w:rPr>
                <w:noProof/>
              </w:rPr>
              <w:t>NA</w:t>
            </w:r>
          </w:p>
        </w:tc>
        <w:tc>
          <w:tcPr>
            <w:tcW w:w="2970" w:type="dxa"/>
          </w:tcPr>
          <w:p w:rsidR="00B84EDF" w:rsidRPr="00552FD6" w:rsidRDefault="00B84EDF" w:rsidP="00D26E16">
            <w:pPr>
              <w:pStyle w:val="TableText2"/>
            </w:pPr>
            <w:r w:rsidRPr="00A6773C">
              <w:rPr>
                <w:noProof/>
              </w:rPr>
              <w:t>NA</w:t>
            </w:r>
          </w:p>
        </w:tc>
        <w:tc>
          <w:tcPr>
            <w:tcW w:w="5382" w:type="dxa"/>
          </w:tcPr>
          <w:p w:rsidR="00B84EDF" w:rsidRPr="00552FD6" w:rsidRDefault="00B84EDF" w:rsidP="00D26E16">
            <w:pPr>
              <w:pStyle w:val="TableText2"/>
            </w:pPr>
            <w:r w:rsidRPr="00A6773C">
              <w:rPr>
                <w:noProof/>
              </w:rPr>
              <w:t>NA</w:t>
            </w:r>
          </w:p>
        </w:tc>
      </w:tr>
      <w:tr w:rsidR="00B84EDF" w:rsidRPr="00552FD6" w:rsidTr="00D26E16">
        <w:tc>
          <w:tcPr>
            <w:tcW w:w="2160" w:type="dxa"/>
          </w:tcPr>
          <w:p w:rsidR="00B84EDF" w:rsidRPr="00552FD6" w:rsidRDefault="00B84EDF" w:rsidP="00D26E16">
            <w:pPr>
              <w:pStyle w:val="TableText2"/>
            </w:pPr>
            <w:r w:rsidRPr="00A6773C">
              <w:rPr>
                <w:noProof/>
              </w:rPr>
              <w:t>Ricca</w:t>
            </w:r>
            <w:r>
              <w:t xml:space="preserve">, </w:t>
            </w:r>
            <w:r w:rsidRPr="00A6773C">
              <w:rPr>
                <w:noProof/>
              </w:rPr>
              <w:t>2010</w:t>
            </w:r>
            <w:r w:rsidRPr="008B3E2F">
              <w:rPr>
                <w:rFonts w:ascii="Times New Roman" w:hAnsi="Times New Roman" w:cs="Times New Roman"/>
                <w:noProof/>
                <w:vertAlign w:val="superscript"/>
              </w:rPr>
              <w:t>34</w:t>
            </w:r>
          </w:p>
        </w:tc>
        <w:tc>
          <w:tcPr>
            <w:tcW w:w="2448" w:type="dxa"/>
          </w:tcPr>
          <w:p w:rsidR="00B84EDF" w:rsidRPr="00A6773C" w:rsidRDefault="00B84EDF" w:rsidP="00D26E16">
            <w:pPr>
              <w:pStyle w:val="TableText2"/>
              <w:rPr>
                <w:noProof/>
              </w:rPr>
            </w:pPr>
            <w:r w:rsidRPr="00A6773C">
              <w:rPr>
                <w:noProof/>
              </w:rPr>
              <w:t>Binge episodes per month, per EDE and DSM-IV-TR (not specified how DSM-IV-TR was used)</w:t>
            </w:r>
          </w:p>
          <w:p w:rsidR="00B84EDF" w:rsidRPr="00552FD6" w:rsidRDefault="00B84EDF" w:rsidP="00D26E16">
            <w:pPr>
              <w:pStyle w:val="TableText2"/>
            </w:pPr>
          </w:p>
        </w:tc>
        <w:tc>
          <w:tcPr>
            <w:tcW w:w="2970" w:type="dxa"/>
          </w:tcPr>
          <w:p w:rsidR="00B84EDF" w:rsidRPr="00A6773C" w:rsidRDefault="00B84EDF" w:rsidP="00D26E16">
            <w:pPr>
              <w:pStyle w:val="TableText2"/>
              <w:rPr>
                <w:noProof/>
              </w:rPr>
            </w:pPr>
            <w:r w:rsidRPr="00A6773C">
              <w:rPr>
                <w:noProof/>
              </w:rPr>
              <w:t>Binge episodes per month, median (quartiles)</w:t>
            </w:r>
          </w:p>
          <w:p w:rsidR="00B84EDF" w:rsidRPr="00A6773C" w:rsidRDefault="00B84EDF" w:rsidP="00D26E16">
            <w:pPr>
              <w:pStyle w:val="TableText2"/>
              <w:rPr>
                <w:noProof/>
              </w:rPr>
            </w:pPr>
            <w:r w:rsidRPr="00A6773C">
              <w:rPr>
                <w:noProof/>
              </w:rPr>
              <w:t>G1: 8.0 (4.0, 10.0)</w:t>
            </w:r>
          </w:p>
          <w:p w:rsidR="00B84EDF" w:rsidRPr="00A6773C" w:rsidRDefault="00B84EDF" w:rsidP="00D26E16">
            <w:pPr>
              <w:pStyle w:val="TableText2"/>
              <w:rPr>
                <w:noProof/>
              </w:rPr>
            </w:pPr>
            <w:r w:rsidRPr="00A6773C">
              <w:rPr>
                <w:noProof/>
              </w:rPr>
              <w:t>G2: 8.0 (4.0, 10.0)</w:t>
            </w:r>
          </w:p>
          <w:p w:rsidR="00B84EDF" w:rsidRPr="00A6773C" w:rsidRDefault="00B84EDF" w:rsidP="00D26E16">
            <w:pPr>
              <w:pStyle w:val="TableText2"/>
              <w:rPr>
                <w:noProof/>
              </w:rPr>
            </w:pPr>
            <w:r w:rsidRPr="00A6773C">
              <w:rPr>
                <w:noProof/>
              </w:rPr>
              <w:t>p=NR, NS</w:t>
            </w:r>
          </w:p>
          <w:p w:rsidR="00B84EDF" w:rsidRPr="00552FD6" w:rsidRDefault="00B84EDF" w:rsidP="00D26E16">
            <w:pPr>
              <w:pStyle w:val="TableText2"/>
            </w:pPr>
          </w:p>
        </w:tc>
        <w:tc>
          <w:tcPr>
            <w:tcW w:w="5382" w:type="dxa"/>
          </w:tcPr>
          <w:p w:rsidR="00B84EDF" w:rsidRPr="00A6773C" w:rsidRDefault="00B84EDF" w:rsidP="00D26E16">
            <w:pPr>
              <w:pStyle w:val="TableText2"/>
              <w:rPr>
                <w:noProof/>
              </w:rPr>
            </w:pPr>
            <w:r w:rsidRPr="00A6773C">
              <w:rPr>
                <w:noProof/>
              </w:rPr>
              <w:t>3y Binge episodes/month, median (quartiles), p for  within-group change posttreatment to 3y</w:t>
            </w:r>
          </w:p>
          <w:p w:rsidR="00B84EDF" w:rsidRPr="00A6773C" w:rsidRDefault="00B84EDF" w:rsidP="00D26E16">
            <w:pPr>
              <w:pStyle w:val="TableText2"/>
              <w:rPr>
                <w:noProof/>
              </w:rPr>
            </w:pPr>
            <w:r w:rsidRPr="00A6773C">
              <w:rPr>
                <w:noProof/>
              </w:rPr>
              <w:t>G1: 4.0 (0, 6), p=NR, NS</w:t>
            </w:r>
          </w:p>
          <w:p w:rsidR="00B84EDF" w:rsidRPr="00A6773C" w:rsidRDefault="00B84EDF" w:rsidP="00D26E16">
            <w:pPr>
              <w:pStyle w:val="TableText2"/>
              <w:rPr>
                <w:noProof/>
              </w:rPr>
            </w:pPr>
            <w:r w:rsidRPr="00A6773C">
              <w:rPr>
                <w:noProof/>
              </w:rPr>
              <w:t>G2: 4.0 (0, 8), p&lt;0.05</w:t>
            </w:r>
          </w:p>
          <w:p w:rsidR="00B84EDF" w:rsidRPr="00552FD6" w:rsidRDefault="00B84EDF" w:rsidP="00D26E16">
            <w:pPr>
              <w:pStyle w:val="TableText2"/>
            </w:pPr>
          </w:p>
        </w:tc>
      </w:tr>
      <w:tr w:rsidR="00B84EDF" w:rsidRPr="00552FD6" w:rsidTr="00D26E16">
        <w:tc>
          <w:tcPr>
            <w:tcW w:w="2160" w:type="dxa"/>
          </w:tcPr>
          <w:p w:rsidR="00B84EDF" w:rsidRPr="00552FD6" w:rsidRDefault="00B84EDF" w:rsidP="00D26E16">
            <w:pPr>
              <w:pStyle w:val="TableText2"/>
            </w:pPr>
            <w:r w:rsidRPr="00A6773C">
              <w:rPr>
                <w:noProof/>
              </w:rPr>
              <w:t>Suokas</w:t>
            </w:r>
            <w:r>
              <w:t xml:space="preserve">, </w:t>
            </w:r>
            <w:r w:rsidRPr="00A6773C">
              <w:rPr>
                <w:noProof/>
              </w:rPr>
              <w:t>2014</w:t>
            </w:r>
            <w:r w:rsidRPr="00C02DB9">
              <w:rPr>
                <w:rFonts w:ascii="Times New Roman" w:hAnsi="Times New Roman" w:cs="Times New Roman"/>
                <w:noProof/>
                <w:vertAlign w:val="superscript"/>
              </w:rPr>
              <w:t>104</w:t>
            </w:r>
          </w:p>
        </w:tc>
        <w:tc>
          <w:tcPr>
            <w:tcW w:w="2448" w:type="dxa"/>
          </w:tcPr>
          <w:p w:rsidR="00B84EDF" w:rsidRPr="00552FD6" w:rsidRDefault="00B84EDF" w:rsidP="00D26E16">
            <w:pPr>
              <w:pStyle w:val="TableText2"/>
            </w:pPr>
          </w:p>
        </w:tc>
        <w:tc>
          <w:tcPr>
            <w:tcW w:w="2970" w:type="dxa"/>
          </w:tcPr>
          <w:p w:rsidR="00B84EDF" w:rsidRPr="00552FD6" w:rsidRDefault="00B84EDF" w:rsidP="00D26E16">
            <w:pPr>
              <w:pStyle w:val="TableText2"/>
            </w:pPr>
          </w:p>
        </w:tc>
        <w:tc>
          <w:tcPr>
            <w:tcW w:w="5382" w:type="dxa"/>
          </w:tcPr>
          <w:p w:rsidR="00B84EDF" w:rsidRPr="00552FD6" w:rsidRDefault="00B84EDF" w:rsidP="00D26E16">
            <w:pPr>
              <w:pStyle w:val="TableText2"/>
            </w:pPr>
          </w:p>
        </w:tc>
      </w:tr>
      <w:tr w:rsidR="00B84EDF" w:rsidRPr="00552FD6" w:rsidTr="00D26E16">
        <w:tc>
          <w:tcPr>
            <w:tcW w:w="2160" w:type="dxa"/>
          </w:tcPr>
          <w:p w:rsidR="00B84EDF" w:rsidRPr="00552FD6" w:rsidRDefault="00B84EDF" w:rsidP="00D26E16">
            <w:pPr>
              <w:pStyle w:val="TableText2"/>
            </w:pPr>
            <w:r w:rsidRPr="00A6773C">
              <w:rPr>
                <w:noProof/>
              </w:rPr>
              <w:t>White</w:t>
            </w:r>
            <w:r>
              <w:t xml:space="preserve">, </w:t>
            </w:r>
            <w:r w:rsidRPr="00A6773C">
              <w:rPr>
                <w:noProof/>
              </w:rPr>
              <w:t>2010</w:t>
            </w:r>
            <w:r w:rsidRPr="00C02DB9">
              <w:rPr>
                <w:rFonts w:ascii="Times New Roman" w:hAnsi="Times New Roman" w:cs="Times New Roman"/>
                <w:noProof/>
                <w:vertAlign w:val="superscript"/>
              </w:rPr>
              <w:t>105</w:t>
            </w:r>
          </w:p>
        </w:tc>
        <w:tc>
          <w:tcPr>
            <w:tcW w:w="2448" w:type="dxa"/>
          </w:tcPr>
          <w:p w:rsidR="00B84EDF" w:rsidRPr="00552FD6" w:rsidRDefault="00B84EDF" w:rsidP="00D26E16">
            <w:pPr>
              <w:pStyle w:val="TableText2"/>
            </w:pPr>
            <w:r w:rsidRPr="00A6773C">
              <w:rPr>
                <w:noProof/>
              </w:rPr>
              <w:t>LOC eating episodes</w:t>
            </w:r>
          </w:p>
        </w:tc>
        <w:tc>
          <w:tcPr>
            <w:tcW w:w="2970" w:type="dxa"/>
          </w:tcPr>
          <w:p w:rsidR="00B84EDF" w:rsidRPr="00552FD6" w:rsidRDefault="00B84EDF" w:rsidP="00D26E16">
            <w:pPr>
              <w:pStyle w:val="TableText2"/>
            </w:pPr>
            <w:r w:rsidRPr="00A6773C">
              <w:rPr>
                <w:noProof/>
              </w:rPr>
              <w:t>NA</w:t>
            </w:r>
          </w:p>
        </w:tc>
        <w:tc>
          <w:tcPr>
            <w:tcW w:w="5382" w:type="dxa"/>
          </w:tcPr>
          <w:p w:rsidR="00B84EDF" w:rsidRPr="00552FD6" w:rsidRDefault="00B84EDF" w:rsidP="00D26E16">
            <w:pPr>
              <w:pStyle w:val="TableText2"/>
            </w:pPr>
            <w:r w:rsidRPr="00A6773C">
              <w:rPr>
                <w:noProof/>
              </w:rPr>
              <w:t>NA</w:t>
            </w:r>
          </w:p>
        </w:tc>
      </w:tr>
    </w:tbl>
    <w:p w:rsidR="00B84EDF" w:rsidRDefault="00B84EDF" w:rsidP="00B84EDF">
      <w:pPr>
        <w:pStyle w:val="TableTitle"/>
        <w:tabs>
          <w:tab w:val="left" w:pos="5148"/>
        </w:tabs>
      </w:pPr>
      <w:r>
        <w:br w:type="page"/>
      </w:r>
      <w:r>
        <w:lastRenderedPageBreak/>
        <w:t>Evidence Table 76. Course of illness studies – part 4 (continued)</w:t>
      </w:r>
    </w:p>
    <w:tbl>
      <w:tblPr>
        <w:tblStyle w:val="AHRQ1"/>
        <w:tblW w:w="12960" w:type="dxa"/>
        <w:tblLayout w:type="fixed"/>
        <w:tblLook w:val="04A0"/>
      </w:tblPr>
      <w:tblGrid>
        <w:gridCol w:w="2160"/>
        <w:gridCol w:w="2448"/>
        <w:gridCol w:w="2970"/>
        <w:gridCol w:w="5382"/>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448" w:type="dxa"/>
          </w:tcPr>
          <w:p w:rsidR="00B84EDF" w:rsidRPr="00F0301D" w:rsidRDefault="00B84EDF" w:rsidP="00D26E16">
            <w:pPr>
              <w:pStyle w:val="TableText2"/>
            </w:pPr>
            <w:r>
              <w:t xml:space="preserve">Definition of Binges </w:t>
            </w:r>
            <w:r w:rsidRPr="00694729">
              <w:t>(Days; Frequency; Remission; Abstinence</w:t>
            </w:r>
            <w:r>
              <w:t>,</w:t>
            </w:r>
            <w:r w:rsidRPr="00694729">
              <w:t xml:space="preserve"> etc.)</w:t>
            </w:r>
          </w:p>
        </w:tc>
        <w:tc>
          <w:tcPr>
            <w:tcW w:w="2970" w:type="dxa"/>
          </w:tcPr>
          <w:p w:rsidR="00B84EDF" w:rsidRPr="00F0301D" w:rsidRDefault="00B84EDF" w:rsidP="00D26E16">
            <w:pPr>
              <w:pStyle w:val="TableText2"/>
            </w:pPr>
            <w:r>
              <w:t>Binges Baseline</w:t>
            </w:r>
          </w:p>
        </w:tc>
        <w:tc>
          <w:tcPr>
            <w:tcW w:w="5382" w:type="dxa"/>
          </w:tcPr>
          <w:p w:rsidR="00B84EDF" w:rsidRPr="00F0301D" w:rsidRDefault="00B84EDF" w:rsidP="00D26E16">
            <w:pPr>
              <w:pStyle w:val="TableText2"/>
            </w:pPr>
            <w:r>
              <w:t>Binges Outcomes</w:t>
            </w:r>
          </w:p>
        </w:tc>
      </w:tr>
      <w:tr w:rsidR="00B84EDF" w:rsidRPr="00552FD6" w:rsidTr="00D26E16">
        <w:tc>
          <w:tcPr>
            <w:tcW w:w="2160" w:type="dxa"/>
          </w:tcPr>
          <w:p w:rsidR="00B84EDF" w:rsidRPr="00A6773C" w:rsidRDefault="00B84EDF" w:rsidP="00D26E16">
            <w:pPr>
              <w:pStyle w:val="TableText2"/>
              <w:rPr>
                <w:noProof/>
              </w:rPr>
            </w:pPr>
            <w:r w:rsidRPr="00A6773C">
              <w:rPr>
                <w:noProof/>
              </w:rPr>
              <w:t>Wilfley et al., 2000</w:t>
            </w:r>
            <w:r w:rsidRPr="00C02DB9">
              <w:rPr>
                <w:rFonts w:ascii="Times New Roman" w:hAnsi="Times New Roman" w:cs="Times New Roman"/>
                <w:noProof/>
                <w:vertAlign w:val="superscript"/>
              </w:rPr>
              <w:t>106</w:t>
            </w:r>
          </w:p>
          <w:p w:rsidR="00B84EDF" w:rsidRPr="00552FD6" w:rsidRDefault="00B84EDF" w:rsidP="00D26E16">
            <w:pPr>
              <w:pStyle w:val="TableText2"/>
            </w:pPr>
            <w:r w:rsidRPr="00A6773C">
              <w:rPr>
                <w:noProof/>
              </w:rPr>
              <w:t>Wilfley et al., 2002</w:t>
            </w:r>
            <w:r w:rsidRPr="00474C76">
              <w:rPr>
                <w:rFonts w:ascii="Times New Roman" w:hAnsi="Times New Roman" w:cs="Times New Roman"/>
                <w:noProof/>
                <w:vertAlign w:val="superscript"/>
              </w:rPr>
              <w:t>45</w:t>
            </w:r>
            <w:r>
              <w:t xml:space="preserve">, </w:t>
            </w:r>
            <w:r w:rsidRPr="00A6773C">
              <w:rPr>
                <w:noProof/>
              </w:rPr>
              <w:t>2000</w:t>
            </w:r>
            <w:r w:rsidRPr="00C02DB9">
              <w:rPr>
                <w:rFonts w:ascii="Times New Roman" w:hAnsi="Times New Roman" w:cs="Times New Roman"/>
                <w:noProof/>
                <w:vertAlign w:val="superscript"/>
              </w:rPr>
              <w:t>106</w:t>
            </w:r>
          </w:p>
        </w:tc>
        <w:tc>
          <w:tcPr>
            <w:tcW w:w="2448" w:type="dxa"/>
          </w:tcPr>
          <w:p w:rsidR="00B84EDF" w:rsidRPr="00A6773C" w:rsidRDefault="00B84EDF" w:rsidP="00D26E16">
            <w:pPr>
              <w:pStyle w:val="TableText2"/>
              <w:rPr>
                <w:noProof/>
              </w:rPr>
            </w:pPr>
            <w:r w:rsidRPr="00A6773C">
              <w:rPr>
                <w:noProof/>
              </w:rPr>
              <w:t>Wilfley et al., 2000</w:t>
            </w:r>
            <w:r w:rsidRPr="00C02DB9">
              <w:rPr>
                <w:rFonts w:ascii="Times New Roman" w:hAnsi="Times New Roman" w:cs="Times New Roman"/>
                <w:noProof/>
                <w:vertAlign w:val="superscript"/>
              </w:rPr>
              <w:t>106</w:t>
            </w:r>
            <w:r w:rsidRPr="00A6773C">
              <w:rPr>
                <w:noProof/>
              </w:rPr>
              <w:t>: NA</w:t>
            </w:r>
          </w:p>
          <w:p w:rsidR="00B84EDF" w:rsidRPr="00A6773C" w:rsidRDefault="00B84EDF" w:rsidP="00D26E16">
            <w:pPr>
              <w:pStyle w:val="TableText2"/>
              <w:rPr>
                <w:noProof/>
              </w:rPr>
            </w:pPr>
            <w:r w:rsidRPr="00A6773C">
              <w:rPr>
                <w:noProof/>
              </w:rPr>
              <w:t>Wilfley, et al., 2002</w:t>
            </w:r>
            <w:r w:rsidRPr="008B3E2F">
              <w:rPr>
                <w:rFonts w:ascii="Times New Roman" w:hAnsi="Times New Roman" w:cs="Times New Roman"/>
                <w:noProof/>
                <w:vertAlign w:val="superscript"/>
              </w:rPr>
              <w:t>45</w:t>
            </w:r>
            <w:r w:rsidRPr="00A6773C">
              <w:rPr>
                <w:noProof/>
              </w:rPr>
              <w:t>:</w:t>
            </w:r>
          </w:p>
          <w:p w:rsidR="00B84EDF" w:rsidRPr="00A6773C" w:rsidRDefault="00B84EDF" w:rsidP="00D26E16">
            <w:pPr>
              <w:pStyle w:val="TableText2"/>
              <w:rPr>
                <w:noProof/>
              </w:rPr>
            </w:pPr>
            <w:r w:rsidRPr="00A6773C">
              <w:rPr>
                <w:noProof/>
              </w:rPr>
              <w:t>Binge-eating days: number of days during previous 28 days on which at least 1 objective bulimic episode occurred (consumption of an unusually large amount of food given the circumstances, accompanied by a loss of control over eating)</w:t>
            </w:r>
          </w:p>
          <w:p w:rsidR="00B84EDF" w:rsidRPr="00A6773C" w:rsidRDefault="00B84EDF" w:rsidP="00D26E16">
            <w:pPr>
              <w:pStyle w:val="TableText2"/>
              <w:rPr>
                <w:noProof/>
              </w:rPr>
            </w:pPr>
            <w:r w:rsidRPr="00A6773C">
              <w:rPr>
                <w:noProof/>
              </w:rPr>
              <w:t>Percentage of participants in recovery (with no objective bulimic episodes in the past month)</w:t>
            </w:r>
          </w:p>
          <w:p w:rsidR="00B84EDF" w:rsidRPr="00552FD6" w:rsidRDefault="00B84EDF" w:rsidP="00D26E16">
            <w:pPr>
              <w:pStyle w:val="TableText2"/>
            </w:pPr>
            <w:r w:rsidRPr="00A6773C">
              <w:rPr>
                <w:noProof/>
              </w:rPr>
              <w:t>Percentage of participants being at or below a comparative level of eating disorder attutides and behaviors</w:t>
            </w:r>
          </w:p>
        </w:tc>
        <w:tc>
          <w:tcPr>
            <w:tcW w:w="2970" w:type="dxa"/>
          </w:tcPr>
          <w:p w:rsidR="00B84EDF" w:rsidRPr="00A6773C" w:rsidRDefault="00B84EDF" w:rsidP="00D26E16">
            <w:pPr>
              <w:pStyle w:val="TableText2"/>
              <w:rPr>
                <w:noProof/>
              </w:rPr>
            </w:pPr>
            <w:r w:rsidRPr="00A6773C">
              <w:rPr>
                <w:noProof/>
              </w:rPr>
              <w:t>Wilfley et al., 2000</w:t>
            </w:r>
            <w:r w:rsidRPr="00C02DB9">
              <w:rPr>
                <w:rFonts w:ascii="Times New Roman" w:hAnsi="Times New Roman" w:cs="Times New Roman"/>
                <w:noProof/>
                <w:vertAlign w:val="superscript"/>
              </w:rPr>
              <w:t>106</w:t>
            </w:r>
            <w:r w:rsidRPr="00A6773C">
              <w:rPr>
                <w:noProof/>
              </w:rPr>
              <w:t>: NA</w:t>
            </w:r>
          </w:p>
          <w:p w:rsidR="00B84EDF" w:rsidRPr="00A6773C" w:rsidRDefault="00B84EDF" w:rsidP="00D26E16">
            <w:pPr>
              <w:pStyle w:val="TableText2"/>
              <w:rPr>
                <w:noProof/>
              </w:rPr>
            </w:pPr>
            <w:r w:rsidRPr="00A6773C">
              <w:rPr>
                <w:noProof/>
              </w:rPr>
              <w:t>Wilfley, et al., 2002</w:t>
            </w:r>
            <w:r w:rsidRPr="008B3E2F">
              <w:rPr>
                <w:rFonts w:ascii="Times New Roman" w:hAnsi="Times New Roman" w:cs="Times New Roman"/>
                <w:noProof/>
                <w:vertAlign w:val="superscript"/>
              </w:rPr>
              <w:t>45</w:t>
            </w:r>
            <w:r w:rsidRPr="00A6773C">
              <w:rPr>
                <w:noProof/>
              </w:rPr>
              <w:t>:</w:t>
            </w:r>
          </w:p>
          <w:p w:rsidR="00B84EDF" w:rsidRPr="00A6773C" w:rsidRDefault="00B84EDF" w:rsidP="00D26E16">
            <w:pPr>
              <w:pStyle w:val="TableText2"/>
              <w:rPr>
                <w:noProof/>
              </w:rPr>
            </w:pPr>
            <w:r w:rsidRPr="00A6773C">
              <w:rPr>
                <w:noProof/>
              </w:rPr>
              <w:t>Binge Days</w:t>
            </w:r>
          </w:p>
          <w:p w:rsidR="00B84EDF" w:rsidRPr="00A6773C" w:rsidRDefault="00B84EDF" w:rsidP="00D26E16">
            <w:pPr>
              <w:pStyle w:val="TableText2"/>
              <w:rPr>
                <w:noProof/>
              </w:rPr>
            </w:pPr>
            <w:r w:rsidRPr="00A6773C">
              <w:rPr>
                <w:noProof/>
              </w:rPr>
              <w:t>G1: 17.3 (SD 6.9, range 4-28)</w:t>
            </w:r>
          </w:p>
          <w:p w:rsidR="00B84EDF" w:rsidRPr="00A6773C" w:rsidRDefault="00B84EDF" w:rsidP="00D26E16">
            <w:pPr>
              <w:pStyle w:val="TableText2"/>
              <w:rPr>
                <w:noProof/>
              </w:rPr>
            </w:pPr>
            <w:r w:rsidRPr="00A6773C">
              <w:rPr>
                <w:noProof/>
              </w:rPr>
              <w:t>G2: 16.3 (SD 7.2, range 5-28)</w:t>
            </w:r>
          </w:p>
          <w:p w:rsidR="00B84EDF" w:rsidRPr="00A6773C" w:rsidRDefault="00B84EDF" w:rsidP="00D26E16">
            <w:pPr>
              <w:pStyle w:val="TableText2"/>
              <w:rPr>
                <w:noProof/>
              </w:rPr>
            </w:pPr>
            <w:r w:rsidRPr="00A6773C">
              <w:rPr>
                <w:noProof/>
              </w:rPr>
              <w:t>Global eating disorder pathology at or below obese non-BED:</w:t>
            </w:r>
          </w:p>
          <w:p w:rsidR="00B84EDF" w:rsidRPr="00A6773C" w:rsidRDefault="00B84EDF" w:rsidP="00D26E16">
            <w:pPr>
              <w:pStyle w:val="TableText2"/>
              <w:rPr>
                <w:noProof/>
              </w:rPr>
            </w:pPr>
            <w:r w:rsidRPr="00A6773C">
              <w:rPr>
                <w:noProof/>
              </w:rPr>
              <w:t>G1: 23 (28%)</w:t>
            </w:r>
          </w:p>
          <w:p w:rsidR="00B84EDF" w:rsidRPr="00552FD6" w:rsidRDefault="00B84EDF" w:rsidP="00D26E16">
            <w:pPr>
              <w:pStyle w:val="TableText2"/>
            </w:pPr>
            <w:r w:rsidRPr="00A6773C">
              <w:rPr>
                <w:noProof/>
              </w:rPr>
              <w:t>G2: 22 (27%)</w:t>
            </w:r>
          </w:p>
        </w:tc>
        <w:tc>
          <w:tcPr>
            <w:tcW w:w="5382" w:type="dxa"/>
          </w:tcPr>
          <w:p w:rsidR="00B84EDF" w:rsidRPr="00A6773C" w:rsidRDefault="00B84EDF" w:rsidP="00D26E16">
            <w:pPr>
              <w:pStyle w:val="TableText2"/>
              <w:rPr>
                <w:noProof/>
              </w:rPr>
            </w:pPr>
            <w:r w:rsidRPr="00A6773C">
              <w:rPr>
                <w:noProof/>
              </w:rPr>
              <w:t>Wilfley et al., 2000</w:t>
            </w:r>
            <w:r w:rsidRPr="00C02DB9">
              <w:rPr>
                <w:rFonts w:ascii="Times New Roman" w:hAnsi="Times New Roman" w:cs="Times New Roman"/>
                <w:noProof/>
                <w:vertAlign w:val="superscript"/>
              </w:rPr>
              <w:t>106</w:t>
            </w:r>
            <w:r w:rsidRPr="00A6773C">
              <w:rPr>
                <w:noProof/>
              </w:rPr>
              <w:t>: Post hoc analyses indicated that although those with Axis II psychopathology began treatment with significantly more binge episodes, they had similar outcome as those without Axis II psychopathology at posttreatment, F( 1,</w:t>
            </w:r>
          </w:p>
          <w:p w:rsidR="00B84EDF" w:rsidRPr="00A6773C" w:rsidRDefault="00B84EDF" w:rsidP="00D26E16">
            <w:pPr>
              <w:pStyle w:val="TableText2"/>
              <w:rPr>
                <w:noProof/>
              </w:rPr>
            </w:pPr>
            <w:r w:rsidRPr="00A6773C">
              <w:rPr>
                <w:noProof/>
              </w:rPr>
              <w:t>123) = 3.04, ns, rf = .024, and 1-year follow-up, F(2,246) =1.40, ns, rj = .012. These results did not differ by gender.</w:t>
            </w:r>
          </w:p>
          <w:p w:rsidR="00B84EDF" w:rsidRPr="00A6773C" w:rsidRDefault="00B84EDF" w:rsidP="00D26E16">
            <w:pPr>
              <w:pStyle w:val="TableText2"/>
              <w:rPr>
                <w:noProof/>
              </w:rPr>
            </w:pPr>
            <w:r w:rsidRPr="00A6773C">
              <w:rPr>
                <w:noProof/>
              </w:rPr>
              <w:t>Specific analyses with clusters of Axis II psychopathology indicated that neither Cluster A nor Cluster C psychopathology was related to treatment outcome, and Cluster B was unrelated to outcome for global eating disorder</w:t>
            </w:r>
          </w:p>
          <w:p w:rsidR="00B84EDF" w:rsidRPr="00A6773C" w:rsidRDefault="00B84EDF" w:rsidP="00D26E16">
            <w:pPr>
              <w:pStyle w:val="TableText2"/>
              <w:rPr>
                <w:noProof/>
              </w:rPr>
            </w:pPr>
            <w:r w:rsidRPr="00A6773C">
              <w:rPr>
                <w:noProof/>
              </w:rPr>
              <w:t>psychopathology. However, the interaction between presence of Cluster B psychopathology and time (pretreatment, posttreatment, or 1-year follow-up) was significant for the outcome of binge eating, F(2, 246) = 6.28, p = .002, rf = .049. Post hoc analyses indicated that participants with Cluster B psychopathology began treatment with significantly more binge episodes per month,5 F(l,123) = 8.62, p - .004, jf = .065. Those with and without Cluster B personality disorders did not statistically differ in OBEs at posttreatment, F(l, 123) = 0.02, ns, rf &lt; .001. However, by 1-year follow-up, those with Cluster B psychopathology were experiencing significantly more binge episodes than those without Clusters psychopathology,F(l, 123) = 5.36,p = .022, -n2 = .042</w:t>
            </w:r>
          </w:p>
          <w:p w:rsidR="00B84EDF" w:rsidRPr="00A6773C" w:rsidRDefault="00B84EDF" w:rsidP="00D26E16">
            <w:pPr>
              <w:pStyle w:val="TableText2"/>
              <w:rPr>
                <w:noProof/>
              </w:rPr>
            </w:pPr>
            <w:r w:rsidRPr="00A6773C">
              <w:rPr>
                <w:noProof/>
              </w:rPr>
              <w:t>Wilfley, et al., 2002</w:t>
            </w:r>
            <w:r w:rsidRPr="008B3E2F">
              <w:rPr>
                <w:rFonts w:ascii="Times New Roman" w:hAnsi="Times New Roman" w:cs="Times New Roman"/>
                <w:noProof/>
                <w:vertAlign w:val="superscript"/>
              </w:rPr>
              <w:t>45</w:t>
            </w:r>
            <w:r w:rsidRPr="00A6773C">
              <w:rPr>
                <w:noProof/>
              </w:rPr>
              <w:t>:</w:t>
            </w:r>
          </w:p>
          <w:p w:rsidR="00B84EDF" w:rsidRPr="00A6773C" w:rsidRDefault="00B84EDF" w:rsidP="00D26E16">
            <w:pPr>
              <w:pStyle w:val="TableText2"/>
              <w:rPr>
                <w:noProof/>
              </w:rPr>
            </w:pPr>
            <w:r w:rsidRPr="00A6773C">
              <w:rPr>
                <w:noProof/>
              </w:rPr>
              <w:t>Binge-eating days 12-month</w:t>
            </w:r>
          </w:p>
          <w:p w:rsidR="00B84EDF" w:rsidRPr="00A6773C" w:rsidRDefault="00B84EDF" w:rsidP="00D26E16">
            <w:pPr>
              <w:pStyle w:val="TableText2"/>
              <w:rPr>
                <w:noProof/>
              </w:rPr>
            </w:pPr>
            <w:r w:rsidRPr="00A6773C">
              <w:rPr>
                <w:noProof/>
              </w:rPr>
              <w:t>G1: 1.7 (SD 4.3, range 0-25)</w:t>
            </w:r>
          </w:p>
          <w:p w:rsidR="00B84EDF" w:rsidRPr="00A6773C" w:rsidRDefault="00B84EDF" w:rsidP="00D26E16">
            <w:pPr>
              <w:pStyle w:val="TableText2"/>
              <w:rPr>
                <w:noProof/>
              </w:rPr>
            </w:pPr>
            <w:r w:rsidRPr="00A6773C">
              <w:rPr>
                <w:noProof/>
              </w:rPr>
              <w:t>G2: 1.2 (2.6, range 0-11)</w:t>
            </w:r>
          </w:p>
          <w:p w:rsidR="00B84EDF" w:rsidRPr="00A6773C" w:rsidRDefault="00B84EDF" w:rsidP="00D26E16">
            <w:pPr>
              <w:pStyle w:val="TableText2"/>
              <w:rPr>
                <w:noProof/>
              </w:rPr>
            </w:pPr>
            <w:r w:rsidRPr="00A6773C">
              <w:rPr>
                <w:noProof/>
              </w:rPr>
              <w:t>% decrease from pre-treatment to 12-month: 90% in G1, 93% in G2</w:t>
            </w:r>
          </w:p>
          <w:p w:rsidR="00B84EDF" w:rsidRPr="00A6773C" w:rsidRDefault="00B84EDF" w:rsidP="00D26E16">
            <w:pPr>
              <w:pStyle w:val="TableText2"/>
              <w:rPr>
                <w:noProof/>
              </w:rPr>
            </w:pPr>
            <w:r w:rsidRPr="00A6773C">
              <w:rPr>
                <w:noProof/>
              </w:rPr>
              <w:t>Recovery 12-month (completers)  (abstinent from binge eating)</w:t>
            </w:r>
          </w:p>
          <w:p w:rsidR="00B84EDF" w:rsidRPr="00A6773C" w:rsidRDefault="00B84EDF" w:rsidP="00D26E16">
            <w:pPr>
              <w:pStyle w:val="TableText2"/>
              <w:rPr>
                <w:noProof/>
              </w:rPr>
            </w:pPr>
            <w:r w:rsidRPr="00A6773C">
              <w:rPr>
                <w:noProof/>
              </w:rPr>
              <w:t>G1: 48 (72%)</w:t>
            </w:r>
          </w:p>
          <w:p w:rsidR="00B84EDF" w:rsidRPr="00552FD6" w:rsidRDefault="00B84EDF" w:rsidP="00D26E16">
            <w:pPr>
              <w:pStyle w:val="TableText2"/>
            </w:pPr>
            <w:r w:rsidRPr="00A6773C">
              <w:rPr>
                <w:noProof/>
              </w:rPr>
              <w:t>G2: 50 (70%)</w:t>
            </w:r>
          </w:p>
        </w:tc>
      </w:tr>
    </w:tbl>
    <w:p w:rsidR="00B84EDF" w:rsidRDefault="00B84EDF" w:rsidP="00B84EDF">
      <w:pPr>
        <w:pStyle w:val="TableTitle"/>
        <w:tabs>
          <w:tab w:val="left" w:pos="5148"/>
        </w:tabs>
      </w:pPr>
      <w:r>
        <w:br w:type="page"/>
      </w:r>
      <w:r>
        <w:lastRenderedPageBreak/>
        <w:t>Evidence Table 76. Course of illness studies – part 4 (continued)</w:t>
      </w:r>
    </w:p>
    <w:tbl>
      <w:tblPr>
        <w:tblStyle w:val="AHRQ1"/>
        <w:tblW w:w="12960" w:type="dxa"/>
        <w:tblLayout w:type="fixed"/>
        <w:tblLook w:val="04A0"/>
      </w:tblPr>
      <w:tblGrid>
        <w:gridCol w:w="2160"/>
        <w:gridCol w:w="2448"/>
        <w:gridCol w:w="2970"/>
        <w:gridCol w:w="5382"/>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448" w:type="dxa"/>
          </w:tcPr>
          <w:p w:rsidR="00B84EDF" w:rsidRPr="00F0301D" w:rsidRDefault="00B84EDF" w:rsidP="00D26E16">
            <w:pPr>
              <w:pStyle w:val="TableText2"/>
            </w:pPr>
            <w:r>
              <w:t xml:space="preserve">Definition of Binges </w:t>
            </w:r>
            <w:r w:rsidRPr="00694729">
              <w:t>(Days; Frequency; Remission; Abstinence</w:t>
            </w:r>
            <w:r>
              <w:t>,</w:t>
            </w:r>
            <w:r w:rsidRPr="00694729">
              <w:t xml:space="preserve"> etc.)</w:t>
            </w:r>
          </w:p>
        </w:tc>
        <w:tc>
          <w:tcPr>
            <w:tcW w:w="2970" w:type="dxa"/>
          </w:tcPr>
          <w:p w:rsidR="00B84EDF" w:rsidRPr="00F0301D" w:rsidRDefault="00B84EDF" w:rsidP="00D26E16">
            <w:pPr>
              <w:pStyle w:val="TableText2"/>
            </w:pPr>
            <w:r>
              <w:t>Binges Baseline</w:t>
            </w:r>
          </w:p>
        </w:tc>
        <w:tc>
          <w:tcPr>
            <w:tcW w:w="5382" w:type="dxa"/>
          </w:tcPr>
          <w:p w:rsidR="00B84EDF" w:rsidRPr="00F0301D" w:rsidRDefault="00B84EDF" w:rsidP="00D26E16">
            <w:pPr>
              <w:pStyle w:val="TableText2"/>
            </w:pPr>
            <w:r>
              <w:t>Binges Outcomes</w:t>
            </w:r>
          </w:p>
        </w:tc>
      </w:tr>
      <w:tr w:rsidR="00B84EDF" w:rsidRPr="00552FD6" w:rsidTr="00D26E16">
        <w:tc>
          <w:tcPr>
            <w:tcW w:w="2160" w:type="dxa"/>
          </w:tcPr>
          <w:p w:rsidR="00B84EDF" w:rsidRPr="00552FD6" w:rsidRDefault="00B84EDF" w:rsidP="00D26E16">
            <w:pPr>
              <w:pStyle w:val="TableText2"/>
            </w:pPr>
            <w:r w:rsidRPr="00A6773C">
              <w:rPr>
                <w:noProof/>
              </w:rPr>
              <w:t>Wilson</w:t>
            </w:r>
            <w:r>
              <w:t>, 201</w:t>
            </w:r>
            <w:r w:rsidRPr="00A6773C">
              <w:rPr>
                <w:noProof/>
              </w:rPr>
              <w:t>0</w:t>
            </w:r>
            <w:r w:rsidRPr="008B3E2F">
              <w:rPr>
                <w:rFonts w:ascii="Times New Roman" w:hAnsi="Times New Roman" w:cs="Times New Roman"/>
                <w:noProof/>
                <w:vertAlign w:val="superscript"/>
              </w:rPr>
              <w:t>47</w:t>
            </w:r>
          </w:p>
        </w:tc>
        <w:tc>
          <w:tcPr>
            <w:tcW w:w="2448" w:type="dxa"/>
          </w:tcPr>
          <w:p w:rsidR="00B84EDF" w:rsidRPr="00A6773C" w:rsidRDefault="00B84EDF" w:rsidP="00D26E16">
            <w:pPr>
              <w:pStyle w:val="TableText2"/>
              <w:rPr>
                <w:noProof/>
              </w:rPr>
            </w:pPr>
            <w:r w:rsidRPr="00A6773C">
              <w:rPr>
                <w:noProof/>
              </w:rPr>
              <w:t>Number of binge days in the past 28 days, assessed by EDE</w:t>
            </w:r>
          </w:p>
          <w:p w:rsidR="00B84EDF" w:rsidRPr="00A6773C" w:rsidRDefault="00B84EDF" w:rsidP="00D26E16">
            <w:pPr>
              <w:pStyle w:val="TableText2"/>
              <w:rPr>
                <w:noProof/>
              </w:rPr>
            </w:pPr>
            <w:r w:rsidRPr="00A6773C">
              <w:rPr>
                <w:noProof/>
              </w:rPr>
              <w:t>Remission</w:t>
            </w:r>
          </w:p>
          <w:p w:rsidR="00B84EDF" w:rsidRPr="00552FD6" w:rsidRDefault="00B84EDF" w:rsidP="00D26E16">
            <w:pPr>
              <w:pStyle w:val="TableText2"/>
            </w:pPr>
            <w:r w:rsidRPr="00A6773C">
              <w:rPr>
                <w:noProof/>
              </w:rPr>
              <w:t>Abstinence: No longer meeting DSM-IV criteria for BED</w:t>
            </w:r>
          </w:p>
        </w:tc>
        <w:tc>
          <w:tcPr>
            <w:tcW w:w="2970" w:type="dxa"/>
          </w:tcPr>
          <w:p w:rsidR="00B84EDF" w:rsidRPr="00A6773C" w:rsidRDefault="00B84EDF" w:rsidP="00D26E16">
            <w:pPr>
              <w:pStyle w:val="TableText2"/>
              <w:rPr>
                <w:noProof/>
              </w:rPr>
            </w:pPr>
            <w:r w:rsidRPr="00A6773C">
              <w:rPr>
                <w:noProof/>
              </w:rPr>
              <w:t>Number of binge days</w:t>
            </w:r>
          </w:p>
          <w:p w:rsidR="00B84EDF" w:rsidRPr="00A6773C" w:rsidRDefault="00B84EDF" w:rsidP="00D26E16">
            <w:pPr>
              <w:pStyle w:val="TableText2"/>
              <w:rPr>
                <w:noProof/>
              </w:rPr>
            </w:pPr>
            <w:r w:rsidRPr="00A6773C">
              <w:rPr>
                <w:noProof/>
              </w:rPr>
              <w:t>G1: 16.3 (SD 5.9)</w:t>
            </w:r>
          </w:p>
          <w:p w:rsidR="00B84EDF" w:rsidRPr="00A6773C" w:rsidRDefault="00B84EDF" w:rsidP="00D26E16">
            <w:pPr>
              <w:pStyle w:val="TableText2"/>
              <w:rPr>
                <w:noProof/>
              </w:rPr>
            </w:pPr>
            <w:r w:rsidRPr="00A6773C">
              <w:rPr>
                <w:noProof/>
              </w:rPr>
              <w:t>G2: 16.6 (SD 7.3)</w:t>
            </w:r>
          </w:p>
          <w:p w:rsidR="00B84EDF" w:rsidRPr="00A6773C" w:rsidRDefault="00B84EDF" w:rsidP="00D26E16">
            <w:pPr>
              <w:pStyle w:val="TableText2"/>
              <w:rPr>
                <w:noProof/>
              </w:rPr>
            </w:pPr>
            <w:r w:rsidRPr="00A6773C">
              <w:rPr>
                <w:noProof/>
              </w:rPr>
              <w:t>G3: 16.1 (SD 6.6)</w:t>
            </w:r>
          </w:p>
          <w:p w:rsidR="00B84EDF" w:rsidRPr="00A6773C" w:rsidRDefault="00B84EDF" w:rsidP="00D26E16">
            <w:pPr>
              <w:pStyle w:val="TableText2"/>
              <w:rPr>
                <w:noProof/>
              </w:rPr>
            </w:pPr>
            <w:r w:rsidRPr="00A6773C">
              <w:rPr>
                <w:noProof/>
              </w:rPr>
              <w:t>Posttreatment Remission Rate (%)</w:t>
            </w:r>
          </w:p>
          <w:p w:rsidR="00B84EDF" w:rsidRPr="00A6773C" w:rsidRDefault="00B84EDF" w:rsidP="00D26E16">
            <w:pPr>
              <w:pStyle w:val="TableText2"/>
              <w:rPr>
                <w:noProof/>
              </w:rPr>
            </w:pPr>
            <w:r w:rsidRPr="00A6773C">
              <w:rPr>
                <w:noProof/>
              </w:rPr>
              <w:t>Low negative affect</w:t>
            </w:r>
          </w:p>
          <w:p w:rsidR="00B84EDF" w:rsidRPr="00A6773C" w:rsidRDefault="00B84EDF" w:rsidP="00D26E16">
            <w:pPr>
              <w:pStyle w:val="TableText2"/>
              <w:rPr>
                <w:noProof/>
              </w:rPr>
            </w:pPr>
            <w:r w:rsidRPr="00A6773C">
              <w:rPr>
                <w:noProof/>
              </w:rPr>
              <w:t xml:space="preserve">G1: 64 </w:t>
            </w:r>
          </w:p>
          <w:p w:rsidR="00B84EDF" w:rsidRPr="00A6773C" w:rsidRDefault="00B84EDF" w:rsidP="00D26E16">
            <w:pPr>
              <w:pStyle w:val="TableText2"/>
              <w:rPr>
                <w:noProof/>
              </w:rPr>
            </w:pPr>
            <w:r w:rsidRPr="00A6773C">
              <w:rPr>
                <w:noProof/>
              </w:rPr>
              <w:t xml:space="preserve">G2: 62 </w:t>
            </w:r>
          </w:p>
          <w:p w:rsidR="00B84EDF" w:rsidRPr="00A6773C" w:rsidRDefault="00B84EDF" w:rsidP="00D26E16">
            <w:pPr>
              <w:pStyle w:val="TableText2"/>
              <w:rPr>
                <w:noProof/>
              </w:rPr>
            </w:pPr>
            <w:r w:rsidRPr="00A6773C">
              <w:rPr>
                <w:noProof/>
              </w:rPr>
              <w:t>G3: 67</w:t>
            </w:r>
          </w:p>
          <w:p w:rsidR="00B84EDF" w:rsidRPr="00A6773C" w:rsidRDefault="00B84EDF" w:rsidP="00D26E16">
            <w:pPr>
              <w:pStyle w:val="TableText2"/>
              <w:rPr>
                <w:noProof/>
              </w:rPr>
            </w:pPr>
            <w:r w:rsidRPr="00A6773C">
              <w:rPr>
                <w:noProof/>
              </w:rPr>
              <w:t>High negative affect</w:t>
            </w:r>
          </w:p>
          <w:p w:rsidR="00B84EDF" w:rsidRPr="00A6773C" w:rsidRDefault="00B84EDF" w:rsidP="00D26E16">
            <w:pPr>
              <w:pStyle w:val="TableText2"/>
              <w:rPr>
                <w:noProof/>
              </w:rPr>
            </w:pPr>
            <w:r w:rsidRPr="00A6773C">
              <w:rPr>
                <w:noProof/>
              </w:rPr>
              <w:t xml:space="preserve">G1: 43 </w:t>
            </w:r>
          </w:p>
          <w:p w:rsidR="00B84EDF" w:rsidRPr="00A6773C" w:rsidRDefault="00B84EDF" w:rsidP="00D26E16">
            <w:pPr>
              <w:pStyle w:val="TableText2"/>
              <w:rPr>
                <w:noProof/>
              </w:rPr>
            </w:pPr>
            <w:r w:rsidRPr="00A6773C">
              <w:rPr>
                <w:noProof/>
              </w:rPr>
              <w:t xml:space="preserve">G2: 52 </w:t>
            </w:r>
          </w:p>
          <w:p w:rsidR="00B84EDF" w:rsidRPr="00A6773C" w:rsidRDefault="00B84EDF" w:rsidP="00D26E16">
            <w:pPr>
              <w:pStyle w:val="TableText2"/>
              <w:rPr>
                <w:noProof/>
              </w:rPr>
            </w:pPr>
            <w:r w:rsidRPr="00A6773C">
              <w:rPr>
                <w:noProof/>
              </w:rPr>
              <w:t>G3: 61</w:t>
            </w:r>
          </w:p>
          <w:p w:rsidR="00B84EDF" w:rsidRPr="00A6773C" w:rsidRDefault="00B84EDF" w:rsidP="00D26E16">
            <w:pPr>
              <w:pStyle w:val="TableText2"/>
              <w:rPr>
                <w:noProof/>
              </w:rPr>
            </w:pPr>
            <w:r w:rsidRPr="00A6773C">
              <w:rPr>
                <w:noProof/>
              </w:rPr>
              <w:t>Odds Ratio low v high negative affect</w:t>
            </w:r>
          </w:p>
          <w:p w:rsidR="00B84EDF" w:rsidRPr="00A6773C" w:rsidRDefault="00B84EDF" w:rsidP="00D26E16">
            <w:pPr>
              <w:pStyle w:val="TableText2"/>
              <w:rPr>
                <w:noProof/>
              </w:rPr>
            </w:pPr>
            <w:r w:rsidRPr="00A6773C">
              <w:rPr>
                <w:noProof/>
              </w:rPr>
              <w:t>G1:2.4</w:t>
            </w:r>
          </w:p>
          <w:p w:rsidR="00B84EDF" w:rsidRPr="00A6773C" w:rsidRDefault="00B84EDF" w:rsidP="00D26E16">
            <w:pPr>
              <w:pStyle w:val="TableText2"/>
              <w:rPr>
                <w:noProof/>
              </w:rPr>
            </w:pPr>
            <w:r w:rsidRPr="00A6773C">
              <w:rPr>
                <w:noProof/>
              </w:rPr>
              <w:t>G2: 1.5</w:t>
            </w:r>
          </w:p>
          <w:p w:rsidR="00B84EDF" w:rsidRPr="00552FD6" w:rsidRDefault="00B84EDF" w:rsidP="00D26E16">
            <w:pPr>
              <w:pStyle w:val="TableText2"/>
            </w:pPr>
            <w:r w:rsidRPr="00A6773C">
              <w:rPr>
                <w:noProof/>
              </w:rPr>
              <w:t>G3: 1.</w:t>
            </w:r>
          </w:p>
        </w:tc>
        <w:tc>
          <w:tcPr>
            <w:tcW w:w="5382" w:type="dxa"/>
          </w:tcPr>
          <w:p w:rsidR="00B84EDF" w:rsidRPr="00A6773C" w:rsidRDefault="00B84EDF" w:rsidP="00D26E16">
            <w:pPr>
              <w:pStyle w:val="TableText2"/>
              <w:rPr>
                <w:noProof/>
              </w:rPr>
            </w:pPr>
            <w:r w:rsidRPr="00A6773C">
              <w:rPr>
                <w:noProof/>
              </w:rPr>
              <w:t>1y Number of binge days</w:t>
            </w:r>
          </w:p>
          <w:p w:rsidR="00B84EDF" w:rsidRPr="00A6773C" w:rsidRDefault="00B84EDF" w:rsidP="00D26E16">
            <w:pPr>
              <w:pStyle w:val="TableText2"/>
              <w:rPr>
                <w:noProof/>
              </w:rPr>
            </w:pPr>
            <w:r w:rsidRPr="00A6773C">
              <w:rPr>
                <w:noProof/>
              </w:rPr>
              <w:t>G1: 6.5 (SD 8.7)</w:t>
            </w:r>
          </w:p>
          <w:p w:rsidR="00B84EDF" w:rsidRPr="00A6773C" w:rsidRDefault="00B84EDF" w:rsidP="00D26E16">
            <w:pPr>
              <w:pStyle w:val="TableText2"/>
              <w:rPr>
                <w:noProof/>
              </w:rPr>
            </w:pPr>
            <w:r w:rsidRPr="00A6773C">
              <w:rPr>
                <w:noProof/>
              </w:rPr>
              <w:t>G2: 4.3 (SD 7.8)</w:t>
            </w:r>
          </w:p>
          <w:p w:rsidR="00B84EDF" w:rsidRPr="00A6773C" w:rsidRDefault="00B84EDF" w:rsidP="00D26E16">
            <w:pPr>
              <w:pStyle w:val="TableText2"/>
              <w:rPr>
                <w:noProof/>
              </w:rPr>
            </w:pPr>
            <w:r w:rsidRPr="00A6773C">
              <w:rPr>
                <w:noProof/>
              </w:rPr>
              <w:t>G3: 4.8 (SD 7.6)</w:t>
            </w:r>
          </w:p>
          <w:p w:rsidR="00B84EDF" w:rsidRPr="00A6773C" w:rsidRDefault="00B84EDF" w:rsidP="00D26E16">
            <w:pPr>
              <w:pStyle w:val="TableText2"/>
              <w:rPr>
                <w:noProof/>
              </w:rPr>
            </w:pPr>
            <w:r w:rsidRPr="00A6773C">
              <w:rPr>
                <w:noProof/>
              </w:rPr>
              <w:t>Mean change: NR</w:t>
            </w:r>
          </w:p>
          <w:p w:rsidR="00B84EDF" w:rsidRPr="00A6773C" w:rsidRDefault="00B84EDF" w:rsidP="00D26E16">
            <w:pPr>
              <w:pStyle w:val="TableText2"/>
              <w:rPr>
                <w:noProof/>
              </w:rPr>
            </w:pPr>
            <w:r w:rsidRPr="00A6773C">
              <w:rPr>
                <w:noProof/>
              </w:rPr>
              <w:t xml:space="preserve">p=NS, NR </w:t>
            </w:r>
          </w:p>
          <w:p w:rsidR="00B84EDF" w:rsidRPr="00A6773C" w:rsidRDefault="00B84EDF" w:rsidP="00D26E16">
            <w:pPr>
              <w:pStyle w:val="TableText2"/>
              <w:rPr>
                <w:noProof/>
              </w:rPr>
            </w:pPr>
            <w:r w:rsidRPr="00A6773C">
              <w:rPr>
                <w:noProof/>
              </w:rPr>
              <w:t>2y Number of binge days</w:t>
            </w:r>
          </w:p>
          <w:p w:rsidR="00B84EDF" w:rsidRPr="00A6773C" w:rsidRDefault="00B84EDF" w:rsidP="00D26E16">
            <w:pPr>
              <w:pStyle w:val="TableText2"/>
              <w:rPr>
                <w:noProof/>
              </w:rPr>
            </w:pPr>
            <w:r w:rsidRPr="00A6773C">
              <w:rPr>
                <w:noProof/>
              </w:rPr>
              <w:t>G1: 5.8 (SD 8.5)</w:t>
            </w:r>
          </w:p>
          <w:p w:rsidR="00B84EDF" w:rsidRPr="00A6773C" w:rsidRDefault="00B84EDF" w:rsidP="00D26E16">
            <w:pPr>
              <w:pStyle w:val="TableText2"/>
              <w:rPr>
                <w:noProof/>
              </w:rPr>
            </w:pPr>
            <w:r w:rsidRPr="00A6773C">
              <w:rPr>
                <w:noProof/>
              </w:rPr>
              <w:t>G2: 3.7 (SD 7.3)</w:t>
            </w:r>
          </w:p>
          <w:p w:rsidR="00B84EDF" w:rsidRPr="00A6773C" w:rsidRDefault="00B84EDF" w:rsidP="00D26E16">
            <w:pPr>
              <w:pStyle w:val="TableText2"/>
              <w:rPr>
                <w:noProof/>
              </w:rPr>
            </w:pPr>
            <w:r w:rsidRPr="00A6773C">
              <w:rPr>
                <w:noProof/>
              </w:rPr>
              <w:t>G3: 4.3 (SD 7.8)</w:t>
            </w:r>
          </w:p>
          <w:p w:rsidR="00B84EDF" w:rsidRPr="00A6773C" w:rsidRDefault="00B84EDF" w:rsidP="00D26E16">
            <w:pPr>
              <w:pStyle w:val="TableText2"/>
              <w:rPr>
                <w:noProof/>
              </w:rPr>
            </w:pPr>
            <w:r w:rsidRPr="00A6773C">
              <w:rPr>
                <w:noProof/>
              </w:rPr>
              <w:t>Mean change: NR</w:t>
            </w:r>
          </w:p>
          <w:p w:rsidR="00B84EDF" w:rsidRPr="00A6773C" w:rsidRDefault="00B84EDF" w:rsidP="00D26E16">
            <w:pPr>
              <w:pStyle w:val="TableText2"/>
              <w:rPr>
                <w:noProof/>
              </w:rPr>
            </w:pPr>
            <w:r w:rsidRPr="00A6773C">
              <w:rPr>
                <w:noProof/>
              </w:rPr>
              <w:t>p=NR, no results are reported for the analysis of 2y number of binge days</w:t>
            </w:r>
          </w:p>
          <w:p w:rsidR="00B84EDF" w:rsidRPr="00A6773C" w:rsidRDefault="00B84EDF" w:rsidP="00D26E16">
            <w:pPr>
              <w:pStyle w:val="TableText2"/>
              <w:rPr>
                <w:noProof/>
              </w:rPr>
            </w:pPr>
            <w:r w:rsidRPr="00A6773C">
              <w:rPr>
                <w:noProof/>
              </w:rPr>
              <w:t>Remission Rate (%)</w:t>
            </w:r>
          </w:p>
          <w:p w:rsidR="00B84EDF" w:rsidRPr="00A6773C" w:rsidRDefault="00B84EDF" w:rsidP="00D26E16">
            <w:pPr>
              <w:pStyle w:val="TableText2"/>
              <w:rPr>
                <w:noProof/>
              </w:rPr>
            </w:pPr>
            <w:r w:rsidRPr="00A6773C">
              <w:rPr>
                <w:noProof/>
              </w:rPr>
              <w:t>1 year follow-up</w:t>
            </w:r>
          </w:p>
          <w:p w:rsidR="00B84EDF" w:rsidRPr="00A6773C" w:rsidRDefault="00B84EDF" w:rsidP="00D26E16">
            <w:pPr>
              <w:pStyle w:val="TableText2"/>
              <w:rPr>
                <w:noProof/>
              </w:rPr>
            </w:pPr>
            <w:r w:rsidRPr="00A6773C">
              <w:rPr>
                <w:noProof/>
              </w:rPr>
              <w:t>Low negative affect</w:t>
            </w:r>
          </w:p>
          <w:p w:rsidR="00B84EDF" w:rsidRPr="00A6773C" w:rsidRDefault="00B84EDF" w:rsidP="00D26E16">
            <w:pPr>
              <w:pStyle w:val="TableText2"/>
              <w:rPr>
                <w:noProof/>
              </w:rPr>
            </w:pPr>
            <w:r w:rsidRPr="00A6773C">
              <w:rPr>
                <w:noProof/>
              </w:rPr>
              <w:t>G1: 50</w:t>
            </w:r>
          </w:p>
          <w:p w:rsidR="00B84EDF" w:rsidRPr="00A6773C" w:rsidRDefault="00B84EDF" w:rsidP="00D26E16">
            <w:pPr>
              <w:pStyle w:val="TableText2"/>
              <w:rPr>
                <w:noProof/>
              </w:rPr>
            </w:pPr>
            <w:r w:rsidRPr="00A6773C">
              <w:rPr>
                <w:noProof/>
              </w:rPr>
              <w:t>G2: 59</w:t>
            </w:r>
          </w:p>
          <w:p w:rsidR="00B84EDF" w:rsidRPr="00A6773C" w:rsidRDefault="00B84EDF" w:rsidP="00D26E16">
            <w:pPr>
              <w:pStyle w:val="TableText2"/>
              <w:rPr>
                <w:noProof/>
              </w:rPr>
            </w:pPr>
            <w:r w:rsidRPr="00A6773C">
              <w:rPr>
                <w:noProof/>
              </w:rPr>
              <w:t>G3: 55</w:t>
            </w:r>
          </w:p>
          <w:p w:rsidR="00B84EDF" w:rsidRPr="00A6773C" w:rsidRDefault="00B84EDF" w:rsidP="00D26E16">
            <w:pPr>
              <w:pStyle w:val="TableText2"/>
              <w:rPr>
                <w:noProof/>
              </w:rPr>
            </w:pPr>
            <w:r w:rsidRPr="00A6773C">
              <w:rPr>
                <w:noProof/>
              </w:rPr>
              <w:t>High negative affect</w:t>
            </w:r>
          </w:p>
          <w:p w:rsidR="00B84EDF" w:rsidRPr="00A6773C" w:rsidRDefault="00B84EDF" w:rsidP="00D26E16">
            <w:pPr>
              <w:pStyle w:val="TableText2"/>
              <w:rPr>
                <w:noProof/>
              </w:rPr>
            </w:pPr>
            <w:r w:rsidRPr="00A6773C">
              <w:rPr>
                <w:noProof/>
              </w:rPr>
              <w:t>G1: 32</w:t>
            </w:r>
          </w:p>
          <w:p w:rsidR="00B84EDF" w:rsidRPr="00A6773C" w:rsidRDefault="00B84EDF" w:rsidP="00D26E16">
            <w:pPr>
              <w:pStyle w:val="TableText2"/>
              <w:rPr>
                <w:noProof/>
              </w:rPr>
            </w:pPr>
            <w:r w:rsidRPr="00A6773C">
              <w:rPr>
                <w:noProof/>
              </w:rPr>
              <w:t>G2: 62</w:t>
            </w:r>
          </w:p>
          <w:p w:rsidR="00B84EDF" w:rsidRPr="00A6773C" w:rsidRDefault="00B84EDF" w:rsidP="00D26E16">
            <w:pPr>
              <w:pStyle w:val="TableText2"/>
              <w:rPr>
                <w:noProof/>
              </w:rPr>
            </w:pPr>
            <w:r w:rsidRPr="00A6773C">
              <w:rPr>
                <w:noProof/>
              </w:rPr>
              <w:t>G3: 55</w:t>
            </w:r>
          </w:p>
          <w:p w:rsidR="00B84EDF" w:rsidRPr="00A6773C" w:rsidRDefault="00B84EDF" w:rsidP="00D26E16">
            <w:pPr>
              <w:pStyle w:val="TableText2"/>
              <w:rPr>
                <w:noProof/>
              </w:rPr>
            </w:pPr>
            <w:r w:rsidRPr="00A6773C">
              <w:rPr>
                <w:noProof/>
              </w:rPr>
              <w:t>2 year follow-up</w:t>
            </w:r>
          </w:p>
          <w:p w:rsidR="00B84EDF" w:rsidRPr="00A6773C" w:rsidRDefault="00B84EDF" w:rsidP="00D26E16">
            <w:pPr>
              <w:pStyle w:val="TableText2"/>
              <w:rPr>
                <w:noProof/>
              </w:rPr>
            </w:pPr>
            <w:r w:rsidRPr="00A6773C">
              <w:rPr>
                <w:noProof/>
              </w:rPr>
              <w:t>Low negative affect</w:t>
            </w:r>
          </w:p>
          <w:p w:rsidR="00B84EDF" w:rsidRPr="00A6773C" w:rsidRDefault="00B84EDF" w:rsidP="00D26E16">
            <w:pPr>
              <w:pStyle w:val="TableText2"/>
              <w:rPr>
                <w:noProof/>
              </w:rPr>
            </w:pPr>
            <w:r w:rsidRPr="00A6773C">
              <w:rPr>
                <w:noProof/>
              </w:rPr>
              <w:t>G1: 47</w:t>
            </w:r>
          </w:p>
          <w:p w:rsidR="00B84EDF" w:rsidRPr="00A6773C" w:rsidRDefault="00B84EDF" w:rsidP="00D26E16">
            <w:pPr>
              <w:pStyle w:val="TableText2"/>
              <w:rPr>
                <w:noProof/>
              </w:rPr>
            </w:pPr>
            <w:r w:rsidRPr="00A6773C">
              <w:rPr>
                <w:noProof/>
              </w:rPr>
              <w:t>G2: 62</w:t>
            </w:r>
          </w:p>
          <w:p w:rsidR="00B84EDF" w:rsidRPr="00A6773C" w:rsidRDefault="00B84EDF" w:rsidP="00D26E16">
            <w:pPr>
              <w:pStyle w:val="TableText2"/>
              <w:rPr>
                <w:noProof/>
              </w:rPr>
            </w:pPr>
            <w:r w:rsidRPr="00A6773C">
              <w:rPr>
                <w:noProof/>
              </w:rPr>
              <w:t>G3: 64</w:t>
            </w:r>
          </w:p>
          <w:p w:rsidR="00B84EDF" w:rsidRPr="00A6773C" w:rsidRDefault="00B84EDF" w:rsidP="00D26E16">
            <w:pPr>
              <w:pStyle w:val="TableText2"/>
              <w:rPr>
                <w:noProof/>
              </w:rPr>
            </w:pPr>
            <w:r w:rsidRPr="00A6773C">
              <w:rPr>
                <w:noProof/>
              </w:rPr>
              <w:t>High negative affect</w:t>
            </w:r>
          </w:p>
          <w:p w:rsidR="00B84EDF" w:rsidRPr="00A6773C" w:rsidRDefault="00B84EDF" w:rsidP="00D26E16">
            <w:pPr>
              <w:pStyle w:val="TableText2"/>
              <w:rPr>
                <w:noProof/>
              </w:rPr>
            </w:pPr>
            <w:r w:rsidRPr="00A6773C">
              <w:rPr>
                <w:noProof/>
              </w:rPr>
              <w:t>G1: 39</w:t>
            </w:r>
          </w:p>
          <w:p w:rsidR="00B84EDF" w:rsidRPr="00A6773C" w:rsidRDefault="00B84EDF" w:rsidP="00D26E16">
            <w:pPr>
              <w:pStyle w:val="TableText2"/>
              <w:rPr>
                <w:noProof/>
              </w:rPr>
            </w:pPr>
            <w:r w:rsidRPr="00A6773C">
              <w:rPr>
                <w:noProof/>
              </w:rPr>
              <w:t>G2: 62</w:t>
            </w:r>
          </w:p>
          <w:p w:rsidR="00B84EDF" w:rsidRPr="00A6773C" w:rsidRDefault="00B84EDF" w:rsidP="00D26E16">
            <w:pPr>
              <w:pStyle w:val="TableText2"/>
              <w:rPr>
                <w:noProof/>
              </w:rPr>
            </w:pPr>
            <w:r w:rsidRPr="00A6773C">
              <w:rPr>
                <w:noProof/>
              </w:rPr>
              <w:t>G3: 70</w:t>
            </w:r>
          </w:p>
          <w:p w:rsidR="00B84EDF" w:rsidRPr="00A6773C" w:rsidRDefault="00B84EDF" w:rsidP="00D26E16">
            <w:pPr>
              <w:pStyle w:val="TableText2"/>
              <w:rPr>
                <w:noProof/>
              </w:rPr>
            </w:pPr>
            <w:r w:rsidRPr="00A6773C">
              <w:rPr>
                <w:noProof/>
              </w:rPr>
              <w:t>No significant moderator effect of</w:t>
            </w:r>
          </w:p>
          <w:p w:rsidR="00B84EDF" w:rsidRPr="00A6773C" w:rsidRDefault="00B84EDF" w:rsidP="00D26E16">
            <w:pPr>
              <w:pStyle w:val="TableText2"/>
              <w:rPr>
                <w:noProof/>
              </w:rPr>
            </w:pPr>
            <w:r w:rsidRPr="00A6773C">
              <w:rPr>
                <w:noProof/>
              </w:rPr>
              <w:t>negative affect subtype on remission from binge eating was</w:t>
            </w:r>
          </w:p>
          <w:p w:rsidR="00B84EDF" w:rsidRPr="00A6773C" w:rsidRDefault="00B84EDF" w:rsidP="00D26E16">
            <w:pPr>
              <w:pStyle w:val="TableText2"/>
              <w:rPr>
                <w:noProof/>
              </w:rPr>
            </w:pPr>
            <w:r w:rsidRPr="00A6773C">
              <w:rPr>
                <w:noProof/>
              </w:rPr>
              <w:t>found</w:t>
            </w:r>
          </w:p>
          <w:p w:rsidR="00B84EDF" w:rsidRPr="00552FD6" w:rsidRDefault="00B84EDF" w:rsidP="00D26E16">
            <w:pPr>
              <w:pStyle w:val="TableText2"/>
            </w:pPr>
          </w:p>
        </w:tc>
      </w:tr>
    </w:tbl>
    <w:p w:rsidR="00B84EDF" w:rsidRDefault="00B84EDF" w:rsidP="00B84EDF">
      <w:pPr>
        <w:pStyle w:val="TableTitle"/>
        <w:tabs>
          <w:tab w:val="left" w:pos="5148"/>
        </w:tabs>
      </w:pPr>
      <w:r>
        <w:br w:type="page"/>
      </w:r>
      <w:r>
        <w:lastRenderedPageBreak/>
        <w:t>Evidence Table 76. Course of illness studies – part 4 (continued)</w:t>
      </w:r>
    </w:p>
    <w:tbl>
      <w:tblPr>
        <w:tblStyle w:val="AHRQ1"/>
        <w:tblW w:w="12960" w:type="dxa"/>
        <w:tblLayout w:type="fixed"/>
        <w:tblLook w:val="04A0"/>
      </w:tblPr>
      <w:tblGrid>
        <w:gridCol w:w="2160"/>
        <w:gridCol w:w="2448"/>
        <w:gridCol w:w="2970"/>
        <w:gridCol w:w="5382"/>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448" w:type="dxa"/>
          </w:tcPr>
          <w:p w:rsidR="00B84EDF" w:rsidRPr="00F0301D" w:rsidRDefault="00B84EDF" w:rsidP="00D26E16">
            <w:pPr>
              <w:pStyle w:val="TableText2"/>
            </w:pPr>
            <w:r>
              <w:t xml:space="preserve">Definition of Binges </w:t>
            </w:r>
            <w:r w:rsidRPr="00694729">
              <w:t>(Days; Frequency; Remission; Abstinence</w:t>
            </w:r>
            <w:r>
              <w:t>,</w:t>
            </w:r>
            <w:r w:rsidRPr="00694729">
              <w:t xml:space="preserve"> etc.)</w:t>
            </w:r>
          </w:p>
        </w:tc>
        <w:tc>
          <w:tcPr>
            <w:tcW w:w="2970" w:type="dxa"/>
          </w:tcPr>
          <w:p w:rsidR="00B84EDF" w:rsidRPr="00F0301D" w:rsidRDefault="00B84EDF" w:rsidP="00D26E16">
            <w:pPr>
              <w:pStyle w:val="TableText2"/>
            </w:pPr>
            <w:r>
              <w:t>Binges Baseline</w:t>
            </w:r>
          </w:p>
        </w:tc>
        <w:tc>
          <w:tcPr>
            <w:tcW w:w="5382" w:type="dxa"/>
          </w:tcPr>
          <w:p w:rsidR="00B84EDF" w:rsidRPr="00F0301D" w:rsidRDefault="00B84EDF" w:rsidP="00D26E16">
            <w:pPr>
              <w:pStyle w:val="TableText2"/>
            </w:pPr>
            <w:r>
              <w:t>Binges Outcomes</w:t>
            </w:r>
          </w:p>
        </w:tc>
      </w:tr>
      <w:tr w:rsidR="00B84EDF" w:rsidRPr="00552FD6" w:rsidTr="00D26E16">
        <w:tc>
          <w:tcPr>
            <w:tcW w:w="2160" w:type="dxa"/>
          </w:tcPr>
          <w:p w:rsidR="00B84EDF" w:rsidRDefault="00B84EDF" w:rsidP="00D26E16">
            <w:pPr>
              <w:pStyle w:val="TableText2"/>
            </w:pPr>
            <w:r w:rsidRPr="00A6773C">
              <w:rPr>
                <w:noProof/>
              </w:rPr>
              <w:t>Wilson</w:t>
            </w:r>
            <w:r>
              <w:t>, 201</w:t>
            </w:r>
            <w:r w:rsidRPr="00A6773C">
              <w:rPr>
                <w:noProof/>
              </w:rPr>
              <w:t>0</w:t>
            </w:r>
            <w:r w:rsidRPr="008B3E2F">
              <w:rPr>
                <w:rFonts w:ascii="Times New Roman" w:hAnsi="Times New Roman" w:cs="Times New Roman"/>
                <w:noProof/>
                <w:vertAlign w:val="superscript"/>
              </w:rPr>
              <w:t>47</w:t>
            </w:r>
          </w:p>
          <w:p w:rsidR="00B84EDF" w:rsidRPr="00A6773C" w:rsidRDefault="00B84EDF" w:rsidP="00D26E16">
            <w:pPr>
              <w:pStyle w:val="TableText2"/>
              <w:rPr>
                <w:noProof/>
              </w:rPr>
            </w:pPr>
            <w:r>
              <w:t>(continued)</w:t>
            </w:r>
          </w:p>
        </w:tc>
        <w:tc>
          <w:tcPr>
            <w:tcW w:w="2448" w:type="dxa"/>
          </w:tcPr>
          <w:p w:rsidR="00B84EDF" w:rsidRPr="00A6773C" w:rsidRDefault="00B84EDF" w:rsidP="00D26E16">
            <w:pPr>
              <w:pStyle w:val="TableText2"/>
              <w:rPr>
                <w:noProof/>
              </w:rPr>
            </w:pPr>
          </w:p>
        </w:tc>
        <w:tc>
          <w:tcPr>
            <w:tcW w:w="2970" w:type="dxa"/>
          </w:tcPr>
          <w:p w:rsidR="00B84EDF" w:rsidRPr="00A6773C" w:rsidRDefault="00B84EDF" w:rsidP="00D26E16">
            <w:pPr>
              <w:pStyle w:val="TableText2"/>
              <w:rPr>
                <w:noProof/>
              </w:rPr>
            </w:pPr>
          </w:p>
        </w:tc>
        <w:tc>
          <w:tcPr>
            <w:tcW w:w="5382" w:type="dxa"/>
          </w:tcPr>
          <w:p w:rsidR="00B84EDF" w:rsidRPr="00A6773C" w:rsidRDefault="00B84EDF" w:rsidP="00D26E16">
            <w:pPr>
              <w:pStyle w:val="TableText2"/>
              <w:rPr>
                <w:noProof/>
              </w:rPr>
            </w:pPr>
            <w:r w:rsidRPr="00A6773C">
              <w:rPr>
                <w:noProof/>
              </w:rPr>
              <w:t>Odds ratio low v high negative affect</w:t>
            </w:r>
          </w:p>
          <w:p w:rsidR="00B84EDF" w:rsidRPr="00A6773C" w:rsidRDefault="00B84EDF" w:rsidP="00D26E16">
            <w:pPr>
              <w:pStyle w:val="TableText2"/>
              <w:rPr>
                <w:noProof/>
              </w:rPr>
            </w:pPr>
            <w:r w:rsidRPr="00A6773C">
              <w:rPr>
                <w:noProof/>
              </w:rPr>
              <w:t>1y  follow-up</w:t>
            </w:r>
          </w:p>
          <w:p w:rsidR="00B84EDF" w:rsidRPr="00A6773C" w:rsidRDefault="00B84EDF" w:rsidP="00D26E16">
            <w:pPr>
              <w:pStyle w:val="TableText2"/>
              <w:rPr>
                <w:noProof/>
              </w:rPr>
            </w:pPr>
            <w:r w:rsidRPr="00A6773C">
              <w:rPr>
                <w:noProof/>
              </w:rPr>
              <w:t>G1: 2.1</w:t>
            </w:r>
          </w:p>
          <w:p w:rsidR="00B84EDF" w:rsidRPr="00A6773C" w:rsidRDefault="00B84EDF" w:rsidP="00D26E16">
            <w:pPr>
              <w:pStyle w:val="TableText2"/>
              <w:rPr>
                <w:noProof/>
              </w:rPr>
            </w:pPr>
            <w:r w:rsidRPr="00A6773C">
              <w:rPr>
                <w:noProof/>
              </w:rPr>
              <w:t>G2: 0.9</w:t>
            </w:r>
          </w:p>
          <w:p w:rsidR="00B84EDF" w:rsidRPr="00A6773C" w:rsidRDefault="00B84EDF" w:rsidP="00D26E16">
            <w:pPr>
              <w:pStyle w:val="TableText2"/>
              <w:rPr>
                <w:noProof/>
              </w:rPr>
            </w:pPr>
            <w:r w:rsidRPr="00A6773C">
              <w:rPr>
                <w:noProof/>
              </w:rPr>
              <w:t>G3: 1.0</w:t>
            </w:r>
          </w:p>
          <w:p w:rsidR="00B84EDF" w:rsidRPr="00A6773C" w:rsidRDefault="00B84EDF" w:rsidP="00D26E16">
            <w:pPr>
              <w:pStyle w:val="TableText2"/>
              <w:rPr>
                <w:noProof/>
              </w:rPr>
            </w:pPr>
            <w:r w:rsidRPr="00A6773C">
              <w:rPr>
                <w:noProof/>
              </w:rPr>
              <w:t>2y follow-up</w:t>
            </w:r>
          </w:p>
          <w:p w:rsidR="00B84EDF" w:rsidRPr="00A6773C" w:rsidRDefault="00B84EDF" w:rsidP="00D26E16">
            <w:pPr>
              <w:pStyle w:val="TableText2"/>
              <w:rPr>
                <w:noProof/>
              </w:rPr>
            </w:pPr>
            <w:r w:rsidRPr="00A6773C">
              <w:rPr>
                <w:noProof/>
              </w:rPr>
              <w:t>G1: 1.4</w:t>
            </w:r>
          </w:p>
          <w:p w:rsidR="00B84EDF" w:rsidRPr="00A6773C" w:rsidRDefault="00B84EDF" w:rsidP="00D26E16">
            <w:pPr>
              <w:pStyle w:val="TableText2"/>
              <w:rPr>
                <w:noProof/>
              </w:rPr>
            </w:pPr>
            <w:r w:rsidRPr="00A6773C">
              <w:rPr>
                <w:noProof/>
              </w:rPr>
              <w:t>G2: 1.0</w:t>
            </w:r>
          </w:p>
          <w:p w:rsidR="00B84EDF" w:rsidRPr="00A6773C" w:rsidRDefault="00B84EDF" w:rsidP="00D26E16">
            <w:pPr>
              <w:pStyle w:val="TableText2"/>
              <w:rPr>
                <w:noProof/>
              </w:rPr>
            </w:pPr>
            <w:r w:rsidRPr="00A6773C">
              <w:rPr>
                <w:noProof/>
              </w:rPr>
              <w:t>G3: 0.8</w:t>
            </w:r>
          </w:p>
          <w:p w:rsidR="00B84EDF" w:rsidRPr="00A6773C" w:rsidRDefault="00B84EDF" w:rsidP="00D26E16">
            <w:pPr>
              <w:pStyle w:val="TableText2"/>
              <w:rPr>
                <w:noProof/>
              </w:rPr>
            </w:pPr>
            <w:r w:rsidRPr="00A6773C">
              <w:rPr>
                <w:noProof/>
              </w:rPr>
              <w:t>An OR greater than 1 indicates better results in the low negative affect</w:t>
            </w:r>
          </w:p>
          <w:p w:rsidR="00B84EDF" w:rsidRPr="00A6773C" w:rsidRDefault="00B84EDF" w:rsidP="00D26E16">
            <w:pPr>
              <w:pStyle w:val="TableText2"/>
              <w:rPr>
                <w:noProof/>
              </w:rPr>
            </w:pPr>
            <w:r w:rsidRPr="00A6773C">
              <w:rPr>
                <w:noProof/>
              </w:rPr>
              <w:t>category. An OR less than 1 indicates better results in the high negative</w:t>
            </w:r>
          </w:p>
          <w:p w:rsidR="00B84EDF" w:rsidRPr="00A6773C" w:rsidRDefault="00B84EDF" w:rsidP="00D26E16">
            <w:pPr>
              <w:pStyle w:val="TableText2"/>
              <w:rPr>
                <w:noProof/>
              </w:rPr>
            </w:pPr>
            <w:r w:rsidRPr="00A6773C">
              <w:rPr>
                <w:noProof/>
              </w:rPr>
              <w:t>affect category.</w:t>
            </w:r>
          </w:p>
          <w:p w:rsidR="00B84EDF" w:rsidRPr="00A6773C" w:rsidRDefault="00B84EDF" w:rsidP="00D26E16">
            <w:pPr>
              <w:pStyle w:val="TableText2"/>
              <w:rPr>
                <w:noProof/>
              </w:rPr>
            </w:pPr>
            <w:r w:rsidRPr="00A6773C">
              <w:rPr>
                <w:noProof/>
              </w:rPr>
              <w:t>1y No longer meeting DSM-IV criteria for BED</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A6773C" w:rsidRDefault="00B84EDF" w:rsidP="00D26E16">
            <w:pPr>
              <w:pStyle w:val="TableText2"/>
              <w:rPr>
                <w:noProof/>
              </w:rPr>
            </w:pPr>
            <w:r w:rsidRPr="00A6773C">
              <w:rPr>
                <w:noProof/>
              </w:rPr>
              <w:t>G3: NR</w:t>
            </w:r>
          </w:p>
          <w:p w:rsidR="00B84EDF" w:rsidRPr="00A6773C" w:rsidRDefault="00B84EDF" w:rsidP="00D26E16">
            <w:pPr>
              <w:pStyle w:val="TableText2"/>
              <w:rPr>
                <w:noProof/>
              </w:rPr>
            </w:pPr>
            <w:r w:rsidRPr="00A6773C">
              <w:rPr>
                <w:noProof/>
              </w:rPr>
              <w:t>Mean change: NR</w:t>
            </w:r>
          </w:p>
          <w:p w:rsidR="00B84EDF" w:rsidRPr="00A6773C" w:rsidRDefault="00B84EDF" w:rsidP="00D26E16">
            <w:pPr>
              <w:pStyle w:val="TableText2"/>
              <w:rPr>
                <w:noProof/>
              </w:rPr>
            </w:pPr>
            <w:r w:rsidRPr="00A6773C">
              <w:rPr>
                <w:noProof/>
              </w:rPr>
              <w:t>p=NR</w:t>
            </w:r>
          </w:p>
          <w:p w:rsidR="00B84EDF" w:rsidRPr="00A6773C" w:rsidRDefault="00B84EDF" w:rsidP="00D26E16">
            <w:pPr>
              <w:pStyle w:val="TableText2"/>
              <w:rPr>
                <w:noProof/>
              </w:rPr>
            </w:pPr>
            <w:r w:rsidRPr="00A6773C">
              <w:rPr>
                <w:noProof/>
              </w:rPr>
              <w:t>2y No longer meeting DSM-IV criteria for BED</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A6773C" w:rsidRDefault="00B84EDF" w:rsidP="00D26E16">
            <w:pPr>
              <w:pStyle w:val="TableText2"/>
              <w:rPr>
                <w:noProof/>
              </w:rPr>
            </w:pPr>
            <w:r w:rsidRPr="00A6773C">
              <w:rPr>
                <w:noProof/>
              </w:rPr>
              <w:t>G3: NR</w:t>
            </w:r>
          </w:p>
          <w:p w:rsidR="00B84EDF" w:rsidRPr="00A6773C" w:rsidRDefault="00B84EDF" w:rsidP="00D26E16">
            <w:pPr>
              <w:pStyle w:val="TableText2"/>
              <w:rPr>
                <w:noProof/>
              </w:rPr>
            </w:pPr>
            <w:r w:rsidRPr="00A6773C">
              <w:rPr>
                <w:noProof/>
              </w:rPr>
              <w:t>Mean change: NR</w:t>
            </w:r>
          </w:p>
          <w:p w:rsidR="00B84EDF" w:rsidRPr="00A6773C" w:rsidRDefault="00B84EDF" w:rsidP="00D26E16">
            <w:pPr>
              <w:pStyle w:val="TableText2"/>
              <w:rPr>
                <w:noProof/>
              </w:rPr>
            </w:pPr>
            <w:r w:rsidRPr="00A6773C">
              <w:rPr>
                <w:noProof/>
              </w:rPr>
              <w:t>p=NR</w:t>
            </w:r>
          </w:p>
        </w:tc>
      </w:tr>
    </w:tbl>
    <w:p w:rsidR="00B84EDF" w:rsidRDefault="00B84EDF" w:rsidP="005D02A5"/>
    <w:sectPr w:rsidR="00B84EDF" w:rsidSect="0005587F">
      <w:footerReference w:type="default" r:id="rId8"/>
      <w:type w:val="continuous"/>
      <w:pgSz w:w="15840" w:h="12240" w:orient="landscape"/>
      <w:pgMar w:top="1440" w:right="1440" w:bottom="1440" w:left="1440" w:header="720" w:footer="445" w:gutter="0"/>
      <w:pgNumType w:start="753"/>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DA645" w15:done="0"/>
  <w15:commentEx w15:paraId="074F72DA" w15:done="0"/>
  <w15:commentEx w15:paraId="1720EE36" w15:done="0"/>
  <w15:commentEx w15:paraId="3E02662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855" w:rsidRDefault="00927855" w:rsidP="000F546A">
      <w:r>
        <w:separator/>
      </w:r>
    </w:p>
  </w:endnote>
  <w:endnote w:type="continuationSeparator" w:id="1">
    <w:p w:rsidR="00927855" w:rsidRDefault="00927855" w:rsidP="000F546A">
      <w:r>
        <w:continuationSeparator/>
      </w:r>
    </w:p>
  </w:endnote>
  <w:endnote w:type="continuationNotice" w:id="2">
    <w:p w:rsidR="00927855" w:rsidRDefault="00927855"/>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ヒラギノ角ゴ Pro W3">
    <w:altName w:val="MS Mincho"/>
    <w:charset w:val="4E"/>
    <w:family w:val="auto"/>
    <w:pitch w:val="variable"/>
    <w:sig w:usb0="00000001" w:usb1="7AC7FFFF" w:usb2="00000012" w:usb3="00000000" w:csb0="0002000D" w:csb1="00000000"/>
  </w:font>
  <w:font w:name="Arial Bold">
    <w:panose1 w:val="020B0704020202020204"/>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venir 45">
    <w:altName w:val="Avenir 45"/>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ITC Cheltenham Std Book">
    <w:altName w:val="ITC Cheltenham Std Book"/>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NJYQG+AGaramondPro-Regular">
    <w:altName w:val="Garamond Pro"/>
    <w:panose1 w:val="00000000000000000000"/>
    <w:charset w:val="00"/>
    <w:family w:val="roman"/>
    <w:notTrueType/>
    <w:pitch w:val="default"/>
    <w:sig w:usb0="00000003" w:usb1="00000000" w:usb2="00000000" w:usb3="00000000" w:csb0="00000001" w:csb1="00000000"/>
  </w:font>
  <w:font w:name="Optima LT Std">
    <w:altName w:val="Optima LT St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D7" w:rsidRDefault="00C81C1F" w:rsidP="00D26E16">
    <w:pPr>
      <w:pStyle w:val="PageNumber"/>
    </w:pPr>
    <w:r>
      <w:t>E</w:t>
    </w:r>
    <w:r w:rsidR="00F120D7">
      <w:t>-</w:t>
    </w:r>
    <w:fldSimple w:instr=" PAGE   \* MERGEFORMAT ">
      <w:r w:rsidR="00C77DF3">
        <w:rPr>
          <w:noProof/>
        </w:rPr>
        <w:t>762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855" w:rsidRDefault="00927855" w:rsidP="000F546A">
      <w:r>
        <w:separator/>
      </w:r>
    </w:p>
  </w:footnote>
  <w:footnote w:type="continuationSeparator" w:id="1">
    <w:p w:rsidR="00927855" w:rsidRDefault="00927855" w:rsidP="000F546A">
      <w:r>
        <w:continuationSeparator/>
      </w:r>
    </w:p>
  </w:footnote>
  <w:footnote w:type="continuationNotice" w:id="2">
    <w:p w:rsidR="00927855" w:rsidRDefault="0092785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7CCCF2A"/>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7C1A69E4"/>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43044792"/>
    <w:lvl w:ilvl="0">
      <w:start w:val="1"/>
      <w:numFmt w:val="bullet"/>
      <w:pStyle w:val="ListBullet"/>
      <w:lvlText w:val="▪"/>
      <w:lvlJc w:val="left"/>
      <w:pPr>
        <w:ind w:left="360" w:hanging="360"/>
      </w:pPr>
      <w:rPr>
        <w:rFonts w:ascii="Verdana" w:hAnsi="Verdana" w:hint="default"/>
        <w:sz w:val="22"/>
        <w:szCs w:val="22"/>
      </w:rPr>
    </w:lvl>
  </w:abstractNum>
  <w:abstractNum w:abstractNumId="3">
    <w:nsid w:val="00B84F10"/>
    <w:multiLevelType w:val="hybridMultilevel"/>
    <w:tmpl w:val="D446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440C4"/>
    <w:multiLevelType w:val="hybridMultilevel"/>
    <w:tmpl w:val="CB4CD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06D9F"/>
    <w:multiLevelType w:val="hybridMultilevel"/>
    <w:tmpl w:val="5900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3A22E1"/>
    <w:multiLevelType w:val="hybridMultilevel"/>
    <w:tmpl w:val="55D6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840AF3"/>
    <w:multiLevelType w:val="hybridMultilevel"/>
    <w:tmpl w:val="6594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08393E"/>
    <w:multiLevelType w:val="hybridMultilevel"/>
    <w:tmpl w:val="D2F8346E"/>
    <w:lvl w:ilvl="0" w:tplc="E85CA0D2">
      <w:start w:val="1"/>
      <w:numFmt w:val="bullet"/>
      <w:pStyle w:val="bullet-1"/>
      <w:lvlText w:val=""/>
      <w:lvlJc w:val="left"/>
      <w:pPr>
        <w:ind w:left="720" w:hanging="360"/>
      </w:pPr>
      <w:rPr>
        <w:rFonts w:ascii="Wingdings" w:hAnsi="Wingdings" w:hint="default"/>
        <w:sz w:val="19"/>
        <w:szCs w:val="19"/>
      </w:rPr>
    </w:lvl>
    <w:lvl w:ilvl="1" w:tplc="3D207C26">
      <w:start w:val="1"/>
      <w:numFmt w:val="bullet"/>
      <w:pStyle w:val="bullet-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9B3179"/>
    <w:multiLevelType w:val="hybridMultilevel"/>
    <w:tmpl w:val="D1B4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5458FF"/>
    <w:multiLevelType w:val="hybridMultilevel"/>
    <w:tmpl w:val="D38C4A78"/>
    <w:lvl w:ilvl="0" w:tplc="C10C6D36">
      <w:start w:val="1"/>
      <w:numFmt w:val="bullet"/>
      <w:pStyle w:val="tablebullets-2"/>
      <w:lvlText w:val=""/>
      <w:lvlJc w:val="left"/>
      <w:pPr>
        <w:ind w:left="1109" w:hanging="360"/>
      </w:pPr>
      <w:rPr>
        <w:rFonts w:ascii="Symbol" w:hAnsi="Symbol" w:hint="default"/>
        <w:b/>
        <w:i w:val="0"/>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1">
    <w:nsid w:val="0B950FB5"/>
    <w:multiLevelType w:val="hybridMultilevel"/>
    <w:tmpl w:val="C1BCE816"/>
    <w:lvl w:ilvl="0" w:tplc="0F3AA76C">
      <w:start w:val="1"/>
      <w:numFmt w:val="bullet"/>
      <w:pStyle w:val="Bullet-10"/>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nsid w:val="0D1A5C79"/>
    <w:multiLevelType w:val="hybridMultilevel"/>
    <w:tmpl w:val="A84A9D30"/>
    <w:lvl w:ilvl="0" w:tplc="9C5AB588">
      <w:start w:val="1"/>
      <w:numFmt w:val="bullet"/>
      <w:pStyle w:val="IndentedBullets2"/>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DAD6658"/>
    <w:multiLevelType w:val="hybridMultilevel"/>
    <w:tmpl w:val="FEF0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8B0BFF"/>
    <w:multiLevelType w:val="hybridMultilevel"/>
    <w:tmpl w:val="E93C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9761A8"/>
    <w:multiLevelType w:val="hybridMultilevel"/>
    <w:tmpl w:val="97AC1B64"/>
    <w:lvl w:ilvl="0" w:tplc="4956DE28">
      <w:start w:val="1"/>
      <w:numFmt w:val="bullet"/>
      <w:pStyle w:val="a"/>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E21F47"/>
    <w:multiLevelType w:val="hybridMultilevel"/>
    <w:tmpl w:val="7E6A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C01BF6"/>
    <w:multiLevelType w:val="hybridMultilevel"/>
    <w:tmpl w:val="7F12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784861"/>
    <w:multiLevelType w:val="hybridMultilevel"/>
    <w:tmpl w:val="EE3E424C"/>
    <w:lvl w:ilvl="0" w:tplc="860E5E74">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9D162A"/>
    <w:multiLevelType w:val="hybridMultilevel"/>
    <w:tmpl w:val="D86A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8059A9"/>
    <w:multiLevelType w:val="hybridMultilevel"/>
    <w:tmpl w:val="087E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5C69EA"/>
    <w:multiLevelType w:val="hybridMultilevel"/>
    <w:tmpl w:val="F150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29771A"/>
    <w:multiLevelType w:val="hybridMultilevel"/>
    <w:tmpl w:val="82BE10BC"/>
    <w:lvl w:ilvl="0" w:tplc="38D6D360">
      <w:start w:val="1"/>
      <w:numFmt w:val="bullet"/>
      <w:pStyle w:val="IndentedBullets3"/>
      <w:lvlText w:val="-"/>
      <w:lvlJc w:val="left"/>
      <w:pPr>
        <w:ind w:left="7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1A5F56D4"/>
    <w:multiLevelType w:val="hybridMultilevel"/>
    <w:tmpl w:val="08C4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884B87"/>
    <w:multiLevelType w:val="hybridMultilevel"/>
    <w:tmpl w:val="904AC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FA5060"/>
    <w:multiLevelType w:val="hybridMultilevel"/>
    <w:tmpl w:val="9280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B55D57"/>
    <w:multiLevelType w:val="hybridMultilevel"/>
    <w:tmpl w:val="5F4C3C5C"/>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360" w:hanging="360"/>
      </w:pPr>
      <w:rPr>
        <w:rFonts w:ascii="Symbol" w:hAnsi="Symbol" w:hint="default"/>
      </w:rPr>
    </w:lvl>
    <w:lvl w:ilvl="2" w:tplc="04090005">
      <w:start w:val="1"/>
      <w:numFmt w:val="bullet"/>
      <w:pStyle w:val="Bullet-20"/>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8">
    <w:nsid w:val="1F652C77"/>
    <w:multiLevelType w:val="hybridMultilevel"/>
    <w:tmpl w:val="0288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09E1782"/>
    <w:multiLevelType w:val="hybridMultilevel"/>
    <w:tmpl w:val="A594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110126A"/>
    <w:multiLevelType w:val="hybridMultilevel"/>
    <w:tmpl w:val="437C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3C13F2"/>
    <w:multiLevelType w:val="hybridMultilevel"/>
    <w:tmpl w:val="7C3C9C46"/>
    <w:lvl w:ilvl="0" w:tplc="0F3AA76C">
      <w:start w:val="1"/>
      <w:numFmt w:val="upperLetter"/>
      <w:pStyle w:val="StyleTextbullet2LatinBodyCSArial95pt1"/>
      <w:lvlText w:val="%1."/>
      <w:lvlJc w:val="left"/>
      <w:pPr>
        <w:ind w:left="1080" w:hanging="360"/>
      </w:pPr>
      <w:rPr>
        <w:rFonts w:ascii="Times New Roman" w:eastAsia="Times New Roman" w:hAnsi="Times New Roman" w:cs="Times New Roman"/>
      </w:rPr>
    </w:lvl>
    <w:lvl w:ilvl="1" w:tplc="04090001">
      <w:start w:val="1"/>
      <w:numFmt w:val="decimal"/>
      <w:lvlText w:val="%2."/>
      <w:lvlJc w:val="left"/>
      <w:pPr>
        <w:tabs>
          <w:tab w:val="num" w:pos="1440"/>
        </w:tabs>
        <w:ind w:left="1440" w:hanging="360"/>
      </w:pPr>
      <w:rPr>
        <w:rFonts w:cs="Times New Roman"/>
      </w:rPr>
    </w:lvl>
    <w:lvl w:ilvl="2" w:tplc="F3CA4E7C">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nsid w:val="22F54DCA"/>
    <w:multiLevelType w:val="hybridMultilevel"/>
    <w:tmpl w:val="17D49ADC"/>
    <w:lvl w:ilvl="0" w:tplc="9B48C06A">
      <w:start w:val="1"/>
      <w:numFmt w:val="bullet"/>
      <w:pStyle w:val="Body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22F55C0B"/>
    <w:multiLevelType w:val="hybridMultilevel"/>
    <w:tmpl w:val="B15CB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A953D2"/>
    <w:multiLevelType w:val="hybridMultilevel"/>
    <w:tmpl w:val="CFBE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685CBF"/>
    <w:multiLevelType w:val="hybridMultilevel"/>
    <w:tmpl w:val="0930C614"/>
    <w:lvl w:ilvl="0" w:tplc="CD32B744">
      <w:start w:val="1"/>
      <w:numFmt w:val="bullet"/>
      <w:pStyle w:val="Tablebullet1"/>
      <w:lvlText w:val=""/>
      <w:lvlJc w:val="left"/>
      <w:pPr>
        <w:tabs>
          <w:tab w:val="num" w:pos="144"/>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5B30BD1"/>
    <w:multiLevelType w:val="hybridMultilevel"/>
    <w:tmpl w:val="E932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82A0333"/>
    <w:multiLevelType w:val="hybridMultilevel"/>
    <w:tmpl w:val="C31C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B8542F"/>
    <w:multiLevelType w:val="hybridMultilevel"/>
    <w:tmpl w:val="5BE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9915D24"/>
    <w:multiLevelType w:val="hybridMultilevel"/>
    <w:tmpl w:val="E16C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ADA228E"/>
    <w:multiLevelType w:val="hybridMultilevel"/>
    <w:tmpl w:val="37B81FDE"/>
    <w:lvl w:ilvl="0" w:tplc="D99CC5EC">
      <w:start w:val="1"/>
      <w:numFmt w:val="bullet"/>
      <w:lvlText w:val=""/>
      <w:lvlJc w:val="left"/>
      <w:pPr>
        <w:ind w:left="720" w:hanging="360"/>
      </w:pPr>
      <w:rPr>
        <w:rFonts w:ascii="Symbol" w:hAnsi="Symbol" w:hint="default"/>
      </w:rPr>
    </w:lvl>
    <w:lvl w:ilvl="1" w:tplc="E092C9C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B813E9B"/>
    <w:multiLevelType w:val="hybridMultilevel"/>
    <w:tmpl w:val="1148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BF20B3F"/>
    <w:multiLevelType w:val="hybridMultilevel"/>
    <w:tmpl w:val="3210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D420774"/>
    <w:multiLevelType w:val="hybridMultilevel"/>
    <w:tmpl w:val="962A4ACA"/>
    <w:lvl w:ilvl="0" w:tplc="98F804BE">
      <w:start w:val="1"/>
      <w:numFmt w:val="bullet"/>
      <w:pStyle w:val="-"/>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CD3974"/>
    <w:multiLevelType w:val="hybridMultilevel"/>
    <w:tmpl w:val="7AA6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100F12"/>
    <w:multiLevelType w:val="hybridMultilevel"/>
    <w:tmpl w:val="3CB0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496A42"/>
    <w:multiLevelType w:val="hybridMultilevel"/>
    <w:tmpl w:val="530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4B65BDF"/>
    <w:multiLevelType w:val="hybridMultilevel"/>
    <w:tmpl w:val="ADDC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5566E7F"/>
    <w:multiLevelType w:val="hybridMultilevel"/>
    <w:tmpl w:val="9C18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0C1AC2"/>
    <w:multiLevelType w:val="hybridMultilevel"/>
    <w:tmpl w:val="7940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76967DF"/>
    <w:multiLevelType w:val="hybridMultilevel"/>
    <w:tmpl w:val="4F38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77E15D3"/>
    <w:multiLevelType w:val="hybridMultilevel"/>
    <w:tmpl w:val="B8AE7C58"/>
    <w:lvl w:ilvl="0" w:tplc="D2021C04">
      <w:start w:val="1"/>
      <w:numFmt w:val="bullet"/>
      <w:pStyle w:val="Bullet-3"/>
      <w:lvlText w:val=""/>
      <w:lvlJc w:val="left"/>
      <w:pPr>
        <w:ind w:left="1121" w:hanging="360"/>
      </w:pPr>
      <w:rPr>
        <w:rFonts w:ascii="Symbol" w:hAnsi="Symbol" w:hint="default"/>
        <w:b/>
        <w:i w:val="0"/>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53">
    <w:nsid w:val="380B4C6A"/>
    <w:multiLevelType w:val="hybridMultilevel"/>
    <w:tmpl w:val="44A0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9A9594C"/>
    <w:multiLevelType w:val="hybridMultilevel"/>
    <w:tmpl w:val="FC00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EE05639"/>
    <w:multiLevelType w:val="hybridMultilevel"/>
    <w:tmpl w:val="D1EC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CB2023"/>
    <w:multiLevelType w:val="hybridMultilevel"/>
    <w:tmpl w:val="31E8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0F95A0D"/>
    <w:multiLevelType w:val="hybridMultilevel"/>
    <w:tmpl w:val="CAF6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1370DB3"/>
    <w:multiLevelType w:val="hybridMultilevel"/>
    <w:tmpl w:val="9FB6B9C6"/>
    <w:lvl w:ilvl="0" w:tplc="245A05B6">
      <w:start w:val="1"/>
      <w:numFmt w:val="bullet"/>
      <w:pStyle w:val="TableBullet"/>
      <w:lvlText w:val=""/>
      <w:lvlJc w:val="left"/>
      <w:pPr>
        <w:ind w:left="1080" w:hanging="360"/>
      </w:pPr>
      <w:rPr>
        <w:rFonts w:ascii="Symbol" w:hAnsi="Symbol" w:hint="default"/>
      </w:rPr>
    </w:lvl>
    <w:lvl w:ilvl="1" w:tplc="749ABD90">
      <w:start w:val="1"/>
      <w:numFmt w:val="bullet"/>
      <w:lvlText w:val="o"/>
      <w:lvlJc w:val="left"/>
      <w:pPr>
        <w:ind w:left="1800" w:hanging="360"/>
      </w:pPr>
      <w:rPr>
        <w:rFonts w:ascii="Courier New" w:hAnsi="Courier New" w:cs="Courier New" w:hint="default"/>
      </w:rPr>
    </w:lvl>
    <w:lvl w:ilvl="2" w:tplc="E3281F5E">
      <w:start w:val="1"/>
      <w:numFmt w:val="bullet"/>
      <w:lvlText w:val=""/>
      <w:lvlJc w:val="left"/>
      <w:pPr>
        <w:ind w:left="2520" w:hanging="360"/>
      </w:pPr>
      <w:rPr>
        <w:rFonts w:ascii="Wingdings" w:hAnsi="Wingdings" w:hint="default"/>
      </w:rPr>
    </w:lvl>
    <w:lvl w:ilvl="3" w:tplc="D0528CE2" w:tentative="1">
      <w:start w:val="1"/>
      <w:numFmt w:val="bullet"/>
      <w:lvlText w:val=""/>
      <w:lvlJc w:val="left"/>
      <w:pPr>
        <w:ind w:left="3240" w:hanging="360"/>
      </w:pPr>
      <w:rPr>
        <w:rFonts w:ascii="Symbol" w:hAnsi="Symbol" w:hint="default"/>
      </w:rPr>
    </w:lvl>
    <w:lvl w:ilvl="4" w:tplc="6234E5BA" w:tentative="1">
      <w:start w:val="1"/>
      <w:numFmt w:val="bullet"/>
      <w:lvlText w:val="o"/>
      <w:lvlJc w:val="left"/>
      <w:pPr>
        <w:ind w:left="3960" w:hanging="360"/>
      </w:pPr>
      <w:rPr>
        <w:rFonts w:ascii="Courier New" w:hAnsi="Courier New" w:cs="Courier New" w:hint="default"/>
      </w:rPr>
    </w:lvl>
    <w:lvl w:ilvl="5" w:tplc="B684707C" w:tentative="1">
      <w:start w:val="1"/>
      <w:numFmt w:val="bullet"/>
      <w:lvlText w:val=""/>
      <w:lvlJc w:val="left"/>
      <w:pPr>
        <w:ind w:left="4680" w:hanging="360"/>
      </w:pPr>
      <w:rPr>
        <w:rFonts w:ascii="Wingdings" w:hAnsi="Wingdings" w:hint="default"/>
      </w:rPr>
    </w:lvl>
    <w:lvl w:ilvl="6" w:tplc="E3DA9F56" w:tentative="1">
      <w:start w:val="1"/>
      <w:numFmt w:val="bullet"/>
      <w:lvlText w:val=""/>
      <w:lvlJc w:val="left"/>
      <w:pPr>
        <w:ind w:left="5400" w:hanging="360"/>
      </w:pPr>
      <w:rPr>
        <w:rFonts w:ascii="Symbol" w:hAnsi="Symbol" w:hint="default"/>
      </w:rPr>
    </w:lvl>
    <w:lvl w:ilvl="7" w:tplc="43F2221C" w:tentative="1">
      <w:start w:val="1"/>
      <w:numFmt w:val="bullet"/>
      <w:lvlText w:val="o"/>
      <w:lvlJc w:val="left"/>
      <w:pPr>
        <w:ind w:left="6120" w:hanging="360"/>
      </w:pPr>
      <w:rPr>
        <w:rFonts w:ascii="Courier New" w:hAnsi="Courier New" w:cs="Courier New" w:hint="default"/>
      </w:rPr>
    </w:lvl>
    <w:lvl w:ilvl="8" w:tplc="17CAE856" w:tentative="1">
      <w:start w:val="1"/>
      <w:numFmt w:val="bullet"/>
      <w:lvlText w:val=""/>
      <w:lvlJc w:val="left"/>
      <w:pPr>
        <w:ind w:left="6840" w:hanging="360"/>
      </w:pPr>
      <w:rPr>
        <w:rFonts w:ascii="Wingdings" w:hAnsi="Wingdings" w:hint="default"/>
      </w:rPr>
    </w:lvl>
  </w:abstractNum>
  <w:abstractNum w:abstractNumId="59">
    <w:nsid w:val="414250F9"/>
    <w:multiLevelType w:val="hybridMultilevel"/>
    <w:tmpl w:val="4058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3333FAD"/>
    <w:multiLevelType w:val="hybridMultilevel"/>
    <w:tmpl w:val="82AC6610"/>
    <w:lvl w:ilvl="0" w:tplc="F9E20364">
      <w:start w:val="1"/>
      <w:numFmt w:val="bullet"/>
      <w:pStyle w:val="Textbullet2"/>
      <w:lvlText w:val="–"/>
      <w:lvlJc w:val="left"/>
      <w:pPr>
        <w:ind w:left="2160" w:hanging="360"/>
      </w:pPr>
      <w:rPr>
        <w:rFonts w:ascii="Calibri" w:hAnsi="Calibri" w:hint="default"/>
      </w:rPr>
    </w:lvl>
    <w:lvl w:ilvl="1" w:tplc="895C2CB8" w:tentative="1">
      <w:start w:val="1"/>
      <w:numFmt w:val="lowerLetter"/>
      <w:lvlText w:val="%2."/>
      <w:lvlJc w:val="left"/>
      <w:pPr>
        <w:ind w:left="2880" w:hanging="360"/>
      </w:pPr>
    </w:lvl>
    <w:lvl w:ilvl="2" w:tplc="FA94BDC6" w:tentative="1">
      <w:start w:val="1"/>
      <w:numFmt w:val="lowerRoman"/>
      <w:lvlText w:val="%3."/>
      <w:lvlJc w:val="right"/>
      <w:pPr>
        <w:ind w:left="3600" w:hanging="180"/>
      </w:pPr>
    </w:lvl>
    <w:lvl w:ilvl="3" w:tplc="E8D28372" w:tentative="1">
      <w:start w:val="1"/>
      <w:numFmt w:val="decimal"/>
      <w:lvlText w:val="%4."/>
      <w:lvlJc w:val="left"/>
      <w:pPr>
        <w:ind w:left="4320" w:hanging="360"/>
      </w:pPr>
    </w:lvl>
    <w:lvl w:ilvl="4" w:tplc="382090B2" w:tentative="1">
      <w:start w:val="1"/>
      <w:numFmt w:val="lowerLetter"/>
      <w:lvlText w:val="%5."/>
      <w:lvlJc w:val="left"/>
      <w:pPr>
        <w:ind w:left="5040" w:hanging="360"/>
      </w:pPr>
    </w:lvl>
    <w:lvl w:ilvl="5" w:tplc="79505230" w:tentative="1">
      <w:start w:val="1"/>
      <w:numFmt w:val="lowerRoman"/>
      <w:lvlText w:val="%6."/>
      <w:lvlJc w:val="right"/>
      <w:pPr>
        <w:ind w:left="5760" w:hanging="180"/>
      </w:pPr>
    </w:lvl>
    <w:lvl w:ilvl="6" w:tplc="65B07BA8" w:tentative="1">
      <w:start w:val="1"/>
      <w:numFmt w:val="decimal"/>
      <w:lvlText w:val="%7."/>
      <w:lvlJc w:val="left"/>
      <w:pPr>
        <w:ind w:left="6480" w:hanging="360"/>
      </w:pPr>
    </w:lvl>
    <w:lvl w:ilvl="7" w:tplc="57FA750A" w:tentative="1">
      <w:start w:val="1"/>
      <w:numFmt w:val="lowerLetter"/>
      <w:lvlText w:val="%8."/>
      <w:lvlJc w:val="left"/>
      <w:pPr>
        <w:ind w:left="7200" w:hanging="360"/>
      </w:pPr>
    </w:lvl>
    <w:lvl w:ilvl="8" w:tplc="A5F2D394" w:tentative="1">
      <w:start w:val="1"/>
      <w:numFmt w:val="lowerRoman"/>
      <w:lvlText w:val="%9."/>
      <w:lvlJc w:val="right"/>
      <w:pPr>
        <w:ind w:left="7920" w:hanging="180"/>
      </w:pPr>
    </w:lvl>
  </w:abstractNum>
  <w:abstractNum w:abstractNumId="61">
    <w:nsid w:val="438E550B"/>
    <w:multiLevelType w:val="hybridMultilevel"/>
    <w:tmpl w:val="AF04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50B0B66"/>
    <w:multiLevelType w:val="hybridMultilevel"/>
    <w:tmpl w:val="DC82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61B3779"/>
    <w:multiLevelType w:val="hybridMultilevel"/>
    <w:tmpl w:val="D1F8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6446522"/>
    <w:multiLevelType w:val="hybridMultilevel"/>
    <w:tmpl w:val="3F1E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8621832"/>
    <w:multiLevelType w:val="hybridMultilevel"/>
    <w:tmpl w:val="CE56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8883BCC"/>
    <w:multiLevelType w:val="hybridMultilevel"/>
    <w:tmpl w:val="2A12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8D42954"/>
    <w:multiLevelType w:val="hybridMultilevel"/>
    <w:tmpl w:val="5D94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AD16ACC"/>
    <w:multiLevelType w:val="hybridMultilevel"/>
    <w:tmpl w:val="D2E2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B703E71"/>
    <w:multiLevelType w:val="hybridMultilevel"/>
    <w:tmpl w:val="8AF4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DF75164"/>
    <w:multiLevelType w:val="hybridMultilevel"/>
    <w:tmpl w:val="596E550E"/>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sz w:val="16"/>
        <w:szCs w:val="16"/>
      </w:rPr>
    </w:lvl>
    <w:lvl w:ilvl="2" w:tplc="04090003">
      <w:start w:val="1"/>
      <w:numFmt w:val="bullet"/>
      <w:lvlText w:val="o"/>
      <w:lvlJc w:val="left"/>
      <w:pPr>
        <w:tabs>
          <w:tab w:val="num" w:pos="2520"/>
        </w:tabs>
        <w:ind w:left="2520" w:hanging="360"/>
      </w:pPr>
      <w:rPr>
        <w:rFonts w:ascii="Courier New" w:hAnsi="Courier New" w:hint="default"/>
        <w:sz w:val="16"/>
        <w:szCs w:val="16"/>
      </w:rPr>
    </w:lvl>
    <w:lvl w:ilvl="3" w:tplc="12A22CF2">
      <w:start w:val="1"/>
      <w:numFmt w:val="bullet"/>
      <w:lvlText w:val="-"/>
      <w:lvlJc w:val="left"/>
      <w:pPr>
        <w:tabs>
          <w:tab w:val="num" w:pos="1440"/>
        </w:tabs>
        <w:ind w:left="1440" w:hanging="360"/>
      </w:pPr>
      <w:rPr>
        <w:rFonts w:ascii="Arial" w:hAnsi="Arial" w:hint="default"/>
        <w:sz w:val="16"/>
        <w:szCs w:val="16"/>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166004D"/>
    <w:multiLevelType w:val="hybridMultilevel"/>
    <w:tmpl w:val="5C3C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1B41B28"/>
    <w:multiLevelType w:val="hybridMultilevel"/>
    <w:tmpl w:val="E944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2276A8E"/>
    <w:multiLevelType w:val="hybridMultilevel"/>
    <w:tmpl w:val="58089D90"/>
    <w:lvl w:ilvl="0" w:tplc="3E62802C">
      <w:start w:val="1"/>
      <w:numFmt w:val="bullet"/>
      <w:pStyle w:val="TableBullet0"/>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7">
    <w:nsid w:val="523C067A"/>
    <w:multiLevelType w:val="hybridMultilevel"/>
    <w:tmpl w:val="C85AAD34"/>
    <w:lvl w:ilvl="0" w:tplc="86EECA28">
      <w:start w:val="1"/>
      <w:numFmt w:val="bullet"/>
      <w:pStyle w:val="Table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2C92B17"/>
    <w:multiLevelType w:val="hybridMultilevel"/>
    <w:tmpl w:val="AEAC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55C6256"/>
    <w:multiLevelType w:val="hybridMultilevel"/>
    <w:tmpl w:val="95EC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AAC4CCE"/>
    <w:multiLevelType w:val="hybridMultilevel"/>
    <w:tmpl w:val="69CA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B631E26"/>
    <w:multiLevelType w:val="hybridMultilevel"/>
    <w:tmpl w:val="2BAC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C0573EC"/>
    <w:multiLevelType w:val="hybridMultilevel"/>
    <w:tmpl w:val="25720350"/>
    <w:lvl w:ilvl="0" w:tplc="86F4CD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C2B372B"/>
    <w:multiLevelType w:val="hybridMultilevel"/>
    <w:tmpl w:val="4784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D026482"/>
    <w:multiLevelType w:val="hybridMultilevel"/>
    <w:tmpl w:val="53FA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E907E07"/>
    <w:multiLevelType w:val="hybridMultilevel"/>
    <w:tmpl w:val="6830825E"/>
    <w:lvl w:ilvl="0" w:tplc="4044D8B8">
      <w:start w:val="1"/>
      <w:numFmt w:val="bullet"/>
      <w:pStyle w:val="TableBullet20"/>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1AD67CB"/>
    <w:multiLevelType w:val="hybridMultilevel"/>
    <w:tmpl w:val="29A2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3370E33"/>
    <w:multiLevelType w:val="hybridMultilevel"/>
    <w:tmpl w:val="D616ADEA"/>
    <w:lvl w:ilvl="0" w:tplc="ADE81728">
      <w:start w:val="1"/>
      <w:numFmt w:val="bullet"/>
      <w:pStyle w:val="Indented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4380213"/>
    <w:multiLevelType w:val="hybridMultilevel"/>
    <w:tmpl w:val="743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44737EA"/>
    <w:multiLevelType w:val="hybridMultilevel"/>
    <w:tmpl w:val="B5E4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55C465F"/>
    <w:multiLevelType w:val="hybridMultilevel"/>
    <w:tmpl w:val="F3BA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8E73503"/>
    <w:multiLevelType w:val="hybridMultilevel"/>
    <w:tmpl w:val="F6C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A371613"/>
    <w:multiLevelType w:val="hybridMultilevel"/>
    <w:tmpl w:val="45F0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B973B35"/>
    <w:multiLevelType w:val="hybridMultilevel"/>
    <w:tmpl w:val="3A86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C6477AD"/>
    <w:multiLevelType w:val="hybridMultilevel"/>
    <w:tmpl w:val="FF70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C8A4264"/>
    <w:multiLevelType w:val="hybridMultilevel"/>
    <w:tmpl w:val="7816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DD9705D"/>
    <w:multiLevelType w:val="hybridMultilevel"/>
    <w:tmpl w:val="C77E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09E2990"/>
    <w:multiLevelType w:val="hybridMultilevel"/>
    <w:tmpl w:val="8E48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2753E56"/>
    <w:multiLevelType w:val="hybridMultilevel"/>
    <w:tmpl w:val="5B46DED6"/>
    <w:lvl w:ilvl="0" w:tplc="3FC02A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29520CE"/>
    <w:multiLevelType w:val="hybridMultilevel"/>
    <w:tmpl w:val="4F6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4C57BF3"/>
    <w:multiLevelType w:val="hybridMultilevel"/>
    <w:tmpl w:val="CFA6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5324380"/>
    <w:multiLevelType w:val="hybridMultilevel"/>
    <w:tmpl w:val="815C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6073AD1"/>
    <w:multiLevelType w:val="hybridMultilevel"/>
    <w:tmpl w:val="3060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68057B7"/>
    <w:multiLevelType w:val="hybridMultilevel"/>
    <w:tmpl w:val="BAA0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BBD4FB0"/>
    <w:multiLevelType w:val="hybridMultilevel"/>
    <w:tmpl w:val="9D96337E"/>
    <w:lvl w:ilvl="0" w:tplc="EBF24FDC">
      <w:start w:val="1"/>
      <w:numFmt w:val="bullet"/>
      <w:pStyle w:val="a0"/>
      <w:lvlText w:val=""/>
      <w:lvlJc w:val="left"/>
      <w:pPr>
        <w:ind w:left="360" w:hanging="360"/>
      </w:pPr>
      <w:rPr>
        <w:rFonts w:ascii="Symbol" w:hAnsi="Symbo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D550943"/>
    <w:multiLevelType w:val="hybridMultilevel"/>
    <w:tmpl w:val="9466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7"/>
  </w:num>
  <w:num w:numId="3">
    <w:abstractNumId w:val="12"/>
  </w:num>
  <w:num w:numId="4">
    <w:abstractNumId w:val="71"/>
  </w:num>
  <w:num w:numId="5">
    <w:abstractNumId w:val="99"/>
  </w:num>
  <w:num w:numId="6">
    <w:abstractNumId w:val="27"/>
  </w:num>
  <w:num w:numId="7">
    <w:abstractNumId w:val="11"/>
  </w:num>
  <w:num w:numId="8">
    <w:abstractNumId w:val="8"/>
  </w:num>
  <w:num w:numId="9">
    <w:abstractNumId w:val="36"/>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num>
  <w:num w:numId="12">
    <w:abstractNumId w:val="19"/>
  </w:num>
  <w:num w:numId="13">
    <w:abstractNumId w:val="33"/>
  </w:num>
  <w:num w:numId="14">
    <w:abstractNumId w:val="58"/>
  </w:num>
  <w:num w:numId="15">
    <w:abstractNumId w:val="105"/>
  </w:num>
  <w:num w:numId="16">
    <w:abstractNumId w:val="15"/>
  </w:num>
  <w:num w:numId="17">
    <w:abstractNumId w:val="44"/>
  </w:num>
  <w:num w:numId="18">
    <w:abstractNumId w:val="52"/>
  </w:num>
  <w:num w:numId="19">
    <w:abstractNumId w:val="10"/>
  </w:num>
  <w:num w:numId="20">
    <w:abstractNumId w:val="77"/>
  </w:num>
  <w:num w:numId="21">
    <w:abstractNumId w:val="2"/>
  </w:num>
  <w:num w:numId="22">
    <w:abstractNumId w:val="1"/>
  </w:num>
  <w:num w:numId="23">
    <w:abstractNumId w:val="0"/>
  </w:num>
  <w:num w:numId="24">
    <w:abstractNumId w:val="85"/>
  </w:num>
  <w:num w:numId="25">
    <w:abstractNumId w:val="76"/>
  </w:num>
  <w:num w:numId="26">
    <w:abstractNumId w:val="41"/>
  </w:num>
  <w:num w:numId="27">
    <w:abstractNumId w:val="6"/>
  </w:num>
  <w:num w:numId="28">
    <w:abstractNumId w:val="67"/>
  </w:num>
  <w:num w:numId="29">
    <w:abstractNumId w:val="46"/>
  </w:num>
  <w:num w:numId="30">
    <w:abstractNumId w:val="14"/>
  </w:num>
  <w:num w:numId="31">
    <w:abstractNumId w:val="38"/>
  </w:num>
  <w:num w:numId="32">
    <w:abstractNumId w:val="55"/>
  </w:num>
  <w:num w:numId="33">
    <w:abstractNumId w:val="20"/>
  </w:num>
  <w:num w:numId="34">
    <w:abstractNumId w:val="74"/>
  </w:num>
  <w:num w:numId="35">
    <w:abstractNumId w:val="69"/>
  </w:num>
  <w:num w:numId="36">
    <w:abstractNumId w:val="31"/>
  </w:num>
  <w:num w:numId="37">
    <w:abstractNumId w:val="42"/>
  </w:num>
  <w:num w:numId="38">
    <w:abstractNumId w:val="102"/>
  </w:num>
  <w:num w:numId="39">
    <w:abstractNumId w:val="26"/>
  </w:num>
  <w:num w:numId="40">
    <w:abstractNumId w:val="48"/>
  </w:num>
  <w:num w:numId="41">
    <w:abstractNumId w:val="54"/>
  </w:num>
  <w:num w:numId="42">
    <w:abstractNumId w:val="7"/>
  </w:num>
  <w:num w:numId="43">
    <w:abstractNumId w:val="9"/>
  </w:num>
  <w:num w:numId="44">
    <w:abstractNumId w:val="45"/>
  </w:num>
  <w:num w:numId="45">
    <w:abstractNumId w:val="73"/>
  </w:num>
  <w:num w:numId="46">
    <w:abstractNumId w:val="57"/>
  </w:num>
  <w:num w:numId="47">
    <w:abstractNumId w:val="68"/>
  </w:num>
  <w:num w:numId="48">
    <w:abstractNumId w:val="84"/>
  </w:num>
  <w:num w:numId="49">
    <w:abstractNumId w:val="28"/>
  </w:num>
  <w:num w:numId="50">
    <w:abstractNumId w:val="21"/>
  </w:num>
  <w:num w:numId="51">
    <w:abstractNumId w:val="96"/>
  </w:num>
  <w:num w:numId="52">
    <w:abstractNumId w:val="92"/>
  </w:num>
  <w:num w:numId="53">
    <w:abstractNumId w:val="75"/>
  </w:num>
  <w:num w:numId="54">
    <w:abstractNumId w:val="56"/>
  </w:num>
  <w:num w:numId="55">
    <w:abstractNumId w:val="103"/>
  </w:num>
  <w:num w:numId="56">
    <w:abstractNumId w:val="90"/>
  </w:num>
  <w:num w:numId="57">
    <w:abstractNumId w:val="97"/>
  </w:num>
  <w:num w:numId="58">
    <w:abstractNumId w:val="53"/>
  </w:num>
  <w:num w:numId="59">
    <w:abstractNumId w:val="22"/>
  </w:num>
  <w:num w:numId="60">
    <w:abstractNumId w:val="50"/>
  </w:num>
  <w:num w:numId="61">
    <w:abstractNumId w:val="93"/>
  </w:num>
  <w:num w:numId="62">
    <w:abstractNumId w:val="3"/>
  </w:num>
  <w:num w:numId="63">
    <w:abstractNumId w:val="30"/>
  </w:num>
  <w:num w:numId="64">
    <w:abstractNumId w:val="35"/>
  </w:num>
  <w:num w:numId="65">
    <w:abstractNumId w:val="95"/>
  </w:num>
  <w:num w:numId="66">
    <w:abstractNumId w:val="39"/>
  </w:num>
  <w:num w:numId="67">
    <w:abstractNumId w:val="80"/>
  </w:num>
  <w:num w:numId="68">
    <w:abstractNumId w:val="81"/>
  </w:num>
  <w:num w:numId="69">
    <w:abstractNumId w:val="83"/>
  </w:num>
  <w:num w:numId="70">
    <w:abstractNumId w:val="47"/>
  </w:num>
  <w:num w:numId="71">
    <w:abstractNumId w:val="59"/>
  </w:num>
  <w:num w:numId="72">
    <w:abstractNumId w:val="89"/>
  </w:num>
  <w:num w:numId="73">
    <w:abstractNumId w:val="40"/>
  </w:num>
  <w:num w:numId="74">
    <w:abstractNumId w:val="62"/>
  </w:num>
  <w:num w:numId="75">
    <w:abstractNumId w:val="104"/>
  </w:num>
  <w:num w:numId="76">
    <w:abstractNumId w:val="13"/>
  </w:num>
  <w:num w:numId="77">
    <w:abstractNumId w:val="101"/>
  </w:num>
  <w:num w:numId="78">
    <w:abstractNumId w:val="79"/>
  </w:num>
  <w:num w:numId="79">
    <w:abstractNumId w:val="29"/>
  </w:num>
  <w:num w:numId="80">
    <w:abstractNumId w:val="70"/>
  </w:num>
  <w:num w:numId="81">
    <w:abstractNumId w:val="16"/>
  </w:num>
  <w:num w:numId="82">
    <w:abstractNumId w:val="17"/>
  </w:num>
  <w:num w:numId="83">
    <w:abstractNumId w:val="98"/>
  </w:num>
  <w:num w:numId="84">
    <w:abstractNumId w:val="63"/>
  </w:num>
  <w:num w:numId="85">
    <w:abstractNumId w:val="66"/>
  </w:num>
  <w:num w:numId="86">
    <w:abstractNumId w:val="24"/>
  </w:num>
  <w:num w:numId="87">
    <w:abstractNumId w:val="86"/>
  </w:num>
  <w:num w:numId="88">
    <w:abstractNumId w:val="106"/>
  </w:num>
  <w:num w:numId="89">
    <w:abstractNumId w:val="49"/>
  </w:num>
  <w:num w:numId="90">
    <w:abstractNumId w:val="65"/>
  </w:num>
  <w:num w:numId="91">
    <w:abstractNumId w:val="88"/>
  </w:num>
  <w:num w:numId="92">
    <w:abstractNumId w:val="100"/>
  </w:num>
  <w:num w:numId="93">
    <w:abstractNumId w:val="51"/>
  </w:num>
  <w:num w:numId="94">
    <w:abstractNumId w:val="5"/>
  </w:num>
  <w:num w:numId="95">
    <w:abstractNumId w:val="78"/>
  </w:num>
  <w:num w:numId="96">
    <w:abstractNumId w:val="64"/>
  </w:num>
  <w:num w:numId="97">
    <w:abstractNumId w:val="61"/>
  </w:num>
  <w:num w:numId="98">
    <w:abstractNumId w:val="43"/>
  </w:num>
  <w:num w:numId="99">
    <w:abstractNumId w:val="37"/>
  </w:num>
  <w:num w:numId="100">
    <w:abstractNumId w:val="91"/>
  </w:num>
  <w:num w:numId="101">
    <w:abstractNumId w:val="94"/>
  </w:num>
  <w:num w:numId="102">
    <w:abstractNumId w:val="18"/>
  </w:num>
  <w:num w:numId="103">
    <w:abstractNumId w:val="72"/>
  </w:num>
  <w:num w:numId="104">
    <w:abstractNumId w:val="25"/>
  </w:num>
  <w:num w:numId="105">
    <w:abstractNumId w:val="34"/>
  </w:num>
  <w:num w:numId="106">
    <w:abstractNumId w:val="4"/>
  </w:num>
  <w:num w:numId="107">
    <w:abstractNumId w:val="82"/>
  </w:num>
  <w:numIdMacAtCleanup w:val="10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llen, Katherine">
    <w15:presenceInfo w15:providerId="AD" w15:userId="S-1-5-21-2101533902-423532799-1776743176-3857"/>
  </w15:person>
  <w15:person w15:author="Michael Bykowski">
    <w15:presenceInfo w15:providerId="AD" w15:userId="S-1-5-21-1078081533-1284227242-725345543-22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hideSpellingErrors/>
  <w:hideGrammaticalErrors/>
  <w:stylePaneFormatFilter w:val="2808"/>
  <w:stylePaneSortMethod w:val="000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102402"/>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v2esxfxdgpzptbevre3x9rz1rr2z5ft9fpsf&quot;&gt;BED II Official Search-Recovered-11-25-14&lt;record-ids&gt;&lt;item&gt;1&lt;/item&gt;&lt;item&gt;6&lt;/item&gt;&lt;item&gt;21&lt;/item&gt;&lt;item&gt;30&lt;/item&gt;&lt;item&gt;33&lt;/item&gt;&lt;item&gt;35&lt;/item&gt;&lt;item&gt;37&lt;/item&gt;&lt;item&gt;42&lt;/item&gt;&lt;item&gt;47&lt;/item&gt;&lt;item&gt;48&lt;/item&gt;&lt;item&gt;49&lt;/item&gt;&lt;item&gt;53&lt;/item&gt;&lt;item&gt;56&lt;/item&gt;&lt;item&gt;57&lt;/item&gt;&lt;item&gt;62&lt;/item&gt;&lt;item&gt;65&lt;/item&gt;&lt;item&gt;77&lt;/item&gt;&lt;item&gt;84&lt;/item&gt;&lt;item&gt;108&lt;/item&gt;&lt;item&gt;114&lt;/item&gt;&lt;item&gt;116&lt;/item&gt;&lt;item&gt;117&lt;/item&gt;&lt;item&gt;118&lt;/item&gt;&lt;item&gt;121&lt;/item&gt;&lt;item&gt;132&lt;/item&gt;&lt;item&gt;134&lt;/item&gt;&lt;item&gt;136&lt;/item&gt;&lt;item&gt;141&lt;/item&gt;&lt;item&gt;160&lt;/item&gt;&lt;item&gt;163&lt;/item&gt;&lt;item&gt;176&lt;/item&gt;&lt;item&gt;179&lt;/item&gt;&lt;item&gt;186&lt;/item&gt;&lt;item&gt;190&lt;/item&gt;&lt;item&gt;197&lt;/item&gt;&lt;item&gt;199&lt;/item&gt;&lt;item&gt;202&lt;/item&gt;&lt;item&gt;204&lt;/item&gt;&lt;item&gt;213&lt;/item&gt;&lt;item&gt;216&lt;/item&gt;&lt;item&gt;223&lt;/item&gt;&lt;item&gt;224&lt;/item&gt;&lt;item&gt;227&lt;/item&gt;&lt;item&gt;242&lt;/item&gt;&lt;item&gt;243&lt;/item&gt;&lt;item&gt;255&lt;/item&gt;&lt;item&gt;257&lt;/item&gt;&lt;item&gt;263&lt;/item&gt;&lt;item&gt;268&lt;/item&gt;&lt;item&gt;273&lt;/item&gt;&lt;item&gt;277&lt;/item&gt;&lt;item&gt;285&lt;/item&gt;&lt;item&gt;307&lt;/item&gt;&lt;item&gt;346&lt;/item&gt;&lt;item&gt;392&lt;/item&gt;&lt;item&gt;458&lt;/item&gt;&lt;item&gt;466&lt;/item&gt;&lt;item&gt;475&lt;/item&gt;&lt;item&gt;476&lt;/item&gt;&lt;item&gt;481&lt;/item&gt;&lt;item&gt;486&lt;/item&gt;&lt;item&gt;488&lt;/item&gt;&lt;item&gt;499&lt;/item&gt;&lt;item&gt;509&lt;/item&gt;&lt;item&gt;514&lt;/item&gt;&lt;item&gt;518&lt;/item&gt;&lt;item&gt;535&lt;/item&gt;&lt;item&gt;556&lt;/item&gt;&lt;item&gt;570&lt;/item&gt;&lt;item&gt;574&lt;/item&gt;&lt;item&gt;576&lt;/item&gt;&lt;item&gt;601&lt;/item&gt;&lt;item&gt;732&lt;/item&gt;&lt;item&gt;736&lt;/item&gt;&lt;item&gt;758&lt;/item&gt;&lt;item&gt;841&lt;/item&gt;&lt;item&gt;849&lt;/item&gt;&lt;item&gt;879&lt;/item&gt;&lt;item&gt;966&lt;/item&gt;&lt;item&gt;1108&lt;/item&gt;&lt;item&gt;1124&lt;/item&gt;&lt;item&gt;1131&lt;/item&gt;&lt;item&gt;1253&lt;/item&gt;&lt;item&gt;1299&lt;/item&gt;&lt;item&gt;1339&lt;/item&gt;&lt;item&gt;1423&lt;/item&gt;&lt;item&gt;1451&lt;/item&gt;&lt;item&gt;1483&lt;/item&gt;&lt;item&gt;1754&lt;/item&gt;&lt;item&gt;1773&lt;/item&gt;&lt;item&gt;1801&lt;/item&gt;&lt;item&gt;1814&lt;/item&gt;&lt;item&gt;1910&lt;/item&gt;&lt;item&gt;1922&lt;/item&gt;&lt;item&gt;1924&lt;/item&gt;&lt;item&gt;1943&lt;/item&gt;&lt;item&gt;1987&lt;/item&gt;&lt;item&gt;2009&lt;/item&gt;&lt;item&gt;2021&lt;/item&gt;&lt;item&gt;2243&lt;/item&gt;&lt;item&gt;2297&lt;/item&gt;&lt;item&gt;2310&lt;/item&gt;&lt;item&gt;2328&lt;/item&gt;&lt;item&gt;2333&lt;/item&gt;&lt;item&gt;2336&lt;/item&gt;&lt;item&gt;2366&lt;/item&gt;&lt;item&gt;2376&lt;/item&gt;&lt;item&gt;2377&lt;/item&gt;&lt;item&gt;2394&lt;/item&gt;&lt;item&gt;2402&lt;/item&gt;&lt;item&gt;2423&lt;/item&gt;&lt;item&gt;2430&lt;/item&gt;&lt;item&gt;2431&lt;/item&gt;&lt;item&gt;2493&lt;/item&gt;&lt;item&gt;2552&lt;/item&gt;&lt;item&gt;2558&lt;/item&gt;&lt;item&gt;2559&lt;/item&gt;&lt;item&gt;2697&lt;/item&gt;&lt;item&gt;2859&lt;/item&gt;&lt;item&gt;2911&lt;/item&gt;&lt;item&gt;3143&lt;/item&gt;&lt;item&gt;3308&lt;/item&gt;&lt;item&gt;3375&lt;/item&gt;&lt;item&gt;3624&lt;/item&gt;&lt;item&gt;3679&lt;/item&gt;&lt;item&gt;4012&lt;/item&gt;&lt;item&gt;4039&lt;/item&gt;&lt;item&gt;4046&lt;/item&gt;&lt;item&gt;4051&lt;/item&gt;&lt;item&gt;4077&lt;/item&gt;&lt;item&gt;4168&lt;/item&gt;&lt;item&gt;4173&lt;/item&gt;&lt;item&gt;4220&lt;/item&gt;&lt;item&gt;4259&lt;/item&gt;&lt;item&gt;4262&lt;/item&gt;&lt;item&gt;4263&lt;/item&gt;&lt;item&gt;4265&lt;/item&gt;&lt;item&gt;4528&lt;/item&gt;&lt;item&gt;4644&lt;/item&gt;&lt;item&gt;4834&lt;/item&gt;&lt;item&gt;5237&lt;/item&gt;&lt;item&gt;5241&lt;/item&gt;&lt;item&gt;5242&lt;/item&gt;&lt;item&gt;5245&lt;/item&gt;&lt;item&gt;5253&lt;/item&gt;&lt;item&gt;5254&lt;/item&gt;&lt;item&gt;5258&lt;/item&gt;&lt;item&gt;5260&lt;/item&gt;&lt;item&gt;5270&lt;/item&gt;&lt;item&gt;5271&lt;/item&gt;&lt;item&gt;5272&lt;/item&gt;&lt;item&gt;5285&lt;/item&gt;&lt;item&gt;5288&lt;/item&gt;&lt;item&gt;5294&lt;/item&gt;&lt;item&gt;5301&lt;/item&gt;&lt;item&gt;5319&lt;/item&gt;&lt;item&gt;5335&lt;/item&gt;&lt;item&gt;5342&lt;/item&gt;&lt;item&gt;5346&lt;/item&gt;&lt;item&gt;5351&lt;/item&gt;&lt;item&gt;5352&lt;/item&gt;&lt;item&gt;5354&lt;/item&gt;&lt;item&gt;5355&lt;/item&gt;&lt;item&gt;5357&lt;/item&gt;&lt;item&gt;5358&lt;/item&gt;&lt;item&gt;5360&lt;/item&gt;&lt;item&gt;5361&lt;/item&gt;&lt;item&gt;5362&lt;/item&gt;&lt;item&gt;5363&lt;/item&gt;&lt;item&gt;5365&lt;/item&gt;&lt;item&gt;5366&lt;/item&gt;&lt;item&gt;5367&lt;/item&gt;&lt;item&gt;5368&lt;/item&gt;&lt;item&gt;5369&lt;/item&gt;&lt;item&gt;5370&lt;/item&gt;&lt;item&gt;5371&lt;/item&gt;&lt;item&gt;5372&lt;/item&gt;&lt;item&gt;5373&lt;/item&gt;&lt;item&gt;5374&lt;/item&gt;&lt;item&gt;5375&lt;/item&gt;&lt;item&gt;5376&lt;/item&gt;&lt;item&gt;5377&lt;/item&gt;&lt;item&gt;5378&lt;/item&gt;&lt;item&gt;5379&lt;/item&gt;&lt;item&gt;5380&lt;/item&gt;&lt;item&gt;5381&lt;/item&gt;&lt;item&gt;5382&lt;/item&gt;&lt;item&gt;5383&lt;/item&gt;&lt;item&gt;5384&lt;/item&gt;&lt;item&gt;5385&lt;/item&gt;&lt;item&gt;5387&lt;/item&gt;&lt;item&gt;5388&lt;/item&gt;&lt;item&gt;5389&lt;/item&gt;&lt;item&gt;5390&lt;/item&gt;&lt;item&gt;5391&lt;/item&gt;&lt;item&gt;5392&lt;/item&gt;&lt;item&gt;5393&lt;/item&gt;&lt;item&gt;5395&lt;/item&gt;&lt;item&gt;5396&lt;/item&gt;&lt;item&gt;5397&lt;/item&gt;&lt;item&gt;5398&lt;/item&gt;&lt;item&gt;5399&lt;/item&gt;&lt;item&gt;5400&lt;/item&gt;&lt;item&gt;5401&lt;/item&gt;&lt;item&gt;5402&lt;/item&gt;&lt;item&gt;5403&lt;/item&gt;&lt;item&gt;5405&lt;/item&gt;&lt;item&gt;5406&lt;/item&gt;&lt;item&gt;5543&lt;/item&gt;&lt;item&gt;5547&lt;/item&gt;&lt;item&gt;5575&lt;/item&gt;&lt;item&gt;5576&lt;/item&gt;&lt;item&gt;5577&lt;/item&gt;&lt;item&gt;5578&lt;/item&gt;&lt;item&gt;5579&lt;/item&gt;&lt;item&gt;5581&lt;/item&gt;&lt;item&gt;5582&lt;/item&gt;&lt;item&gt;5583&lt;/item&gt;&lt;item&gt;5584&lt;/item&gt;&lt;item&gt;5585&lt;/item&gt;&lt;item&gt;5586&lt;/item&gt;&lt;item&gt;5587&lt;/item&gt;&lt;item&gt;5589&lt;/item&gt;&lt;item&gt;5592&lt;/item&gt;&lt;item&gt;5593&lt;/item&gt;&lt;item&gt;5594&lt;/item&gt;&lt;/record-ids&gt;&lt;/item&gt;&lt;/Libraries&gt;"/>
  </w:docVars>
  <w:rsids>
    <w:rsidRoot w:val="001729F3"/>
    <w:rsid w:val="00002EF6"/>
    <w:rsid w:val="00003A02"/>
    <w:rsid w:val="00006477"/>
    <w:rsid w:val="0000684C"/>
    <w:rsid w:val="00006B04"/>
    <w:rsid w:val="00006EFD"/>
    <w:rsid w:val="0000747C"/>
    <w:rsid w:val="0001042D"/>
    <w:rsid w:val="000140E5"/>
    <w:rsid w:val="00014E01"/>
    <w:rsid w:val="000155D0"/>
    <w:rsid w:val="00017378"/>
    <w:rsid w:val="0002216C"/>
    <w:rsid w:val="00022666"/>
    <w:rsid w:val="000231CA"/>
    <w:rsid w:val="000238D4"/>
    <w:rsid w:val="0002441E"/>
    <w:rsid w:val="00025DE2"/>
    <w:rsid w:val="000269EA"/>
    <w:rsid w:val="000309B8"/>
    <w:rsid w:val="00030D20"/>
    <w:rsid w:val="00031893"/>
    <w:rsid w:val="000324AC"/>
    <w:rsid w:val="00033577"/>
    <w:rsid w:val="000345A6"/>
    <w:rsid w:val="00034B7C"/>
    <w:rsid w:val="00034BD2"/>
    <w:rsid w:val="00035155"/>
    <w:rsid w:val="00036D84"/>
    <w:rsid w:val="00037774"/>
    <w:rsid w:val="00037921"/>
    <w:rsid w:val="0004013A"/>
    <w:rsid w:val="000442F6"/>
    <w:rsid w:val="00044A70"/>
    <w:rsid w:val="00045791"/>
    <w:rsid w:val="00047F65"/>
    <w:rsid w:val="00051546"/>
    <w:rsid w:val="00051A94"/>
    <w:rsid w:val="00054638"/>
    <w:rsid w:val="0005587F"/>
    <w:rsid w:val="00055A23"/>
    <w:rsid w:val="00055B4B"/>
    <w:rsid w:val="00056C15"/>
    <w:rsid w:val="0005711F"/>
    <w:rsid w:val="00057C8C"/>
    <w:rsid w:val="000601D8"/>
    <w:rsid w:val="000606BA"/>
    <w:rsid w:val="00061694"/>
    <w:rsid w:val="000619E9"/>
    <w:rsid w:val="00061A95"/>
    <w:rsid w:val="000626D9"/>
    <w:rsid w:val="00062FA1"/>
    <w:rsid w:val="00063551"/>
    <w:rsid w:val="00063A6E"/>
    <w:rsid w:val="0006408C"/>
    <w:rsid w:val="00064B74"/>
    <w:rsid w:val="00064F88"/>
    <w:rsid w:val="00065880"/>
    <w:rsid w:val="00065F28"/>
    <w:rsid w:val="00065FB9"/>
    <w:rsid w:val="00067E1A"/>
    <w:rsid w:val="00070529"/>
    <w:rsid w:val="000713E1"/>
    <w:rsid w:val="00072C3E"/>
    <w:rsid w:val="00073254"/>
    <w:rsid w:val="000733BF"/>
    <w:rsid w:val="00073A31"/>
    <w:rsid w:val="0007418F"/>
    <w:rsid w:val="00074242"/>
    <w:rsid w:val="00075536"/>
    <w:rsid w:val="00075857"/>
    <w:rsid w:val="00077005"/>
    <w:rsid w:val="00077B3C"/>
    <w:rsid w:val="00080C84"/>
    <w:rsid w:val="0008218D"/>
    <w:rsid w:val="000830E2"/>
    <w:rsid w:val="00085C36"/>
    <w:rsid w:val="00085F24"/>
    <w:rsid w:val="00086AE2"/>
    <w:rsid w:val="000877AC"/>
    <w:rsid w:val="000902F3"/>
    <w:rsid w:val="0009077A"/>
    <w:rsid w:val="00091230"/>
    <w:rsid w:val="00091438"/>
    <w:rsid w:val="000922E5"/>
    <w:rsid w:val="00092B9B"/>
    <w:rsid w:val="0009330C"/>
    <w:rsid w:val="00094172"/>
    <w:rsid w:val="00094489"/>
    <w:rsid w:val="00095674"/>
    <w:rsid w:val="000A18DF"/>
    <w:rsid w:val="000A302A"/>
    <w:rsid w:val="000A32EB"/>
    <w:rsid w:val="000A348A"/>
    <w:rsid w:val="000A36E6"/>
    <w:rsid w:val="000A3A4D"/>
    <w:rsid w:val="000A70AE"/>
    <w:rsid w:val="000B1739"/>
    <w:rsid w:val="000B3126"/>
    <w:rsid w:val="000B3440"/>
    <w:rsid w:val="000B3E26"/>
    <w:rsid w:val="000B41ED"/>
    <w:rsid w:val="000B4B79"/>
    <w:rsid w:val="000C3967"/>
    <w:rsid w:val="000D0619"/>
    <w:rsid w:val="000D136A"/>
    <w:rsid w:val="000D2C6D"/>
    <w:rsid w:val="000D2DAD"/>
    <w:rsid w:val="000D3186"/>
    <w:rsid w:val="000D3435"/>
    <w:rsid w:val="000D3A30"/>
    <w:rsid w:val="000D4149"/>
    <w:rsid w:val="000E07D2"/>
    <w:rsid w:val="000E15F9"/>
    <w:rsid w:val="000E1A2C"/>
    <w:rsid w:val="000E5053"/>
    <w:rsid w:val="000E5EE9"/>
    <w:rsid w:val="000E6BF9"/>
    <w:rsid w:val="000E77BE"/>
    <w:rsid w:val="000F0630"/>
    <w:rsid w:val="000F06D5"/>
    <w:rsid w:val="000F08F1"/>
    <w:rsid w:val="000F1725"/>
    <w:rsid w:val="000F2B35"/>
    <w:rsid w:val="000F441F"/>
    <w:rsid w:val="000F546A"/>
    <w:rsid w:val="000F62ED"/>
    <w:rsid w:val="000F7594"/>
    <w:rsid w:val="000F7FD0"/>
    <w:rsid w:val="00100398"/>
    <w:rsid w:val="00102491"/>
    <w:rsid w:val="00104C3A"/>
    <w:rsid w:val="00106404"/>
    <w:rsid w:val="00106BFD"/>
    <w:rsid w:val="00107163"/>
    <w:rsid w:val="001076A6"/>
    <w:rsid w:val="00107C3B"/>
    <w:rsid w:val="00112CED"/>
    <w:rsid w:val="00113853"/>
    <w:rsid w:val="001141B1"/>
    <w:rsid w:val="00114CF4"/>
    <w:rsid w:val="00116A7A"/>
    <w:rsid w:val="0011774D"/>
    <w:rsid w:val="001224D3"/>
    <w:rsid w:val="00125DC4"/>
    <w:rsid w:val="001277A2"/>
    <w:rsid w:val="00127D63"/>
    <w:rsid w:val="001309B0"/>
    <w:rsid w:val="00131D28"/>
    <w:rsid w:val="001348D9"/>
    <w:rsid w:val="00140054"/>
    <w:rsid w:val="00140DED"/>
    <w:rsid w:val="0014161D"/>
    <w:rsid w:val="001436AC"/>
    <w:rsid w:val="001440CE"/>
    <w:rsid w:val="00144DC6"/>
    <w:rsid w:val="00147A87"/>
    <w:rsid w:val="00150C8A"/>
    <w:rsid w:val="0015176C"/>
    <w:rsid w:val="00153C6E"/>
    <w:rsid w:val="0015457E"/>
    <w:rsid w:val="0015650D"/>
    <w:rsid w:val="001601B5"/>
    <w:rsid w:val="0016149E"/>
    <w:rsid w:val="00161992"/>
    <w:rsid w:val="0016432A"/>
    <w:rsid w:val="00164800"/>
    <w:rsid w:val="00165D7E"/>
    <w:rsid w:val="00170011"/>
    <w:rsid w:val="001711E0"/>
    <w:rsid w:val="001722D7"/>
    <w:rsid w:val="001729F3"/>
    <w:rsid w:val="00172EA5"/>
    <w:rsid w:val="00173C3C"/>
    <w:rsid w:val="001746A6"/>
    <w:rsid w:val="0017497E"/>
    <w:rsid w:val="00175C2C"/>
    <w:rsid w:val="001778B7"/>
    <w:rsid w:val="00177FC7"/>
    <w:rsid w:val="00183C8B"/>
    <w:rsid w:val="00185285"/>
    <w:rsid w:val="001855FA"/>
    <w:rsid w:val="001868C7"/>
    <w:rsid w:val="001910EF"/>
    <w:rsid w:val="00193026"/>
    <w:rsid w:val="00193C84"/>
    <w:rsid w:val="00195FA1"/>
    <w:rsid w:val="0019624F"/>
    <w:rsid w:val="001A001F"/>
    <w:rsid w:val="001A047B"/>
    <w:rsid w:val="001A1E47"/>
    <w:rsid w:val="001A3203"/>
    <w:rsid w:val="001A3402"/>
    <w:rsid w:val="001A3F78"/>
    <w:rsid w:val="001A4974"/>
    <w:rsid w:val="001A5210"/>
    <w:rsid w:val="001B1030"/>
    <w:rsid w:val="001B3301"/>
    <w:rsid w:val="001B571D"/>
    <w:rsid w:val="001B6C93"/>
    <w:rsid w:val="001B787A"/>
    <w:rsid w:val="001C10FE"/>
    <w:rsid w:val="001C2A15"/>
    <w:rsid w:val="001C2E61"/>
    <w:rsid w:val="001C4723"/>
    <w:rsid w:val="001C4911"/>
    <w:rsid w:val="001C4E91"/>
    <w:rsid w:val="001C6007"/>
    <w:rsid w:val="001D0326"/>
    <w:rsid w:val="001D1B87"/>
    <w:rsid w:val="001D1BA7"/>
    <w:rsid w:val="001D23E3"/>
    <w:rsid w:val="001D35FB"/>
    <w:rsid w:val="001D3752"/>
    <w:rsid w:val="001D678C"/>
    <w:rsid w:val="001D6E7B"/>
    <w:rsid w:val="001E0E35"/>
    <w:rsid w:val="001E36CB"/>
    <w:rsid w:val="001E3C23"/>
    <w:rsid w:val="001E4DAB"/>
    <w:rsid w:val="001E76C1"/>
    <w:rsid w:val="001F1272"/>
    <w:rsid w:val="001F222C"/>
    <w:rsid w:val="001F24C9"/>
    <w:rsid w:val="001F2E22"/>
    <w:rsid w:val="001F3543"/>
    <w:rsid w:val="001F42F9"/>
    <w:rsid w:val="001F4648"/>
    <w:rsid w:val="001F50C5"/>
    <w:rsid w:val="001F523F"/>
    <w:rsid w:val="001F5290"/>
    <w:rsid w:val="001F59D2"/>
    <w:rsid w:val="001F72A8"/>
    <w:rsid w:val="001F76BA"/>
    <w:rsid w:val="00200812"/>
    <w:rsid w:val="002018ED"/>
    <w:rsid w:val="00202B22"/>
    <w:rsid w:val="002039D1"/>
    <w:rsid w:val="00203A9F"/>
    <w:rsid w:val="00203EFA"/>
    <w:rsid w:val="002050DC"/>
    <w:rsid w:val="0020521F"/>
    <w:rsid w:val="00207E6F"/>
    <w:rsid w:val="002107D7"/>
    <w:rsid w:val="0022066A"/>
    <w:rsid w:val="00220F16"/>
    <w:rsid w:val="0022133B"/>
    <w:rsid w:val="002218AB"/>
    <w:rsid w:val="00221D4C"/>
    <w:rsid w:val="002231D5"/>
    <w:rsid w:val="00223F91"/>
    <w:rsid w:val="00224845"/>
    <w:rsid w:val="00226CCE"/>
    <w:rsid w:val="0023007F"/>
    <w:rsid w:val="00232240"/>
    <w:rsid w:val="002336B7"/>
    <w:rsid w:val="00234D7C"/>
    <w:rsid w:val="00236333"/>
    <w:rsid w:val="00236DE4"/>
    <w:rsid w:val="002378AD"/>
    <w:rsid w:val="0024095F"/>
    <w:rsid w:val="00240AC9"/>
    <w:rsid w:val="00241C4D"/>
    <w:rsid w:val="0024349F"/>
    <w:rsid w:val="0024484A"/>
    <w:rsid w:val="0024522E"/>
    <w:rsid w:val="00246A40"/>
    <w:rsid w:val="00250999"/>
    <w:rsid w:val="00252D2E"/>
    <w:rsid w:val="0025370A"/>
    <w:rsid w:val="002545E1"/>
    <w:rsid w:val="0025515D"/>
    <w:rsid w:val="00261016"/>
    <w:rsid w:val="00261A7A"/>
    <w:rsid w:val="00261DBF"/>
    <w:rsid w:val="002621AF"/>
    <w:rsid w:val="00262DB7"/>
    <w:rsid w:val="00264278"/>
    <w:rsid w:val="00267891"/>
    <w:rsid w:val="00270523"/>
    <w:rsid w:val="00270D69"/>
    <w:rsid w:val="002724BD"/>
    <w:rsid w:val="00272839"/>
    <w:rsid w:val="00273ABC"/>
    <w:rsid w:val="00273CF5"/>
    <w:rsid w:val="00273FCF"/>
    <w:rsid w:val="002741DC"/>
    <w:rsid w:val="002759A6"/>
    <w:rsid w:val="00275D6B"/>
    <w:rsid w:val="00276348"/>
    <w:rsid w:val="00276628"/>
    <w:rsid w:val="00277B23"/>
    <w:rsid w:val="0028045B"/>
    <w:rsid w:val="0028283E"/>
    <w:rsid w:val="0028287A"/>
    <w:rsid w:val="00284FC4"/>
    <w:rsid w:val="00285CB2"/>
    <w:rsid w:val="00285DCF"/>
    <w:rsid w:val="00290E70"/>
    <w:rsid w:val="00292E85"/>
    <w:rsid w:val="002939A4"/>
    <w:rsid w:val="00294316"/>
    <w:rsid w:val="002971F6"/>
    <w:rsid w:val="002A048E"/>
    <w:rsid w:val="002A0E16"/>
    <w:rsid w:val="002A3F1D"/>
    <w:rsid w:val="002A4EB5"/>
    <w:rsid w:val="002A50AA"/>
    <w:rsid w:val="002A5A05"/>
    <w:rsid w:val="002A5A85"/>
    <w:rsid w:val="002A65D8"/>
    <w:rsid w:val="002B0FCE"/>
    <w:rsid w:val="002B154C"/>
    <w:rsid w:val="002B2FF1"/>
    <w:rsid w:val="002B3332"/>
    <w:rsid w:val="002B3A40"/>
    <w:rsid w:val="002B5743"/>
    <w:rsid w:val="002B6180"/>
    <w:rsid w:val="002B6A45"/>
    <w:rsid w:val="002B6A7C"/>
    <w:rsid w:val="002C0470"/>
    <w:rsid w:val="002C117D"/>
    <w:rsid w:val="002C2B97"/>
    <w:rsid w:val="002C3F49"/>
    <w:rsid w:val="002C5209"/>
    <w:rsid w:val="002C69D3"/>
    <w:rsid w:val="002C729E"/>
    <w:rsid w:val="002D5FD4"/>
    <w:rsid w:val="002D6715"/>
    <w:rsid w:val="002D6D63"/>
    <w:rsid w:val="002D75ED"/>
    <w:rsid w:val="002E0544"/>
    <w:rsid w:val="002E107E"/>
    <w:rsid w:val="002E1470"/>
    <w:rsid w:val="002E16F3"/>
    <w:rsid w:val="002E279C"/>
    <w:rsid w:val="002E33F8"/>
    <w:rsid w:val="002E4929"/>
    <w:rsid w:val="002E4FF1"/>
    <w:rsid w:val="002E7A49"/>
    <w:rsid w:val="002F04F5"/>
    <w:rsid w:val="002F2071"/>
    <w:rsid w:val="002F2A18"/>
    <w:rsid w:val="002F2B38"/>
    <w:rsid w:val="002F4EAC"/>
    <w:rsid w:val="002F53A6"/>
    <w:rsid w:val="002F6622"/>
    <w:rsid w:val="002F6923"/>
    <w:rsid w:val="00300F24"/>
    <w:rsid w:val="00302554"/>
    <w:rsid w:val="00303780"/>
    <w:rsid w:val="00304593"/>
    <w:rsid w:val="003059B5"/>
    <w:rsid w:val="00307EE6"/>
    <w:rsid w:val="003103B5"/>
    <w:rsid w:val="00315C82"/>
    <w:rsid w:val="003218B4"/>
    <w:rsid w:val="003236AF"/>
    <w:rsid w:val="003246CC"/>
    <w:rsid w:val="0032492A"/>
    <w:rsid w:val="00324CC8"/>
    <w:rsid w:val="00325186"/>
    <w:rsid w:val="00327F89"/>
    <w:rsid w:val="00330D3D"/>
    <w:rsid w:val="003315D8"/>
    <w:rsid w:val="00333588"/>
    <w:rsid w:val="00333DD7"/>
    <w:rsid w:val="003343CE"/>
    <w:rsid w:val="00334E12"/>
    <w:rsid w:val="0033612C"/>
    <w:rsid w:val="00337EA1"/>
    <w:rsid w:val="00341F5F"/>
    <w:rsid w:val="003427DD"/>
    <w:rsid w:val="00342ECA"/>
    <w:rsid w:val="003435D9"/>
    <w:rsid w:val="0034586F"/>
    <w:rsid w:val="00345966"/>
    <w:rsid w:val="00347342"/>
    <w:rsid w:val="00347C5C"/>
    <w:rsid w:val="00347E85"/>
    <w:rsid w:val="00350283"/>
    <w:rsid w:val="00350674"/>
    <w:rsid w:val="00350C8F"/>
    <w:rsid w:val="00350D35"/>
    <w:rsid w:val="0035132A"/>
    <w:rsid w:val="00352502"/>
    <w:rsid w:val="00353592"/>
    <w:rsid w:val="00354190"/>
    <w:rsid w:val="0035426A"/>
    <w:rsid w:val="003556C6"/>
    <w:rsid w:val="00356E66"/>
    <w:rsid w:val="0035704D"/>
    <w:rsid w:val="003607AE"/>
    <w:rsid w:val="00360CC8"/>
    <w:rsid w:val="00361540"/>
    <w:rsid w:val="00362954"/>
    <w:rsid w:val="00366F6A"/>
    <w:rsid w:val="003712D6"/>
    <w:rsid w:val="003723C8"/>
    <w:rsid w:val="00376200"/>
    <w:rsid w:val="00376F31"/>
    <w:rsid w:val="00377297"/>
    <w:rsid w:val="00381176"/>
    <w:rsid w:val="00382E8B"/>
    <w:rsid w:val="00383DB6"/>
    <w:rsid w:val="003843A7"/>
    <w:rsid w:val="003845C9"/>
    <w:rsid w:val="00386937"/>
    <w:rsid w:val="0038695F"/>
    <w:rsid w:val="0039173F"/>
    <w:rsid w:val="00391BF7"/>
    <w:rsid w:val="00391DB8"/>
    <w:rsid w:val="00392631"/>
    <w:rsid w:val="00396D8C"/>
    <w:rsid w:val="00397FF8"/>
    <w:rsid w:val="003A0C9F"/>
    <w:rsid w:val="003A0E34"/>
    <w:rsid w:val="003A2294"/>
    <w:rsid w:val="003A2B6E"/>
    <w:rsid w:val="003A3324"/>
    <w:rsid w:val="003A37A2"/>
    <w:rsid w:val="003A3EED"/>
    <w:rsid w:val="003A4E0E"/>
    <w:rsid w:val="003A5642"/>
    <w:rsid w:val="003A5962"/>
    <w:rsid w:val="003A6DF5"/>
    <w:rsid w:val="003A73D5"/>
    <w:rsid w:val="003A755C"/>
    <w:rsid w:val="003B14AD"/>
    <w:rsid w:val="003B24CD"/>
    <w:rsid w:val="003B36BD"/>
    <w:rsid w:val="003B5EA2"/>
    <w:rsid w:val="003B79A5"/>
    <w:rsid w:val="003C0DDF"/>
    <w:rsid w:val="003C1308"/>
    <w:rsid w:val="003C15BE"/>
    <w:rsid w:val="003C2830"/>
    <w:rsid w:val="003C5F00"/>
    <w:rsid w:val="003C600A"/>
    <w:rsid w:val="003C7FEC"/>
    <w:rsid w:val="003D08C2"/>
    <w:rsid w:val="003D1B68"/>
    <w:rsid w:val="003D2980"/>
    <w:rsid w:val="003D34A8"/>
    <w:rsid w:val="003D36CD"/>
    <w:rsid w:val="003D3E38"/>
    <w:rsid w:val="003D564E"/>
    <w:rsid w:val="003D60E3"/>
    <w:rsid w:val="003D6437"/>
    <w:rsid w:val="003D7D73"/>
    <w:rsid w:val="003E0C7D"/>
    <w:rsid w:val="003E2532"/>
    <w:rsid w:val="003E319F"/>
    <w:rsid w:val="003E4060"/>
    <w:rsid w:val="003E6DD5"/>
    <w:rsid w:val="003E786B"/>
    <w:rsid w:val="003F1C50"/>
    <w:rsid w:val="003F2509"/>
    <w:rsid w:val="003F2F04"/>
    <w:rsid w:val="0040228F"/>
    <w:rsid w:val="00404989"/>
    <w:rsid w:val="00404DA2"/>
    <w:rsid w:val="0041103F"/>
    <w:rsid w:val="00412D1D"/>
    <w:rsid w:val="00415355"/>
    <w:rsid w:val="00416B36"/>
    <w:rsid w:val="00416EA5"/>
    <w:rsid w:val="00417484"/>
    <w:rsid w:val="00417897"/>
    <w:rsid w:val="00420C39"/>
    <w:rsid w:val="004219E2"/>
    <w:rsid w:val="0042254A"/>
    <w:rsid w:val="00422D09"/>
    <w:rsid w:val="00424F9C"/>
    <w:rsid w:val="00426186"/>
    <w:rsid w:val="004308E3"/>
    <w:rsid w:val="0043119D"/>
    <w:rsid w:val="00435D71"/>
    <w:rsid w:val="004362C0"/>
    <w:rsid w:val="00436ECB"/>
    <w:rsid w:val="00437924"/>
    <w:rsid w:val="0044071E"/>
    <w:rsid w:val="00440F09"/>
    <w:rsid w:val="004410DC"/>
    <w:rsid w:val="004418AC"/>
    <w:rsid w:val="00441B56"/>
    <w:rsid w:val="004446A1"/>
    <w:rsid w:val="00445B59"/>
    <w:rsid w:val="004463FA"/>
    <w:rsid w:val="00451811"/>
    <w:rsid w:val="00452891"/>
    <w:rsid w:val="0045398D"/>
    <w:rsid w:val="00457068"/>
    <w:rsid w:val="00460F8A"/>
    <w:rsid w:val="0046247D"/>
    <w:rsid w:val="00465FE6"/>
    <w:rsid w:val="00466A31"/>
    <w:rsid w:val="00467B76"/>
    <w:rsid w:val="00472C5F"/>
    <w:rsid w:val="00474151"/>
    <w:rsid w:val="004754EC"/>
    <w:rsid w:val="00475726"/>
    <w:rsid w:val="004775ED"/>
    <w:rsid w:val="0047764D"/>
    <w:rsid w:val="0047766A"/>
    <w:rsid w:val="004808CA"/>
    <w:rsid w:val="00482A0D"/>
    <w:rsid w:val="00484764"/>
    <w:rsid w:val="0048503C"/>
    <w:rsid w:val="00486DAA"/>
    <w:rsid w:val="00487A33"/>
    <w:rsid w:val="004900FA"/>
    <w:rsid w:val="00491F79"/>
    <w:rsid w:val="00494458"/>
    <w:rsid w:val="004A069C"/>
    <w:rsid w:val="004A1FD7"/>
    <w:rsid w:val="004A2D20"/>
    <w:rsid w:val="004A32CA"/>
    <w:rsid w:val="004A6E97"/>
    <w:rsid w:val="004B131E"/>
    <w:rsid w:val="004B1D83"/>
    <w:rsid w:val="004B7D44"/>
    <w:rsid w:val="004C066E"/>
    <w:rsid w:val="004C55F8"/>
    <w:rsid w:val="004D05C7"/>
    <w:rsid w:val="004D0864"/>
    <w:rsid w:val="004D13CB"/>
    <w:rsid w:val="004D187C"/>
    <w:rsid w:val="004D2B0C"/>
    <w:rsid w:val="004D2B47"/>
    <w:rsid w:val="004D5E36"/>
    <w:rsid w:val="004D631E"/>
    <w:rsid w:val="004E0091"/>
    <w:rsid w:val="004E0E18"/>
    <w:rsid w:val="004E10D6"/>
    <w:rsid w:val="004E1DF6"/>
    <w:rsid w:val="004E2639"/>
    <w:rsid w:val="004E345B"/>
    <w:rsid w:val="004E66C3"/>
    <w:rsid w:val="004E7A54"/>
    <w:rsid w:val="004E7E5D"/>
    <w:rsid w:val="004F1315"/>
    <w:rsid w:val="004F183F"/>
    <w:rsid w:val="004F320F"/>
    <w:rsid w:val="004F3657"/>
    <w:rsid w:val="004F41A1"/>
    <w:rsid w:val="004F4916"/>
    <w:rsid w:val="004F59F5"/>
    <w:rsid w:val="004F6641"/>
    <w:rsid w:val="004F7E78"/>
    <w:rsid w:val="00502B44"/>
    <w:rsid w:val="00503D42"/>
    <w:rsid w:val="00503DA1"/>
    <w:rsid w:val="00504114"/>
    <w:rsid w:val="005058C9"/>
    <w:rsid w:val="00506314"/>
    <w:rsid w:val="00507784"/>
    <w:rsid w:val="00507B4C"/>
    <w:rsid w:val="00510BC0"/>
    <w:rsid w:val="005111E6"/>
    <w:rsid w:val="00511845"/>
    <w:rsid w:val="005121F8"/>
    <w:rsid w:val="00513DE9"/>
    <w:rsid w:val="00514204"/>
    <w:rsid w:val="00514304"/>
    <w:rsid w:val="005154A2"/>
    <w:rsid w:val="00517361"/>
    <w:rsid w:val="00520E03"/>
    <w:rsid w:val="005231D9"/>
    <w:rsid w:val="00524637"/>
    <w:rsid w:val="00526D7A"/>
    <w:rsid w:val="0052714C"/>
    <w:rsid w:val="00527677"/>
    <w:rsid w:val="005313D3"/>
    <w:rsid w:val="00532C04"/>
    <w:rsid w:val="0053326D"/>
    <w:rsid w:val="00534FF5"/>
    <w:rsid w:val="00535896"/>
    <w:rsid w:val="00535931"/>
    <w:rsid w:val="005403D5"/>
    <w:rsid w:val="00541567"/>
    <w:rsid w:val="00541B85"/>
    <w:rsid w:val="005448AA"/>
    <w:rsid w:val="00546F0A"/>
    <w:rsid w:val="0055001F"/>
    <w:rsid w:val="00550644"/>
    <w:rsid w:val="00550D8E"/>
    <w:rsid w:val="00552552"/>
    <w:rsid w:val="0055314E"/>
    <w:rsid w:val="00553B83"/>
    <w:rsid w:val="00555C0B"/>
    <w:rsid w:val="005615E0"/>
    <w:rsid w:val="0056311A"/>
    <w:rsid w:val="00563B43"/>
    <w:rsid w:val="00570BAD"/>
    <w:rsid w:val="00572662"/>
    <w:rsid w:val="005726E8"/>
    <w:rsid w:val="00572A4A"/>
    <w:rsid w:val="0057382C"/>
    <w:rsid w:val="00573CBF"/>
    <w:rsid w:val="00575BC6"/>
    <w:rsid w:val="00577DA7"/>
    <w:rsid w:val="005802CE"/>
    <w:rsid w:val="005820C9"/>
    <w:rsid w:val="005826ED"/>
    <w:rsid w:val="005833D5"/>
    <w:rsid w:val="005837AF"/>
    <w:rsid w:val="00583F98"/>
    <w:rsid w:val="00584BA1"/>
    <w:rsid w:val="00584BB4"/>
    <w:rsid w:val="00587574"/>
    <w:rsid w:val="00590455"/>
    <w:rsid w:val="00590644"/>
    <w:rsid w:val="00592479"/>
    <w:rsid w:val="005927F8"/>
    <w:rsid w:val="00593D63"/>
    <w:rsid w:val="0059546A"/>
    <w:rsid w:val="00595BE4"/>
    <w:rsid w:val="00597448"/>
    <w:rsid w:val="00597459"/>
    <w:rsid w:val="00597699"/>
    <w:rsid w:val="005A3494"/>
    <w:rsid w:val="005A3F3D"/>
    <w:rsid w:val="005A52FE"/>
    <w:rsid w:val="005A5768"/>
    <w:rsid w:val="005A5AA5"/>
    <w:rsid w:val="005A5DAA"/>
    <w:rsid w:val="005A757E"/>
    <w:rsid w:val="005B0C3E"/>
    <w:rsid w:val="005B1737"/>
    <w:rsid w:val="005B1B8E"/>
    <w:rsid w:val="005B33C7"/>
    <w:rsid w:val="005B3985"/>
    <w:rsid w:val="005B57EF"/>
    <w:rsid w:val="005B6000"/>
    <w:rsid w:val="005C08A5"/>
    <w:rsid w:val="005C2791"/>
    <w:rsid w:val="005C3077"/>
    <w:rsid w:val="005C439B"/>
    <w:rsid w:val="005C664F"/>
    <w:rsid w:val="005C6697"/>
    <w:rsid w:val="005D02A5"/>
    <w:rsid w:val="005D23E0"/>
    <w:rsid w:val="005D474F"/>
    <w:rsid w:val="005D4CDE"/>
    <w:rsid w:val="005D5EF0"/>
    <w:rsid w:val="005D6085"/>
    <w:rsid w:val="005D773C"/>
    <w:rsid w:val="005E02DE"/>
    <w:rsid w:val="005E0B11"/>
    <w:rsid w:val="005E1826"/>
    <w:rsid w:val="005E199F"/>
    <w:rsid w:val="005E1F7F"/>
    <w:rsid w:val="005E2801"/>
    <w:rsid w:val="005E2B45"/>
    <w:rsid w:val="005E32AA"/>
    <w:rsid w:val="005E5D08"/>
    <w:rsid w:val="005E6644"/>
    <w:rsid w:val="005F3409"/>
    <w:rsid w:val="005F3DB1"/>
    <w:rsid w:val="005F48D7"/>
    <w:rsid w:val="005F505B"/>
    <w:rsid w:val="00600BB1"/>
    <w:rsid w:val="00604B5C"/>
    <w:rsid w:val="006050DC"/>
    <w:rsid w:val="00605932"/>
    <w:rsid w:val="00606AF4"/>
    <w:rsid w:val="006076F1"/>
    <w:rsid w:val="00610B62"/>
    <w:rsid w:val="00610CB2"/>
    <w:rsid w:val="00616B35"/>
    <w:rsid w:val="00617B09"/>
    <w:rsid w:val="006230AD"/>
    <w:rsid w:val="00623C97"/>
    <w:rsid w:val="00624F93"/>
    <w:rsid w:val="0063387A"/>
    <w:rsid w:val="00637BEA"/>
    <w:rsid w:val="00643199"/>
    <w:rsid w:val="00643B01"/>
    <w:rsid w:val="00646169"/>
    <w:rsid w:val="006463F3"/>
    <w:rsid w:val="006472B3"/>
    <w:rsid w:val="0065211D"/>
    <w:rsid w:val="00653790"/>
    <w:rsid w:val="006554BD"/>
    <w:rsid w:val="00655C59"/>
    <w:rsid w:val="00661407"/>
    <w:rsid w:val="00662835"/>
    <w:rsid w:val="00662C80"/>
    <w:rsid w:val="006638AA"/>
    <w:rsid w:val="00663C58"/>
    <w:rsid w:val="006642B5"/>
    <w:rsid w:val="00665C0B"/>
    <w:rsid w:val="00667E1D"/>
    <w:rsid w:val="00667E28"/>
    <w:rsid w:val="00670C9E"/>
    <w:rsid w:val="00671243"/>
    <w:rsid w:val="00672114"/>
    <w:rsid w:val="0067377C"/>
    <w:rsid w:val="00674604"/>
    <w:rsid w:val="006747FE"/>
    <w:rsid w:val="00681A42"/>
    <w:rsid w:val="00681B19"/>
    <w:rsid w:val="00682F78"/>
    <w:rsid w:val="00684450"/>
    <w:rsid w:val="006848F5"/>
    <w:rsid w:val="00684B6D"/>
    <w:rsid w:val="00686155"/>
    <w:rsid w:val="00686E9A"/>
    <w:rsid w:val="00687537"/>
    <w:rsid w:val="006904D3"/>
    <w:rsid w:val="00691DCB"/>
    <w:rsid w:val="00692B42"/>
    <w:rsid w:val="0069433C"/>
    <w:rsid w:val="00694498"/>
    <w:rsid w:val="00694972"/>
    <w:rsid w:val="006969D4"/>
    <w:rsid w:val="006970C0"/>
    <w:rsid w:val="006A5F6A"/>
    <w:rsid w:val="006A6A80"/>
    <w:rsid w:val="006A7ABE"/>
    <w:rsid w:val="006B178D"/>
    <w:rsid w:val="006B3F1E"/>
    <w:rsid w:val="006B5ABF"/>
    <w:rsid w:val="006C1F7B"/>
    <w:rsid w:val="006C3287"/>
    <w:rsid w:val="006C6FF7"/>
    <w:rsid w:val="006C7557"/>
    <w:rsid w:val="006C75C7"/>
    <w:rsid w:val="006D1451"/>
    <w:rsid w:val="006D4498"/>
    <w:rsid w:val="006D4E6F"/>
    <w:rsid w:val="006D6137"/>
    <w:rsid w:val="006D7ADE"/>
    <w:rsid w:val="006E00F4"/>
    <w:rsid w:val="006E023B"/>
    <w:rsid w:val="006E1571"/>
    <w:rsid w:val="006E2373"/>
    <w:rsid w:val="006E2A0A"/>
    <w:rsid w:val="006E36FD"/>
    <w:rsid w:val="006E46AB"/>
    <w:rsid w:val="006E5239"/>
    <w:rsid w:val="006F28B4"/>
    <w:rsid w:val="006F3CF8"/>
    <w:rsid w:val="006F4005"/>
    <w:rsid w:val="006F412A"/>
    <w:rsid w:val="006F43FC"/>
    <w:rsid w:val="006F65FD"/>
    <w:rsid w:val="006F7F0D"/>
    <w:rsid w:val="007005AB"/>
    <w:rsid w:val="00703DA7"/>
    <w:rsid w:val="00704543"/>
    <w:rsid w:val="00706F56"/>
    <w:rsid w:val="00707D35"/>
    <w:rsid w:val="00710123"/>
    <w:rsid w:val="0071223C"/>
    <w:rsid w:val="007125E9"/>
    <w:rsid w:val="007126E8"/>
    <w:rsid w:val="00714045"/>
    <w:rsid w:val="0071443F"/>
    <w:rsid w:val="007154EB"/>
    <w:rsid w:val="007157E1"/>
    <w:rsid w:val="007167E3"/>
    <w:rsid w:val="007200AD"/>
    <w:rsid w:val="007207E0"/>
    <w:rsid w:val="00723BCE"/>
    <w:rsid w:val="00725540"/>
    <w:rsid w:val="00725823"/>
    <w:rsid w:val="00725C8B"/>
    <w:rsid w:val="00725F58"/>
    <w:rsid w:val="00727113"/>
    <w:rsid w:val="00731532"/>
    <w:rsid w:val="00731AAF"/>
    <w:rsid w:val="0073226E"/>
    <w:rsid w:val="00732489"/>
    <w:rsid w:val="007337F7"/>
    <w:rsid w:val="007351D2"/>
    <w:rsid w:val="0073531C"/>
    <w:rsid w:val="00742DC6"/>
    <w:rsid w:val="00742EAB"/>
    <w:rsid w:val="007439AE"/>
    <w:rsid w:val="00743AC7"/>
    <w:rsid w:val="007445BC"/>
    <w:rsid w:val="00744782"/>
    <w:rsid w:val="00750969"/>
    <w:rsid w:val="00751138"/>
    <w:rsid w:val="00751DCE"/>
    <w:rsid w:val="00751E64"/>
    <w:rsid w:val="00757515"/>
    <w:rsid w:val="00760BD3"/>
    <w:rsid w:val="007616FF"/>
    <w:rsid w:val="00761F8D"/>
    <w:rsid w:val="007630BD"/>
    <w:rsid w:val="007634E7"/>
    <w:rsid w:val="007664BD"/>
    <w:rsid w:val="00766F7D"/>
    <w:rsid w:val="00767DC9"/>
    <w:rsid w:val="00767DE9"/>
    <w:rsid w:val="007715AB"/>
    <w:rsid w:val="0077176D"/>
    <w:rsid w:val="007730A4"/>
    <w:rsid w:val="00774B8C"/>
    <w:rsid w:val="00775FDF"/>
    <w:rsid w:val="007763EE"/>
    <w:rsid w:val="0077686F"/>
    <w:rsid w:val="00776AD5"/>
    <w:rsid w:val="007772E2"/>
    <w:rsid w:val="00777E52"/>
    <w:rsid w:val="00781E12"/>
    <w:rsid w:val="0078238D"/>
    <w:rsid w:val="00782CB3"/>
    <w:rsid w:val="007832E6"/>
    <w:rsid w:val="00783781"/>
    <w:rsid w:val="00785022"/>
    <w:rsid w:val="00787231"/>
    <w:rsid w:val="0078725D"/>
    <w:rsid w:val="00787583"/>
    <w:rsid w:val="00787D1F"/>
    <w:rsid w:val="007929DC"/>
    <w:rsid w:val="00792DDB"/>
    <w:rsid w:val="007934C6"/>
    <w:rsid w:val="00793CB0"/>
    <w:rsid w:val="00795700"/>
    <w:rsid w:val="00796396"/>
    <w:rsid w:val="007A025E"/>
    <w:rsid w:val="007A1C5B"/>
    <w:rsid w:val="007A4F05"/>
    <w:rsid w:val="007A506A"/>
    <w:rsid w:val="007A53F6"/>
    <w:rsid w:val="007A6D70"/>
    <w:rsid w:val="007A7843"/>
    <w:rsid w:val="007B2257"/>
    <w:rsid w:val="007B2CA8"/>
    <w:rsid w:val="007B4F32"/>
    <w:rsid w:val="007B501E"/>
    <w:rsid w:val="007B7756"/>
    <w:rsid w:val="007C031E"/>
    <w:rsid w:val="007C16D5"/>
    <w:rsid w:val="007C257A"/>
    <w:rsid w:val="007C2628"/>
    <w:rsid w:val="007C31EA"/>
    <w:rsid w:val="007C32E0"/>
    <w:rsid w:val="007C42E9"/>
    <w:rsid w:val="007C5097"/>
    <w:rsid w:val="007C52BD"/>
    <w:rsid w:val="007C5F48"/>
    <w:rsid w:val="007C60B6"/>
    <w:rsid w:val="007D087D"/>
    <w:rsid w:val="007D150A"/>
    <w:rsid w:val="007D199B"/>
    <w:rsid w:val="007D2856"/>
    <w:rsid w:val="007D2F47"/>
    <w:rsid w:val="007D4316"/>
    <w:rsid w:val="007D4512"/>
    <w:rsid w:val="007D5B3F"/>
    <w:rsid w:val="007D61CC"/>
    <w:rsid w:val="007D694A"/>
    <w:rsid w:val="007E0334"/>
    <w:rsid w:val="007E0697"/>
    <w:rsid w:val="007E1BC3"/>
    <w:rsid w:val="007E20BE"/>
    <w:rsid w:val="007E29FE"/>
    <w:rsid w:val="007E32B3"/>
    <w:rsid w:val="007E3CFF"/>
    <w:rsid w:val="007E531A"/>
    <w:rsid w:val="007E6343"/>
    <w:rsid w:val="007E7264"/>
    <w:rsid w:val="007E76AF"/>
    <w:rsid w:val="007F1A50"/>
    <w:rsid w:val="007F1F49"/>
    <w:rsid w:val="007F20C2"/>
    <w:rsid w:val="007F3057"/>
    <w:rsid w:val="007F46FB"/>
    <w:rsid w:val="007F59E9"/>
    <w:rsid w:val="007F6282"/>
    <w:rsid w:val="007F6663"/>
    <w:rsid w:val="007F7D15"/>
    <w:rsid w:val="00800886"/>
    <w:rsid w:val="00800C00"/>
    <w:rsid w:val="00802186"/>
    <w:rsid w:val="008027B4"/>
    <w:rsid w:val="00802CC5"/>
    <w:rsid w:val="00803C1B"/>
    <w:rsid w:val="008066F8"/>
    <w:rsid w:val="008074A1"/>
    <w:rsid w:val="00810729"/>
    <w:rsid w:val="008111B1"/>
    <w:rsid w:val="00812DC7"/>
    <w:rsid w:val="00813877"/>
    <w:rsid w:val="00820375"/>
    <w:rsid w:val="00820B78"/>
    <w:rsid w:val="00824C91"/>
    <w:rsid w:val="00825B65"/>
    <w:rsid w:val="00826AE2"/>
    <w:rsid w:val="0082747F"/>
    <w:rsid w:val="008315A4"/>
    <w:rsid w:val="00831EAF"/>
    <w:rsid w:val="008326C6"/>
    <w:rsid w:val="00833C54"/>
    <w:rsid w:val="008362E3"/>
    <w:rsid w:val="00836E3E"/>
    <w:rsid w:val="00840A26"/>
    <w:rsid w:val="00840E45"/>
    <w:rsid w:val="008433B7"/>
    <w:rsid w:val="00845C31"/>
    <w:rsid w:val="00846E1B"/>
    <w:rsid w:val="00850803"/>
    <w:rsid w:val="0085248B"/>
    <w:rsid w:val="008524D3"/>
    <w:rsid w:val="00854462"/>
    <w:rsid w:val="0085510C"/>
    <w:rsid w:val="00857B4C"/>
    <w:rsid w:val="00857C69"/>
    <w:rsid w:val="0086097D"/>
    <w:rsid w:val="00861081"/>
    <w:rsid w:val="008617CD"/>
    <w:rsid w:val="00862844"/>
    <w:rsid w:val="00862C41"/>
    <w:rsid w:val="0086491A"/>
    <w:rsid w:val="00864D6A"/>
    <w:rsid w:val="00865187"/>
    <w:rsid w:val="0086615B"/>
    <w:rsid w:val="008669C6"/>
    <w:rsid w:val="008708D8"/>
    <w:rsid w:val="00871C93"/>
    <w:rsid w:val="00873923"/>
    <w:rsid w:val="008755DD"/>
    <w:rsid w:val="008757E4"/>
    <w:rsid w:val="00876507"/>
    <w:rsid w:val="0087757B"/>
    <w:rsid w:val="00877A87"/>
    <w:rsid w:val="00880C53"/>
    <w:rsid w:val="00881D61"/>
    <w:rsid w:val="00882827"/>
    <w:rsid w:val="00882F1C"/>
    <w:rsid w:val="0088423B"/>
    <w:rsid w:val="0088431D"/>
    <w:rsid w:val="008847BB"/>
    <w:rsid w:val="008857E4"/>
    <w:rsid w:val="00886851"/>
    <w:rsid w:val="0088709C"/>
    <w:rsid w:val="00887A99"/>
    <w:rsid w:val="0089043E"/>
    <w:rsid w:val="0089260C"/>
    <w:rsid w:val="008928F4"/>
    <w:rsid w:val="0089435A"/>
    <w:rsid w:val="00895334"/>
    <w:rsid w:val="008960DE"/>
    <w:rsid w:val="0089744F"/>
    <w:rsid w:val="00897880"/>
    <w:rsid w:val="008A4433"/>
    <w:rsid w:val="008A5199"/>
    <w:rsid w:val="008A549F"/>
    <w:rsid w:val="008A7471"/>
    <w:rsid w:val="008A7FBF"/>
    <w:rsid w:val="008B1019"/>
    <w:rsid w:val="008B126E"/>
    <w:rsid w:val="008B21D0"/>
    <w:rsid w:val="008B28FA"/>
    <w:rsid w:val="008B2D4F"/>
    <w:rsid w:val="008B3D15"/>
    <w:rsid w:val="008B4E47"/>
    <w:rsid w:val="008B5DD3"/>
    <w:rsid w:val="008B6553"/>
    <w:rsid w:val="008B687A"/>
    <w:rsid w:val="008B7285"/>
    <w:rsid w:val="008B75EB"/>
    <w:rsid w:val="008C00A6"/>
    <w:rsid w:val="008C0C15"/>
    <w:rsid w:val="008C0DE5"/>
    <w:rsid w:val="008C1DBE"/>
    <w:rsid w:val="008C2F02"/>
    <w:rsid w:val="008C505A"/>
    <w:rsid w:val="008D28AB"/>
    <w:rsid w:val="008D2A8C"/>
    <w:rsid w:val="008D6862"/>
    <w:rsid w:val="008D68C5"/>
    <w:rsid w:val="008D72E3"/>
    <w:rsid w:val="008E00AE"/>
    <w:rsid w:val="008E0C37"/>
    <w:rsid w:val="008E144E"/>
    <w:rsid w:val="008E1977"/>
    <w:rsid w:val="008E2512"/>
    <w:rsid w:val="008E3187"/>
    <w:rsid w:val="008E3654"/>
    <w:rsid w:val="008E46E7"/>
    <w:rsid w:val="008E48A6"/>
    <w:rsid w:val="008E4B19"/>
    <w:rsid w:val="008E5B61"/>
    <w:rsid w:val="00900D5C"/>
    <w:rsid w:val="00901960"/>
    <w:rsid w:val="00901B36"/>
    <w:rsid w:val="00901BE7"/>
    <w:rsid w:val="009028F9"/>
    <w:rsid w:val="00905824"/>
    <w:rsid w:val="00907E0E"/>
    <w:rsid w:val="0091009D"/>
    <w:rsid w:val="009135F7"/>
    <w:rsid w:val="00917767"/>
    <w:rsid w:val="0091794A"/>
    <w:rsid w:val="009210A7"/>
    <w:rsid w:val="00922C39"/>
    <w:rsid w:val="00924F7A"/>
    <w:rsid w:val="00927726"/>
    <w:rsid w:val="00927855"/>
    <w:rsid w:val="00930453"/>
    <w:rsid w:val="0093104F"/>
    <w:rsid w:val="009320B6"/>
    <w:rsid w:val="00933E7D"/>
    <w:rsid w:val="009346F4"/>
    <w:rsid w:val="009353EC"/>
    <w:rsid w:val="009357D0"/>
    <w:rsid w:val="009359CF"/>
    <w:rsid w:val="009359F2"/>
    <w:rsid w:val="00936171"/>
    <w:rsid w:val="00941407"/>
    <w:rsid w:val="00942CD8"/>
    <w:rsid w:val="00943B2B"/>
    <w:rsid w:val="009442BD"/>
    <w:rsid w:val="00946C16"/>
    <w:rsid w:val="00947396"/>
    <w:rsid w:val="00947EA8"/>
    <w:rsid w:val="009505C8"/>
    <w:rsid w:val="00952F00"/>
    <w:rsid w:val="00955E71"/>
    <w:rsid w:val="00955ED4"/>
    <w:rsid w:val="00956EAD"/>
    <w:rsid w:val="009573C9"/>
    <w:rsid w:val="0095769C"/>
    <w:rsid w:val="00957753"/>
    <w:rsid w:val="0096134D"/>
    <w:rsid w:val="0096373A"/>
    <w:rsid w:val="009642CA"/>
    <w:rsid w:val="00964C86"/>
    <w:rsid w:val="00965407"/>
    <w:rsid w:val="00965BA8"/>
    <w:rsid w:val="00965E64"/>
    <w:rsid w:val="00966EEE"/>
    <w:rsid w:val="009673B4"/>
    <w:rsid w:val="00967E3A"/>
    <w:rsid w:val="00967E5B"/>
    <w:rsid w:val="00972010"/>
    <w:rsid w:val="009734EF"/>
    <w:rsid w:val="009740F1"/>
    <w:rsid w:val="00976DD8"/>
    <w:rsid w:val="00982772"/>
    <w:rsid w:val="00983727"/>
    <w:rsid w:val="00983E99"/>
    <w:rsid w:val="00984470"/>
    <w:rsid w:val="0098469E"/>
    <w:rsid w:val="00985448"/>
    <w:rsid w:val="00986237"/>
    <w:rsid w:val="00986945"/>
    <w:rsid w:val="00987CC4"/>
    <w:rsid w:val="00991031"/>
    <w:rsid w:val="00991A9C"/>
    <w:rsid w:val="00995BF7"/>
    <w:rsid w:val="00996116"/>
    <w:rsid w:val="009A07A8"/>
    <w:rsid w:val="009A1DA5"/>
    <w:rsid w:val="009A37AB"/>
    <w:rsid w:val="009A3B92"/>
    <w:rsid w:val="009A4A0C"/>
    <w:rsid w:val="009A5630"/>
    <w:rsid w:val="009A6B93"/>
    <w:rsid w:val="009A72F1"/>
    <w:rsid w:val="009B3DCA"/>
    <w:rsid w:val="009B5D0B"/>
    <w:rsid w:val="009B631E"/>
    <w:rsid w:val="009B6D3C"/>
    <w:rsid w:val="009B7F5F"/>
    <w:rsid w:val="009C004F"/>
    <w:rsid w:val="009C0AA2"/>
    <w:rsid w:val="009C1A60"/>
    <w:rsid w:val="009C3CC6"/>
    <w:rsid w:val="009C460D"/>
    <w:rsid w:val="009C484B"/>
    <w:rsid w:val="009C67CB"/>
    <w:rsid w:val="009C6B29"/>
    <w:rsid w:val="009C7C71"/>
    <w:rsid w:val="009D0031"/>
    <w:rsid w:val="009D1A21"/>
    <w:rsid w:val="009D2A68"/>
    <w:rsid w:val="009D327D"/>
    <w:rsid w:val="009D4302"/>
    <w:rsid w:val="009D436E"/>
    <w:rsid w:val="009D575E"/>
    <w:rsid w:val="009E0A8B"/>
    <w:rsid w:val="009E1350"/>
    <w:rsid w:val="009E41B8"/>
    <w:rsid w:val="009E4D84"/>
    <w:rsid w:val="009E5796"/>
    <w:rsid w:val="009E6C11"/>
    <w:rsid w:val="009F0A23"/>
    <w:rsid w:val="009F2B00"/>
    <w:rsid w:val="009F5E7D"/>
    <w:rsid w:val="009F7755"/>
    <w:rsid w:val="009F7EA7"/>
    <w:rsid w:val="00A018C0"/>
    <w:rsid w:val="00A03EE9"/>
    <w:rsid w:val="00A056A1"/>
    <w:rsid w:val="00A116A5"/>
    <w:rsid w:val="00A12460"/>
    <w:rsid w:val="00A126D3"/>
    <w:rsid w:val="00A12CA9"/>
    <w:rsid w:val="00A14D84"/>
    <w:rsid w:val="00A14E38"/>
    <w:rsid w:val="00A15186"/>
    <w:rsid w:val="00A151B7"/>
    <w:rsid w:val="00A15C7E"/>
    <w:rsid w:val="00A15EED"/>
    <w:rsid w:val="00A16937"/>
    <w:rsid w:val="00A1698B"/>
    <w:rsid w:val="00A208B0"/>
    <w:rsid w:val="00A26582"/>
    <w:rsid w:val="00A2760D"/>
    <w:rsid w:val="00A31060"/>
    <w:rsid w:val="00A34096"/>
    <w:rsid w:val="00A366EF"/>
    <w:rsid w:val="00A40A37"/>
    <w:rsid w:val="00A40BAF"/>
    <w:rsid w:val="00A4240B"/>
    <w:rsid w:val="00A42A37"/>
    <w:rsid w:val="00A43A89"/>
    <w:rsid w:val="00A45020"/>
    <w:rsid w:val="00A45520"/>
    <w:rsid w:val="00A45B11"/>
    <w:rsid w:val="00A45FE0"/>
    <w:rsid w:val="00A5089E"/>
    <w:rsid w:val="00A5245B"/>
    <w:rsid w:val="00A529E6"/>
    <w:rsid w:val="00A53846"/>
    <w:rsid w:val="00A55D70"/>
    <w:rsid w:val="00A56A46"/>
    <w:rsid w:val="00A570CE"/>
    <w:rsid w:val="00A571EA"/>
    <w:rsid w:val="00A6068D"/>
    <w:rsid w:val="00A60D92"/>
    <w:rsid w:val="00A61619"/>
    <w:rsid w:val="00A61EE0"/>
    <w:rsid w:val="00A62C0C"/>
    <w:rsid w:val="00A6321F"/>
    <w:rsid w:val="00A63E8B"/>
    <w:rsid w:val="00A658BB"/>
    <w:rsid w:val="00A6603D"/>
    <w:rsid w:val="00A667AE"/>
    <w:rsid w:val="00A66E70"/>
    <w:rsid w:val="00A6701D"/>
    <w:rsid w:val="00A67473"/>
    <w:rsid w:val="00A67642"/>
    <w:rsid w:val="00A67F2A"/>
    <w:rsid w:val="00A710E8"/>
    <w:rsid w:val="00A71617"/>
    <w:rsid w:val="00A7229A"/>
    <w:rsid w:val="00A734E0"/>
    <w:rsid w:val="00A73F88"/>
    <w:rsid w:val="00A74ED6"/>
    <w:rsid w:val="00A758D2"/>
    <w:rsid w:val="00A76666"/>
    <w:rsid w:val="00A76858"/>
    <w:rsid w:val="00A7727A"/>
    <w:rsid w:val="00A774B3"/>
    <w:rsid w:val="00A77C4D"/>
    <w:rsid w:val="00A8063F"/>
    <w:rsid w:val="00A819CA"/>
    <w:rsid w:val="00A82543"/>
    <w:rsid w:val="00A844E0"/>
    <w:rsid w:val="00A85806"/>
    <w:rsid w:val="00A90FE6"/>
    <w:rsid w:val="00A92407"/>
    <w:rsid w:val="00A9358A"/>
    <w:rsid w:val="00A94487"/>
    <w:rsid w:val="00A94F2C"/>
    <w:rsid w:val="00A95926"/>
    <w:rsid w:val="00A95A9B"/>
    <w:rsid w:val="00A95E68"/>
    <w:rsid w:val="00AA11EC"/>
    <w:rsid w:val="00AA28E9"/>
    <w:rsid w:val="00AA30F5"/>
    <w:rsid w:val="00AA467C"/>
    <w:rsid w:val="00AA5B6B"/>
    <w:rsid w:val="00AA661E"/>
    <w:rsid w:val="00AA6B2C"/>
    <w:rsid w:val="00AB02A6"/>
    <w:rsid w:val="00AB086F"/>
    <w:rsid w:val="00AB12D9"/>
    <w:rsid w:val="00AB13E4"/>
    <w:rsid w:val="00AB1415"/>
    <w:rsid w:val="00AB1554"/>
    <w:rsid w:val="00AB50A9"/>
    <w:rsid w:val="00AB5C54"/>
    <w:rsid w:val="00AB6EB4"/>
    <w:rsid w:val="00AC04D4"/>
    <w:rsid w:val="00AC72BC"/>
    <w:rsid w:val="00AC7A37"/>
    <w:rsid w:val="00AD0653"/>
    <w:rsid w:val="00AD0D06"/>
    <w:rsid w:val="00AD58C9"/>
    <w:rsid w:val="00AD5C6F"/>
    <w:rsid w:val="00AD7438"/>
    <w:rsid w:val="00AE03C3"/>
    <w:rsid w:val="00AE1FCA"/>
    <w:rsid w:val="00AE2C0F"/>
    <w:rsid w:val="00AE3552"/>
    <w:rsid w:val="00AE414F"/>
    <w:rsid w:val="00AE526A"/>
    <w:rsid w:val="00AE6325"/>
    <w:rsid w:val="00AE634B"/>
    <w:rsid w:val="00AE636B"/>
    <w:rsid w:val="00AE6661"/>
    <w:rsid w:val="00AF63DE"/>
    <w:rsid w:val="00B01AE0"/>
    <w:rsid w:val="00B01DBC"/>
    <w:rsid w:val="00B024DA"/>
    <w:rsid w:val="00B028FF"/>
    <w:rsid w:val="00B0359A"/>
    <w:rsid w:val="00B0525C"/>
    <w:rsid w:val="00B05526"/>
    <w:rsid w:val="00B06665"/>
    <w:rsid w:val="00B0667E"/>
    <w:rsid w:val="00B06F18"/>
    <w:rsid w:val="00B07823"/>
    <w:rsid w:val="00B10CDD"/>
    <w:rsid w:val="00B13D1A"/>
    <w:rsid w:val="00B14649"/>
    <w:rsid w:val="00B15732"/>
    <w:rsid w:val="00B15872"/>
    <w:rsid w:val="00B15C2F"/>
    <w:rsid w:val="00B16379"/>
    <w:rsid w:val="00B17032"/>
    <w:rsid w:val="00B212B0"/>
    <w:rsid w:val="00B21711"/>
    <w:rsid w:val="00B222A1"/>
    <w:rsid w:val="00B227F6"/>
    <w:rsid w:val="00B22853"/>
    <w:rsid w:val="00B2344C"/>
    <w:rsid w:val="00B240D2"/>
    <w:rsid w:val="00B25D52"/>
    <w:rsid w:val="00B30812"/>
    <w:rsid w:val="00B31ED1"/>
    <w:rsid w:val="00B322FF"/>
    <w:rsid w:val="00B339AB"/>
    <w:rsid w:val="00B33ACA"/>
    <w:rsid w:val="00B340DF"/>
    <w:rsid w:val="00B34F98"/>
    <w:rsid w:val="00B356DB"/>
    <w:rsid w:val="00B35B53"/>
    <w:rsid w:val="00B363C8"/>
    <w:rsid w:val="00B37D03"/>
    <w:rsid w:val="00B40E93"/>
    <w:rsid w:val="00B41D19"/>
    <w:rsid w:val="00B4237E"/>
    <w:rsid w:val="00B43385"/>
    <w:rsid w:val="00B437D1"/>
    <w:rsid w:val="00B43870"/>
    <w:rsid w:val="00B43BF6"/>
    <w:rsid w:val="00B46204"/>
    <w:rsid w:val="00B4627A"/>
    <w:rsid w:val="00B464DC"/>
    <w:rsid w:val="00B50213"/>
    <w:rsid w:val="00B510FA"/>
    <w:rsid w:val="00B51924"/>
    <w:rsid w:val="00B524BC"/>
    <w:rsid w:val="00B54986"/>
    <w:rsid w:val="00B54D38"/>
    <w:rsid w:val="00B54DE2"/>
    <w:rsid w:val="00B565AD"/>
    <w:rsid w:val="00B56BD3"/>
    <w:rsid w:val="00B56D22"/>
    <w:rsid w:val="00B56FDF"/>
    <w:rsid w:val="00B608F2"/>
    <w:rsid w:val="00B60E15"/>
    <w:rsid w:val="00B623BF"/>
    <w:rsid w:val="00B623D3"/>
    <w:rsid w:val="00B6494A"/>
    <w:rsid w:val="00B64FB1"/>
    <w:rsid w:val="00B6772E"/>
    <w:rsid w:val="00B704E3"/>
    <w:rsid w:val="00B710C1"/>
    <w:rsid w:val="00B711CB"/>
    <w:rsid w:val="00B71AC5"/>
    <w:rsid w:val="00B71C83"/>
    <w:rsid w:val="00B74081"/>
    <w:rsid w:val="00B76109"/>
    <w:rsid w:val="00B769C6"/>
    <w:rsid w:val="00B81DC6"/>
    <w:rsid w:val="00B826C7"/>
    <w:rsid w:val="00B84EDF"/>
    <w:rsid w:val="00B851CF"/>
    <w:rsid w:val="00B864A6"/>
    <w:rsid w:val="00B870D5"/>
    <w:rsid w:val="00B94FDF"/>
    <w:rsid w:val="00B9506A"/>
    <w:rsid w:val="00BA1FEE"/>
    <w:rsid w:val="00BA2A4A"/>
    <w:rsid w:val="00BA3B70"/>
    <w:rsid w:val="00BA3BF6"/>
    <w:rsid w:val="00BA6025"/>
    <w:rsid w:val="00BA631C"/>
    <w:rsid w:val="00BB1616"/>
    <w:rsid w:val="00BB72CD"/>
    <w:rsid w:val="00BB774D"/>
    <w:rsid w:val="00BC2120"/>
    <w:rsid w:val="00BC2657"/>
    <w:rsid w:val="00BC31A5"/>
    <w:rsid w:val="00BC4023"/>
    <w:rsid w:val="00BC4C7B"/>
    <w:rsid w:val="00BC4E0E"/>
    <w:rsid w:val="00BC4F4A"/>
    <w:rsid w:val="00BC7E95"/>
    <w:rsid w:val="00BD0542"/>
    <w:rsid w:val="00BD3258"/>
    <w:rsid w:val="00BD3A48"/>
    <w:rsid w:val="00BD43F8"/>
    <w:rsid w:val="00BD4730"/>
    <w:rsid w:val="00BD5441"/>
    <w:rsid w:val="00BD5A8F"/>
    <w:rsid w:val="00BD5AAF"/>
    <w:rsid w:val="00BD774B"/>
    <w:rsid w:val="00BD7D3A"/>
    <w:rsid w:val="00BE1B88"/>
    <w:rsid w:val="00BE2562"/>
    <w:rsid w:val="00BE3287"/>
    <w:rsid w:val="00BE3B59"/>
    <w:rsid w:val="00BE3C70"/>
    <w:rsid w:val="00BE431C"/>
    <w:rsid w:val="00BE464C"/>
    <w:rsid w:val="00BE47E1"/>
    <w:rsid w:val="00BE4C93"/>
    <w:rsid w:val="00BE563A"/>
    <w:rsid w:val="00BE61AC"/>
    <w:rsid w:val="00BE659C"/>
    <w:rsid w:val="00BE7FD1"/>
    <w:rsid w:val="00BF1021"/>
    <w:rsid w:val="00BF3518"/>
    <w:rsid w:val="00BF4142"/>
    <w:rsid w:val="00BF5438"/>
    <w:rsid w:val="00BF60B3"/>
    <w:rsid w:val="00C007B5"/>
    <w:rsid w:val="00C01338"/>
    <w:rsid w:val="00C076E5"/>
    <w:rsid w:val="00C134AB"/>
    <w:rsid w:val="00C14430"/>
    <w:rsid w:val="00C14FD5"/>
    <w:rsid w:val="00C15D4D"/>
    <w:rsid w:val="00C23352"/>
    <w:rsid w:val="00C24334"/>
    <w:rsid w:val="00C24AF4"/>
    <w:rsid w:val="00C254E7"/>
    <w:rsid w:val="00C26881"/>
    <w:rsid w:val="00C30469"/>
    <w:rsid w:val="00C3349E"/>
    <w:rsid w:val="00C33AAC"/>
    <w:rsid w:val="00C34590"/>
    <w:rsid w:val="00C3564D"/>
    <w:rsid w:val="00C36C2C"/>
    <w:rsid w:val="00C4166D"/>
    <w:rsid w:val="00C43A72"/>
    <w:rsid w:val="00C43E99"/>
    <w:rsid w:val="00C45120"/>
    <w:rsid w:val="00C4645B"/>
    <w:rsid w:val="00C464CD"/>
    <w:rsid w:val="00C469C0"/>
    <w:rsid w:val="00C47EED"/>
    <w:rsid w:val="00C5433B"/>
    <w:rsid w:val="00C55744"/>
    <w:rsid w:val="00C56AC7"/>
    <w:rsid w:val="00C57078"/>
    <w:rsid w:val="00C63EA7"/>
    <w:rsid w:val="00C666D8"/>
    <w:rsid w:val="00C668AA"/>
    <w:rsid w:val="00C674BF"/>
    <w:rsid w:val="00C707F3"/>
    <w:rsid w:val="00C709B7"/>
    <w:rsid w:val="00C7163A"/>
    <w:rsid w:val="00C72521"/>
    <w:rsid w:val="00C72D43"/>
    <w:rsid w:val="00C736ED"/>
    <w:rsid w:val="00C75DC3"/>
    <w:rsid w:val="00C7728F"/>
    <w:rsid w:val="00C77DF3"/>
    <w:rsid w:val="00C81C1F"/>
    <w:rsid w:val="00C83208"/>
    <w:rsid w:val="00C8654B"/>
    <w:rsid w:val="00C86E56"/>
    <w:rsid w:val="00C874F2"/>
    <w:rsid w:val="00C90225"/>
    <w:rsid w:val="00C91216"/>
    <w:rsid w:val="00C94178"/>
    <w:rsid w:val="00C94C43"/>
    <w:rsid w:val="00C94E98"/>
    <w:rsid w:val="00C956CE"/>
    <w:rsid w:val="00C97F70"/>
    <w:rsid w:val="00CA047B"/>
    <w:rsid w:val="00CA0ED2"/>
    <w:rsid w:val="00CA1930"/>
    <w:rsid w:val="00CA3447"/>
    <w:rsid w:val="00CA4A09"/>
    <w:rsid w:val="00CA4CDB"/>
    <w:rsid w:val="00CA61AA"/>
    <w:rsid w:val="00CA6A33"/>
    <w:rsid w:val="00CA6EDB"/>
    <w:rsid w:val="00CA794F"/>
    <w:rsid w:val="00CB1295"/>
    <w:rsid w:val="00CB158A"/>
    <w:rsid w:val="00CB2252"/>
    <w:rsid w:val="00CB5560"/>
    <w:rsid w:val="00CB72D0"/>
    <w:rsid w:val="00CC16BF"/>
    <w:rsid w:val="00CC1CB7"/>
    <w:rsid w:val="00CC3B64"/>
    <w:rsid w:val="00CC4728"/>
    <w:rsid w:val="00CC6304"/>
    <w:rsid w:val="00CC71ED"/>
    <w:rsid w:val="00CD28A0"/>
    <w:rsid w:val="00CD346F"/>
    <w:rsid w:val="00CD3AFB"/>
    <w:rsid w:val="00CD604B"/>
    <w:rsid w:val="00CD61CE"/>
    <w:rsid w:val="00CD6753"/>
    <w:rsid w:val="00CD790C"/>
    <w:rsid w:val="00CE000C"/>
    <w:rsid w:val="00CE0B4E"/>
    <w:rsid w:val="00CE3212"/>
    <w:rsid w:val="00CE3669"/>
    <w:rsid w:val="00CE3711"/>
    <w:rsid w:val="00CE3B46"/>
    <w:rsid w:val="00CE4937"/>
    <w:rsid w:val="00CE723B"/>
    <w:rsid w:val="00CE79EA"/>
    <w:rsid w:val="00CF3FF9"/>
    <w:rsid w:val="00CF45D9"/>
    <w:rsid w:val="00CF4ADE"/>
    <w:rsid w:val="00CF5269"/>
    <w:rsid w:val="00CF55F9"/>
    <w:rsid w:val="00CF679D"/>
    <w:rsid w:val="00CF67DD"/>
    <w:rsid w:val="00D002B0"/>
    <w:rsid w:val="00D01034"/>
    <w:rsid w:val="00D0208C"/>
    <w:rsid w:val="00D02DC5"/>
    <w:rsid w:val="00D05B10"/>
    <w:rsid w:val="00D06287"/>
    <w:rsid w:val="00D06749"/>
    <w:rsid w:val="00D067CF"/>
    <w:rsid w:val="00D1166D"/>
    <w:rsid w:val="00D11729"/>
    <w:rsid w:val="00D140C0"/>
    <w:rsid w:val="00D15CE2"/>
    <w:rsid w:val="00D16B0C"/>
    <w:rsid w:val="00D17953"/>
    <w:rsid w:val="00D2243E"/>
    <w:rsid w:val="00D23CEF"/>
    <w:rsid w:val="00D255E6"/>
    <w:rsid w:val="00D25896"/>
    <w:rsid w:val="00D262B7"/>
    <w:rsid w:val="00D26E16"/>
    <w:rsid w:val="00D27B98"/>
    <w:rsid w:val="00D3305F"/>
    <w:rsid w:val="00D34C56"/>
    <w:rsid w:val="00D36546"/>
    <w:rsid w:val="00D36CA1"/>
    <w:rsid w:val="00D40037"/>
    <w:rsid w:val="00D41156"/>
    <w:rsid w:val="00D42A02"/>
    <w:rsid w:val="00D46426"/>
    <w:rsid w:val="00D46C45"/>
    <w:rsid w:val="00D472B8"/>
    <w:rsid w:val="00D4770E"/>
    <w:rsid w:val="00D5006D"/>
    <w:rsid w:val="00D50DA4"/>
    <w:rsid w:val="00D52F3B"/>
    <w:rsid w:val="00D554C8"/>
    <w:rsid w:val="00D55A92"/>
    <w:rsid w:val="00D57A34"/>
    <w:rsid w:val="00D60190"/>
    <w:rsid w:val="00D6143B"/>
    <w:rsid w:val="00D61AFE"/>
    <w:rsid w:val="00D61CF8"/>
    <w:rsid w:val="00D63AB7"/>
    <w:rsid w:val="00D66F7C"/>
    <w:rsid w:val="00D7045A"/>
    <w:rsid w:val="00D7151E"/>
    <w:rsid w:val="00D74C3B"/>
    <w:rsid w:val="00D77EB8"/>
    <w:rsid w:val="00D80943"/>
    <w:rsid w:val="00D8119E"/>
    <w:rsid w:val="00D820AF"/>
    <w:rsid w:val="00D83948"/>
    <w:rsid w:val="00D84BA6"/>
    <w:rsid w:val="00D86336"/>
    <w:rsid w:val="00D86735"/>
    <w:rsid w:val="00D86757"/>
    <w:rsid w:val="00D87679"/>
    <w:rsid w:val="00D8796E"/>
    <w:rsid w:val="00D90AD6"/>
    <w:rsid w:val="00D914F7"/>
    <w:rsid w:val="00D93388"/>
    <w:rsid w:val="00D93405"/>
    <w:rsid w:val="00D93C39"/>
    <w:rsid w:val="00D9482D"/>
    <w:rsid w:val="00D9628D"/>
    <w:rsid w:val="00D97860"/>
    <w:rsid w:val="00DA2BBB"/>
    <w:rsid w:val="00DA3CCE"/>
    <w:rsid w:val="00DA3ECD"/>
    <w:rsid w:val="00DA461B"/>
    <w:rsid w:val="00DA59CA"/>
    <w:rsid w:val="00DA6ADF"/>
    <w:rsid w:val="00DA6D6D"/>
    <w:rsid w:val="00DA7A3E"/>
    <w:rsid w:val="00DA7D7D"/>
    <w:rsid w:val="00DB1743"/>
    <w:rsid w:val="00DB2BAD"/>
    <w:rsid w:val="00DB30D4"/>
    <w:rsid w:val="00DB4AF6"/>
    <w:rsid w:val="00DB54E6"/>
    <w:rsid w:val="00DB5D8A"/>
    <w:rsid w:val="00DC1F69"/>
    <w:rsid w:val="00DC2089"/>
    <w:rsid w:val="00DC2BA7"/>
    <w:rsid w:val="00DC3993"/>
    <w:rsid w:val="00DC51E6"/>
    <w:rsid w:val="00DC578D"/>
    <w:rsid w:val="00DC58B3"/>
    <w:rsid w:val="00DC5D2C"/>
    <w:rsid w:val="00DC61A0"/>
    <w:rsid w:val="00DC6618"/>
    <w:rsid w:val="00DC6C53"/>
    <w:rsid w:val="00DC6E6A"/>
    <w:rsid w:val="00DC7B20"/>
    <w:rsid w:val="00DD250A"/>
    <w:rsid w:val="00DD2C5F"/>
    <w:rsid w:val="00DD2EC4"/>
    <w:rsid w:val="00DD4AE1"/>
    <w:rsid w:val="00DD79AC"/>
    <w:rsid w:val="00DD7F97"/>
    <w:rsid w:val="00DE0169"/>
    <w:rsid w:val="00DE1B8D"/>
    <w:rsid w:val="00DE1FD1"/>
    <w:rsid w:val="00DE2902"/>
    <w:rsid w:val="00DE37C2"/>
    <w:rsid w:val="00DE542E"/>
    <w:rsid w:val="00DE577C"/>
    <w:rsid w:val="00DE57BB"/>
    <w:rsid w:val="00DE64EB"/>
    <w:rsid w:val="00DE7691"/>
    <w:rsid w:val="00DF1F73"/>
    <w:rsid w:val="00DF2F7A"/>
    <w:rsid w:val="00DF3537"/>
    <w:rsid w:val="00DF3AF1"/>
    <w:rsid w:val="00DF5176"/>
    <w:rsid w:val="00DF57B5"/>
    <w:rsid w:val="00DF593E"/>
    <w:rsid w:val="00E0028C"/>
    <w:rsid w:val="00E00E9D"/>
    <w:rsid w:val="00E011A7"/>
    <w:rsid w:val="00E01AB1"/>
    <w:rsid w:val="00E02AC2"/>
    <w:rsid w:val="00E0487B"/>
    <w:rsid w:val="00E0534E"/>
    <w:rsid w:val="00E053F7"/>
    <w:rsid w:val="00E05DEB"/>
    <w:rsid w:val="00E05E11"/>
    <w:rsid w:val="00E101E7"/>
    <w:rsid w:val="00E10210"/>
    <w:rsid w:val="00E10D42"/>
    <w:rsid w:val="00E1207A"/>
    <w:rsid w:val="00E1250C"/>
    <w:rsid w:val="00E12C32"/>
    <w:rsid w:val="00E15E9F"/>
    <w:rsid w:val="00E17023"/>
    <w:rsid w:val="00E177F1"/>
    <w:rsid w:val="00E20CB7"/>
    <w:rsid w:val="00E20F6B"/>
    <w:rsid w:val="00E223F2"/>
    <w:rsid w:val="00E23C60"/>
    <w:rsid w:val="00E23FC3"/>
    <w:rsid w:val="00E24013"/>
    <w:rsid w:val="00E249FD"/>
    <w:rsid w:val="00E2632E"/>
    <w:rsid w:val="00E27968"/>
    <w:rsid w:val="00E30A87"/>
    <w:rsid w:val="00E30B1C"/>
    <w:rsid w:val="00E31C0B"/>
    <w:rsid w:val="00E31E97"/>
    <w:rsid w:val="00E3432D"/>
    <w:rsid w:val="00E3555C"/>
    <w:rsid w:val="00E35728"/>
    <w:rsid w:val="00E36E52"/>
    <w:rsid w:val="00E36EB2"/>
    <w:rsid w:val="00E4048B"/>
    <w:rsid w:val="00E423C0"/>
    <w:rsid w:val="00E42E6A"/>
    <w:rsid w:val="00E43D74"/>
    <w:rsid w:val="00E44E15"/>
    <w:rsid w:val="00E45407"/>
    <w:rsid w:val="00E45D55"/>
    <w:rsid w:val="00E468A1"/>
    <w:rsid w:val="00E46C95"/>
    <w:rsid w:val="00E51061"/>
    <w:rsid w:val="00E515A9"/>
    <w:rsid w:val="00E51854"/>
    <w:rsid w:val="00E52D21"/>
    <w:rsid w:val="00E52FCA"/>
    <w:rsid w:val="00E53090"/>
    <w:rsid w:val="00E54549"/>
    <w:rsid w:val="00E54E40"/>
    <w:rsid w:val="00E57430"/>
    <w:rsid w:val="00E574B2"/>
    <w:rsid w:val="00E60B8B"/>
    <w:rsid w:val="00E60CDF"/>
    <w:rsid w:val="00E618DA"/>
    <w:rsid w:val="00E62302"/>
    <w:rsid w:val="00E6256D"/>
    <w:rsid w:val="00E6473F"/>
    <w:rsid w:val="00E66E71"/>
    <w:rsid w:val="00E67509"/>
    <w:rsid w:val="00E67D02"/>
    <w:rsid w:val="00E70570"/>
    <w:rsid w:val="00E7257E"/>
    <w:rsid w:val="00E72C1D"/>
    <w:rsid w:val="00E7552A"/>
    <w:rsid w:val="00E75782"/>
    <w:rsid w:val="00E767B8"/>
    <w:rsid w:val="00E771D9"/>
    <w:rsid w:val="00E80284"/>
    <w:rsid w:val="00E81B18"/>
    <w:rsid w:val="00E824B5"/>
    <w:rsid w:val="00E82B56"/>
    <w:rsid w:val="00E83142"/>
    <w:rsid w:val="00E831AD"/>
    <w:rsid w:val="00E83B32"/>
    <w:rsid w:val="00E8463D"/>
    <w:rsid w:val="00E848E6"/>
    <w:rsid w:val="00E86345"/>
    <w:rsid w:val="00E87D05"/>
    <w:rsid w:val="00E90623"/>
    <w:rsid w:val="00E9088A"/>
    <w:rsid w:val="00E93F60"/>
    <w:rsid w:val="00E968A3"/>
    <w:rsid w:val="00E96F82"/>
    <w:rsid w:val="00E97D1C"/>
    <w:rsid w:val="00E97E55"/>
    <w:rsid w:val="00EA0227"/>
    <w:rsid w:val="00EA1BB6"/>
    <w:rsid w:val="00EA2C74"/>
    <w:rsid w:val="00EA3BD2"/>
    <w:rsid w:val="00EA3C2A"/>
    <w:rsid w:val="00EA420E"/>
    <w:rsid w:val="00EA50E9"/>
    <w:rsid w:val="00EA696F"/>
    <w:rsid w:val="00EA6FA0"/>
    <w:rsid w:val="00EB0611"/>
    <w:rsid w:val="00EB0D93"/>
    <w:rsid w:val="00EB19CA"/>
    <w:rsid w:val="00EB3306"/>
    <w:rsid w:val="00EB35F1"/>
    <w:rsid w:val="00EB3FEE"/>
    <w:rsid w:val="00EB4876"/>
    <w:rsid w:val="00EB754A"/>
    <w:rsid w:val="00EC0501"/>
    <w:rsid w:val="00EC2847"/>
    <w:rsid w:val="00EC452B"/>
    <w:rsid w:val="00EC47C3"/>
    <w:rsid w:val="00EC6E7F"/>
    <w:rsid w:val="00EC738B"/>
    <w:rsid w:val="00ED7802"/>
    <w:rsid w:val="00EE08BC"/>
    <w:rsid w:val="00EE1BB9"/>
    <w:rsid w:val="00EE35BC"/>
    <w:rsid w:val="00EE4BED"/>
    <w:rsid w:val="00EE51CE"/>
    <w:rsid w:val="00EE5842"/>
    <w:rsid w:val="00EE5D5F"/>
    <w:rsid w:val="00EE778E"/>
    <w:rsid w:val="00EF0632"/>
    <w:rsid w:val="00EF0A2D"/>
    <w:rsid w:val="00EF1E5C"/>
    <w:rsid w:val="00EF267F"/>
    <w:rsid w:val="00EF316D"/>
    <w:rsid w:val="00EF3D40"/>
    <w:rsid w:val="00EF4425"/>
    <w:rsid w:val="00EF4667"/>
    <w:rsid w:val="00EF49DB"/>
    <w:rsid w:val="00EF5ED3"/>
    <w:rsid w:val="00EF6BCE"/>
    <w:rsid w:val="00EF6F23"/>
    <w:rsid w:val="00EF705B"/>
    <w:rsid w:val="00EF7B9B"/>
    <w:rsid w:val="00F03912"/>
    <w:rsid w:val="00F041A0"/>
    <w:rsid w:val="00F045D0"/>
    <w:rsid w:val="00F051D5"/>
    <w:rsid w:val="00F054A3"/>
    <w:rsid w:val="00F07846"/>
    <w:rsid w:val="00F10D20"/>
    <w:rsid w:val="00F11B0A"/>
    <w:rsid w:val="00F12000"/>
    <w:rsid w:val="00F120D7"/>
    <w:rsid w:val="00F1260B"/>
    <w:rsid w:val="00F12952"/>
    <w:rsid w:val="00F13B21"/>
    <w:rsid w:val="00F1567B"/>
    <w:rsid w:val="00F162C2"/>
    <w:rsid w:val="00F162FD"/>
    <w:rsid w:val="00F16577"/>
    <w:rsid w:val="00F203C1"/>
    <w:rsid w:val="00F2244E"/>
    <w:rsid w:val="00F23899"/>
    <w:rsid w:val="00F245F1"/>
    <w:rsid w:val="00F26D61"/>
    <w:rsid w:val="00F26DFA"/>
    <w:rsid w:val="00F318E5"/>
    <w:rsid w:val="00F324D0"/>
    <w:rsid w:val="00F32663"/>
    <w:rsid w:val="00F32689"/>
    <w:rsid w:val="00F32CF6"/>
    <w:rsid w:val="00F34F5B"/>
    <w:rsid w:val="00F35DA8"/>
    <w:rsid w:val="00F362D9"/>
    <w:rsid w:val="00F36780"/>
    <w:rsid w:val="00F3778D"/>
    <w:rsid w:val="00F41B10"/>
    <w:rsid w:val="00F424F2"/>
    <w:rsid w:val="00F4267A"/>
    <w:rsid w:val="00F4327E"/>
    <w:rsid w:val="00F44B44"/>
    <w:rsid w:val="00F4525D"/>
    <w:rsid w:val="00F45DAC"/>
    <w:rsid w:val="00F46310"/>
    <w:rsid w:val="00F4677A"/>
    <w:rsid w:val="00F467B1"/>
    <w:rsid w:val="00F467E2"/>
    <w:rsid w:val="00F46E96"/>
    <w:rsid w:val="00F4775A"/>
    <w:rsid w:val="00F47834"/>
    <w:rsid w:val="00F51978"/>
    <w:rsid w:val="00F52488"/>
    <w:rsid w:val="00F52EA3"/>
    <w:rsid w:val="00F53AB6"/>
    <w:rsid w:val="00F53F49"/>
    <w:rsid w:val="00F54EEB"/>
    <w:rsid w:val="00F55CD2"/>
    <w:rsid w:val="00F567EF"/>
    <w:rsid w:val="00F571BC"/>
    <w:rsid w:val="00F57EC1"/>
    <w:rsid w:val="00F607C8"/>
    <w:rsid w:val="00F6365C"/>
    <w:rsid w:val="00F63866"/>
    <w:rsid w:val="00F64C66"/>
    <w:rsid w:val="00F65235"/>
    <w:rsid w:val="00F657A2"/>
    <w:rsid w:val="00F657BB"/>
    <w:rsid w:val="00F6582A"/>
    <w:rsid w:val="00F65C25"/>
    <w:rsid w:val="00F67567"/>
    <w:rsid w:val="00F67DB2"/>
    <w:rsid w:val="00F67E29"/>
    <w:rsid w:val="00F70943"/>
    <w:rsid w:val="00F70AEB"/>
    <w:rsid w:val="00F70B7B"/>
    <w:rsid w:val="00F71F1E"/>
    <w:rsid w:val="00F73029"/>
    <w:rsid w:val="00F74E70"/>
    <w:rsid w:val="00F82F3F"/>
    <w:rsid w:val="00F83C64"/>
    <w:rsid w:val="00F841C3"/>
    <w:rsid w:val="00F851AB"/>
    <w:rsid w:val="00F9043B"/>
    <w:rsid w:val="00F914A4"/>
    <w:rsid w:val="00F92151"/>
    <w:rsid w:val="00F925CA"/>
    <w:rsid w:val="00F92CAC"/>
    <w:rsid w:val="00F9365B"/>
    <w:rsid w:val="00F936CF"/>
    <w:rsid w:val="00F95BEB"/>
    <w:rsid w:val="00F970AC"/>
    <w:rsid w:val="00FA146E"/>
    <w:rsid w:val="00FA246D"/>
    <w:rsid w:val="00FA2587"/>
    <w:rsid w:val="00FA3979"/>
    <w:rsid w:val="00FA56F8"/>
    <w:rsid w:val="00FA67C3"/>
    <w:rsid w:val="00FB0755"/>
    <w:rsid w:val="00FB0C53"/>
    <w:rsid w:val="00FB1F5C"/>
    <w:rsid w:val="00FB37F3"/>
    <w:rsid w:val="00FB3EC0"/>
    <w:rsid w:val="00FB41A8"/>
    <w:rsid w:val="00FB5024"/>
    <w:rsid w:val="00FB612D"/>
    <w:rsid w:val="00FC1AB0"/>
    <w:rsid w:val="00FC1C60"/>
    <w:rsid w:val="00FC3872"/>
    <w:rsid w:val="00FC5983"/>
    <w:rsid w:val="00FC5EF5"/>
    <w:rsid w:val="00FC60E0"/>
    <w:rsid w:val="00FC722F"/>
    <w:rsid w:val="00FD0D99"/>
    <w:rsid w:val="00FD19F6"/>
    <w:rsid w:val="00FD37BD"/>
    <w:rsid w:val="00FD410E"/>
    <w:rsid w:val="00FD4475"/>
    <w:rsid w:val="00FD5964"/>
    <w:rsid w:val="00FD6446"/>
    <w:rsid w:val="00FD6E7A"/>
    <w:rsid w:val="00FE1692"/>
    <w:rsid w:val="00FE1EBB"/>
    <w:rsid w:val="00FE20F2"/>
    <w:rsid w:val="00FE498C"/>
    <w:rsid w:val="00FE49E0"/>
    <w:rsid w:val="00FE4A30"/>
    <w:rsid w:val="00FE4EB5"/>
    <w:rsid w:val="00FE5818"/>
    <w:rsid w:val="00FE6289"/>
    <w:rsid w:val="00FE6DAC"/>
    <w:rsid w:val="00FF0F21"/>
    <w:rsid w:val="00FF2AAF"/>
    <w:rsid w:val="00FF3C8B"/>
    <w:rsid w:val="00FF3F5B"/>
    <w:rsid w:val="00FF505C"/>
    <w:rsid w:val="00FF62C3"/>
    <w:rsid w:val="00FF77F2"/>
    <w:rsid w:val="00FF7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macro"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No List" w:uiPriority="99"/>
    <w:lsdException w:name="Table Elegan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5E36"/>
    <w:rPr>
      <w:rFonts w:ascii="Times" w:hAnsi="Times"/>
      <w:sz w:val="24"/>
    </w:rPr>
  </w:style>
  <w:style w:type="paragraph" w:styleId="Heading1">
    <w:name w:val="heading 1"/>
    <w:basedOn w:val="Normal"/>
    <w:next w:val="Normal"/>
    <w:link w:val="Heading1Char"/>
    <w:uiPriority w:val="9"/>
    <w:unhideWhenUsed/>
    <w:locked/>
    <w:rsid w:val="001A3402"/>
    <w:pPr>
      <w:keepNext/>
      <w:spacing w:before="240" w:after="60"/>
      <w:outlineLvl w:val="0"/>
    </w:pPr>
    <w:rPr>
      <w:rFonts w:ascii="Cambria" w:hAnsi="Cambria"/>
      <w:b/>
      <w:bCs/>
      <w:kern w:val="32"/>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next w:val="Normal"/>
    <w:link w:val="Heading2Char"/>
    <w:uiPriority w:val="9"/>
    <w:qFormat/>
    <w:locked/>
    <w:rsid w:val="00A67473"/>
    <w:pPr>
      <w:keepNext/>
      <w:keepLines/>
      <w:spacing w:before="240" w:after="120"/>
      <w:ind w:left="720" w:hanging="720"/>
      <w:outlineLvl w:val="1"/>
    </w:pPr>
    <w:rPr>
      <w:rFonts w:ascii="Verdana" w:eastAsia="MS Mincho" w:hAnsi="Verdana"/>
      <w:b/>
      <w:sz w:val="24"/>
      <w:szCs w:val="24"/>
    </w:rPr>
  </w:style>
  <w:style w:type="paragraph" w:styleId="Heading3">
    <w:name w:val="heading 3"/>
    <w:next w:val="Normal"/>
    <w:link w:val="Heading3Char"/>
    <w:uiPriority w:val="9"/>
    <w:qFormat/>
    <w:locked/>
    <w:rsid w:val="00A67473"/>
    <w:pPr>
      <w:keepNext/>
      <w:keepLines/>
      <w:spacing w:before="240" w:after="120"/>
      <w:ind w:left="720" w:hanging="720"/>
      <w:outlineLvl w:val="2"/>
    </w:pPr>
    <w:rPr>
      <w:rFonts w:ascii="Verdana" w:eastAsia="MS Mincho" w:hAnsi="Verdana"/>
      <w:b/>
      <w:i/>
      <w:sz w:val="22"/>
    </w:rPr>
  </w:style>
  <w:style w:type="paragraph" w:styleId="Heading4">
    <w:name w:val="heading 4"/>
    <w:basedOn w:val="Normal"/>
    <w:next w:val="Normal"/>
    <w:link w:val="Heading4Char"/>
    <w:qFormat/>
    <w:locked/>
    <w:rsid w:val="00F362D9"/>
    <w:pPr>
      <w:keepNext/>
      <w:keepLines/>
      <w:spacing w:before="240" w:after="80"/>
      <w:outlineLvl w:val="3"/>
    </w:pPr>
    <w:rPr>
      <w:rFonts w:ascii="Verdana" w:eastAsia="MS Mincho" w:hAnsi="Verdan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028F9"/>
    <w:pPr>
      <w:tabs>
        <w:tab w:val="center" w:pos="4680"/>
        <w:tab w:val="right" w:pos="9360"/>
      </w:tabs>
    </w:pPr>
    <w:rPr>
      <w:rFonts w:ascii="Arial" w:eastAsia="ヒラギノ角ゴ Pro W3" w:hAnsi="Arial"/>
      <w:color w:val="000000"/>
      <w:sz w:val="24"/>
    </w:rPr>
  </w:style>
  <w:style w:type="paragraph" w:customStyle="1" w:styleId="Footer1">
    <w:name w:val="Footer1"/>
    <w:qFormat/>
    <w:rsid w:val="009028F9"/>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9028F9"/>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9028F9"/>
    <w:pPr>
      <w:spacing w:before="120"/>
      <w:ind w:firstLine="720"/>
    </w:pPr>
    <w:rPr>
      <w:rFonts w:ascii="Arial" w:eastAsia="ヒラギノ角ゴ Pro W3" w:hAnsi="Arial"/>
      <w:color w:val="000000"/>
      <w:sz w:val="24"/>
    </w:rPr>
  </w:style>
  <w:style w:type="paragraph" w:customStyle="1" w:styleId="HeadingI">
    <w:name w:val="Heading I"/>
    <w:basedOn w:val="Task"/>
    <w:rsid w:val="00511845"/>
    <w:pPr>
      <w:keepNext/>
      <w:tabs>
        <w:tab w:val="clear" w:pos="-1260"/>
        <w:tab w:val="left" w:pos="0"/>
      </w:tabs>
      <w:ind w:left="0" w:firstLine="0"/>
    </w:pPr>
    <w:rPr>
      <w:rFonts w:ascii="Times New Roman Bold" w:hAnsi="Times New Roman Bold"/>
    </w:rPr>
  </w:style>
  <w:style w:type="paragraph" w:customStyle="1" w:styleId="textbullets2">
    <w:name w:val="text bullets 2"/>
    <w:rsid w:val="00F26DFA"/>
    <w:pPr>
      <w:widowControl w:val="0"/>
      <w:tabs>
        <w:tab w:val="left" w:pos="720"/>
      </w:tabs>
      <w:spacing w:before="120"/>
    </w:pPr>
    <w:rPr>
      <w:rFonts w:eastAsia="ヒラギノ角ゴ Pro W3"/>
      <w:b/>
      <w:color w:val="000000"/>
      <w:sz w:val="24"/>
    </w:rPr>
  </w:style>
  <w:style w:type="paragraph" w:customStyle="1" w:styleId="text-subbullet3">
    <w:name w:val="text -sub bullet 3"/>
    <w:rsid w:val="009028F9"/>
    <w:pPr>
      <w:widowControl w:val="0"/>
      <w:tabs>
        <w:tab w:val="left" w:pos="1080"/>
      </w:tabs>
      <w:ind w:left="720" w:firstLine="360"/>
    </w:pPr>
    <w:rPr>
      <w:rFonts w:ascii="Arial" w:eastAsia="ヒラギノ角ゴ Pro W3" w:hAnsi="Arial"/>
      <w:color w:val="000000"/>
      <w:sz w:val="24"/>
    </w:rPr>
  </w:style>
  <w:style w:type="paragraph" w:customStyle="1" w:styleId="text-bullets3">
    <w:name w:val="text - bullets 3"/>
    <w:rsid w:val="009028F9"/>
    <w:pPr>
      <w:widowControl w:val="0"/>
      <w:tabs>
        <w:tab w:val="left" w:pos="1080"/>
        <w:tab w:val="left" w:pos="1440"/>
      </w:tabs>
    </w:pPr>
    <w:rPr>
      <w:rFonts w:ascii="Arial" w:eastAsia="ヒラギノ角ゴ Pro W3" w:hAnsi="Arial"/>
      <w:color w:val="000000"/>
      <w:sz w:val="24"/>
    </w:rPr>
  </w:style>
  <w:style w:type="paragraph" w:customStyle="1" w:styleId="shadedheader">
    <w:name w:val="shaded header"/>
    <w:link w:val="shadedheaderChar"/>
    <w:rsid w:val="009028F9"/>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9028F9"/>
    <w:pPr>
      <w:shd w:val="clear" w:color="auto" w:fill="FFFFFF"/>
      <w:spacing w:before="120" w:after="120"/>
      <w:ind w:firstLine="360"/>
    </w:pPr>
    <w:rPr>
      <w:rFonts w:ascii="Arial" w:eastAsia="ヒラギノ角ゴ Pro W3" w:hAnsi="Arial"/>
      <w:color w:val="000000"/>
    </w:rPr>
  </w:style>
  <w:style w:type="paragraph" w:customStyle="1" w:styleId="Default">
    <w:name w:val="Default"/>
    <w:rsid w:val="009028F9"/>
    <w:rPr>
      <w:rFonts w:eastAsia="ヒラギノ角ゴ Pro W3"/>
      <w:color w:val="000000"/>
      <w:sz w:val="24"/>
    </w:rPr>
  </w:style>
  <w:style w:type="paragraph" w:customStyle="1" w:styleId="HeadingA">
    <w:name w:val="Heading A"/>
    <w:rsid w:val="009028F9"/>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9028F9"/>
  </w:style>
  <w:style w:type="paragraph" w:customStyle="1" w:styleId="FreeForm">
    <w:name w:val="Free Form"/>
    <w:rsid w:val="009028F9"/>
    <w:rPr>
      <w:rFonts w:eastAsia="ヒラギノ角ゴ Pro W3"/>
      <w:color w:val="000000"/>
    </w:rPr>
  </w:style>
  <w:style w:type="paragraph" w:customStyle="1" w:styleId="TableGrid1">
    <w:name w:val="Table Grid1"/>
    <w:rsid w:val="009028F9"/>
    <w:rPr>
      <w:rFonts w:eastAsia="ヒラギノ角ゴ Pro W3"/>
      <w:color w:val="000000"/>
    </w:rPr>
  </w:style>
  <w:style w:type="paragraph" w:customStyle="1" w:styleId="Task">
    <w:name w:val="Task"/>
    <w:rsid w:val="009028F9"/>
    <w:pPr>
      <w:keepLines/>
      <w:tabs>
        <w:tab w:val="left" w:pos="-1260"/>
      </w:tabs>
      <w:spacing w:before="60"/>
      <w:ind w:left="360" w:firstLine="360"/>
    </w:pPr>
    <w:rPr>
      <w:rFonts w:eastAsia="ヒラギノ角ゴ Pro W3"/>
      <w:color w:val="000000"/>
      <w:sz w:val="24"/>
    </w:rPr>
  </w:style>
  <w:style w:type="paragraph" w:customStyle="1" w:styleId="CERTitle">
    <w:name w:val="CER Title"/>
    <w:rsid w:val="009028F9"/>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9028F9"/>
    <w:pPr>
      <w:jc w:val="center"/>
    </w:pPr>
    <w:rPr>
      <w:rFonts w:ascii="Arial" w:eastAsia="ヒラギノ角ゴ Pro W3" w:hAnsi="Arial"/>
      <w:color w:val="000000"/>
      <w:sz w:val="22"/>
    </w:rPr>
  </w:style>
  <w:style w:type="paragraph" w:styleId="BalloonText">
    <w:name w:val="Balloon Text"/>
    <w:basedOn w:val="Normal"/>
    <w:link w:val="BalloonTextChar"/>
    <w:uiPriority w:val="99"/>
    <w:unhideWhenUsed/>
    <w:locked/>
    <w:rsid w:val="001A3402"/>
    <w:rPr>
      <w:rFonts w:ascii="Tahoma" w:hAnsi="Tahoma" w:cs="Tahoma"/>
      <w:sz w:val="16"/>
      <w:szCs w:val="16"/>
    </w:rPr>
  </w:style>
  <w:style w:type="character" w:customStyle="1" w:styleId="BalloonTextChar">
    <w:name w:val="Balloon Text Char"/>
    <w:basedOn w:val="DefaultParagraphFont"/>
    <w:link w:val="BalloonText"/>
    <w:uiPriority w:val="99"/>
    <w:rsid w:val="00BF5438"/>
    <w:rPr>
      <w:rFonts w:ascii="Tahoma" w:hAnsi="Tahoma" w:cs="Tahoma"/>
      <w:sz w:val="16"/>
      <w:szCs w:val="16"/>
    </w:rPr>
  </w:style>
  <w:style w:type="character" w:styleId="CommentReference">
    <w:name w:val="annotation reference"/>
    <w:basedOn w:val="DefaultParagraphFont"/>
    <w:locked/>
    <w:rsid w:val="001A3402"/>
    <w:rPr>
      <w:sz w:val="16"/>
      <w:szCs w:val="16"/>
    </w:rPr>
  </w:style>
  <w:style w:type="paragraph" w:styleId="CommentText">
    <w:name w:val="annotation text"/>
    <w:basedOn w:val="Normal"/>
    <w:link w:val="CommentTextChar"/>
    <w:locked/>
    <w:rsid w:val="001A3402"/>
    <w:pPr>
      <w:spacing w:before="240" w:after="60"/>
    </w:pPr>
    <w:rPr>
      <w:rFonts w:ascii="Calibri" w:eastAsia="Calibri" w:hAnsi="Calibri"/>
      <w:sz w:val="20"/>
    </w:rPr>
  </w:style>
  <w:style w:type="character" w:customStyle="1" w:styleId="CommentTextChar">
    <w:name w:val="Comment Text Char"/>
    <w:basedOn w:val="DefaultParagraphFont"/>
    <w:link w:val="CommentText"/>
    <w:rsid w:val="009028F9"/>
    <w:rPr>
      <w:rFonts w:ascii="Calibri" w:eastAsia="Calibri" w:hAnsi="Calibri"/>
    </w:rPr>
  </w:style>
  <w:style w:type="paragraph" w:styleId="CommentSubject">
    <w:name w:val="annotation subject"/>
    <w:basedOn w:val="CommentText"/>
    <w:next w:val="CommentText"/>
    <w:link w:val="CommentSubjectChar"/>
    <w:locked/>
    <w:rsid w:val="001A3402"/>
    <w:rPr>
      <w:b/>
      <w:bCs/>
    </w:rPr>
  </w:style>
  <w:style w:type="character" w:customStyle="1" w:styleId="CommentSubjectChar">
    <w:name w:val="Comment Subject Char"/>
    <w:basedOn w:val="CommentTextChar"/>
    <w:link w:val="CommentSubject"/>
    <w:rsid w:val="009028F9"/>
    <w:rPr>
      <w:rFonts w:ascii="Calibri" w:eastAsia="Calibri" w:hAnsi="Calibri"/>
      <w:b/>
      <w:bCs/>
    </w:rPr>
  </w:style>
  <w:style w:type="paragraph" w:styleId="Header">
    <w:name w:val="header"/>
    <w:basedOn w:val="Normal"/>
    <w:link w:val="HeaderChar"/>
    <w:uiPriority w:val="99"/>
    <w:unhideWhenUsed/>
    <w:locked/>
    <w:rsid w:val="001A340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F5438"/>
    <w:rPr>
      <w:rFonts w:ascii="Calibri" w:eastAsia="Calibri" w:hAnsi="Calibri"/>
      <w:sz w:val="22"/>
      <w:szCs w:val="22"/>
    </w:rPr>
  </w:style>
  <w:style w:type="paragraph" w:styleId="Footer">
    <w:name w:val="footer"/>
    <w:basedOn w:val="Normal"/>
    <w:link w:val="FooterChar"/>
    <w:uiPriority w:val="99"/>
    <w:unhideWhenUsed/>
    <w:locked/>
    <w:rsid w:val="001A3402"/>
    <w:pPr>
      <w:tabs>
        <w:tab w:val="center" w:pos="4680"/>
        <w:tab w:val="right" w:pos="9360"/>
      </w:tabs>
    </w:pPr>
  </w:style>
  <w:style w:type="character" w:customStyle="1" w:styleId="FooterChar">
    <w:name w:val="Footer Char"/>
    <w:basedOn w:val="DefaultParagraphFont"/>
    <w:link w:val="Footer"/>
    <w:uiPriority w:val="99"/>
    <w:rsid w:val="00BF5438"/>
    <w:rPr>
      <w:rFonts w:ascii="Times" w:hAnsi="Times"/>
      <w:sz w:val="24"/>
    </w:rPr>
  </w:style>
  <w:style w:type="paragraph" w:customStyle="1" w:styleId="IndentedBullets3">
    <w:name w:val="IndentedBullets3"/>
    <w:basedOn w:val="Normal"/>
    <w:qFormat/>
    <w:rsid w:val="00D83948"/>
    <w:pPr>
      <w:numPr>
        <w:numId w:val="1"/>
      </w:numPr>
      <w:ind w:left="1440"/>
    </w:pPr>
  </w:style>
  <w:style w:type="paragraph" w:customStyle="1" w:styleId="IndentedBullets1">
    <w:name w:val="IndentedBullets1"/>
    <w:basedOn w:val="text"/>
    <w:qFormat/>
    <w:rsid w:val="00F26DFA"/>
    <w:pPr>
      <w:numPr>
        <w:numId w:val="2"/>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836E3E"/>
    <w:pPr>
      <w:numPr>
        <w:numId w:val="3"/>
      </w:numPr>
    </w:pPr>
  </w:style>
  <w:style w:type="character" w:styleId="Hyperlink">
    <w:name w:val="Hyperlink"/>
    <w:basedOn w:val="DefaultParagraphFont"/>
    <w:uiPriority w:val="99"/>
    <w:unhideWhenUsed/>
    <w:locked/>
    <w:rsid w:val="001A3402"/>
    <w:rPr>
      <w:color w:val="0000FF" w:themeColor="hyperlink"/>
      <w:u w:val="single"/>
    </w:rPr>
  </w:style>
  <w:style w:type="character" w:customStyle="1" w:styleId="shadedheaderChar">
    <w:name w:val="shaded header Char"/>
    <w:basedOn w:val="DefaultParagraphFont"/>
    <w:link w:val="shadedheader"/>
    <w:rsid w:val="00A116A5"/>
    <w:rPr>
      <w:rFonts w:ascii="Arial Bold" w:eastAsia="ヒラギノ角ゴ Pro W3" w:hAnsi="Arial Bold"/>
      <w:color w:val="000000"/>
      <w:shd w:val="clear" w:color="auto" w:fill="FFE8B4"/>
    </w:rPr>
  </w:style>
  <w:style w:type="paragraph" w:customStyle="1" w:styleId="Header2">
    <w:name w:val="Header2"/>
    <w:basedOn w:val="instructions"/>
    <w:qFormat/>
    <w:rsid w:val="005E5D08"/>
    <w:pPr>
      <w:keepNext/>
      <w:ind w:firstLine="0"/>
    </w:pPr>
    <w:rPr>
      <w:rFonts w:ascii="Times New Roman" w:eastAsia="Times New Roman" w:hAnsi="Times New Roman" w:cs="Arial"/>
      <w:i/>
      <w:color w:val="auto"/>
      <w:sz w:val="24"/>
      <w:szCs w:val="22"/>
      <w:u w:val="single"/>
    </w:rPr>
  </w:style>
  <w:style w:type="paragraph" w:customStyle="1" w:styleId="Text0">
    <w:name w:val="Text"/>
    <w:basedOn w:val="Normal"/>
    <w:link w:val="TextChar"/>
    <w:qFormat/>
    <w:rsid w:val="00D83948"/>
    <w:pPr>
      <w:spacing w:before="120" w:after="120"/>
    </w:pPr>
  </w:style>
  <w:style w:type="character" w:customStyle="1" w:styleId="TextChar">
    <w:name w:val="Text Char"/>
    <w:basedOn w:val="DefaultParagraphFont"/>
    <w:link w:val="Text0"/>
    <w:rsid w:val="002B6A7C"/>
    <w:rPr>
      <w:rFonts w:eastAsiaTheme="minorHAnsi" w:cstheme="minorBidi"/>
      <w:sz w:val="22"/>
      <w:szCs w:val="22"/>
    </w:rPr>
  </w:style>
  <w:style w:type="paragraph" w:styleId="FootnoteText">
    <w:name w:val="footnote text"/>
    <w:basedOn w:val="Normal"/>
    <w:link w:val="FootnoteTextChar"/>
    <w:uiPriority w:val="99"/>
    <w:unhideWhenUsed/>
    <w:locked/>
    <w:rsid w:val="00F83C64"/>
    <w:rPr>
      <w:sz w:val="20"/>
    </w:rPr>
  </w:style>
  <w:style w:type="character" w:customStyle="1" w:styleId="FootnoteTextChar">
    <w:name w:val="Footnote Text Char"/>
    <w:basedOn w:val="DefaultParagraphFont"/>
    <w:link w:val="FootnoteText"/>
    <w:uiPriority w:val="99"/>
    <w:rsid w:val="00F83C64"/>
    <w:rPr>
      <w:rFonts w:asciiTheme="minorHAnsi" w:eastAsiaTheme="minorHAnsi" w:hAnsiTheme="minorHAnsi" w:cstheme="minorBidi"/>
    </w:rPr>
  </w:style>
  <w:style w:type="character" w:styleId="FootnoteReference">
    <w:name w:val="footnote reference"/>
    <w:basedOn w:val="DefaultParagraphFont"/>
    <w:uiPriority w:val="99"/>
    <w:unhideWhenUsed/>
    <w:locked/>
    <w:rsid w:val="00F83C64"/>
    <w:rPr>
      <w:vertAlign w:val="superscript"/>
    </w:rPr>
  </w:style>
  <w:style w:type="paragraph" w:styleId="ListParagraph">
    <w:name w:val="List Paragraph"/>
    <w:basedOn w:val="Normal"/>
    <w:uiPriority w:val="34"/>
    <w:qFormat/>
    <w:rsid w:val="00F83C64"/>
    <w:pPr>
      <w:ind w:left="720"/>
      <w:contextualSpacing/>
    </w:pPr>
  </w:style>
  <w:style w:type="paragraph" w:customStyle="1" w:styleId="indentedbullets">
    <w:name w:val="indented bullets"/>
    <w:basedOn w:val="Normal"/>
    <w:rsid w:val="00F83C64"/>
    <w:pPr>
      <w:numPr>
        <w:numId w:val="4"/>
      </w:numPr>
      <w:shd w:val="clear" w:color="auto" w:fill="FFFFFF"/>
      <w:spacing w:line="360" w:lineRule="atLeast"/>
    </w:pPr>
    <w:rPr>
      <w:sz w:val="19"/>
    </w:rPr>
  </w:style>
  <w:style w:type="paragraph" w:customStyle="1" w:styleId="FigureTitle">
    <w:name w:val="FigureTitle"/>
    <w:basedOn w:val="TableTitle"/>
    <w:qFormat/>
    <w:rsid w:val="00BF5438"/>
  </w:style>
  <w:style w:type="paragraph" w:customStyle="1" w:styleId="exhibitsource">
    <w:name w:val="exhibitsource"/>
    <w:basedOn w:val="shadedheader"/>
    <w:qFormat/>
    <w:rsid w:val="00F70AEB"/>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261A7A"/>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Tabletext">
    <w:name w:val="Table text"/>
    <w:basedOn w:val="Normal"/>
    <w:qFormat/>
    <w:rsid w:val="00AF63DE"/>
    <w:pPr>
      <w:spacing w:before="60" w:after="60"/>
    </w:pPr>
    <w:rPr>
      <w:sz w:val="18"/>
      <w:szCs w:val="18"/>
    </w:rPr>
  </w:style>
  <w:style w:type="paragraph" w:customStyle="1" w:styleId="TableHeader">
    <w:name w:val="Table Header"/>
    <w:basedOn w:val="Tabletext"/>
    <w:qFormat/>
    <w:rsid w:val="00325186"/>
    <w:rPr>
      <w:b/>
    </w:rPr>
  </w:style>
  <w:style w:type="paragraph" w:customStyle="1" w:styleId="Tabletitle0">
    <w:name w:val="Table title"/>
    <w:basedOn w:val="Normal"/>
    <w:qFormat/>
    <w:rsid w:val="00F362D9"/>
    <w:pPr>
      <w:keepNext/>
      <w:spacing w:before="120"/>
      <w:ind w:left="1440" w:hanging="1440"/>
    </w:pPr>
    <w:rPr>
      <w:rFonts w:eastAsia="Times"/>
      <w:b/>
      <w:snapToGrid w:val="0"/>
      <w:sz w:val="20"/>
    </w:rPr>
  </w:style>
  <w:style w:type="paragraph" w:customStyle="1" w:styleId="background">
    <w:name w:val="background"/>
    <w:basedOn w:val="Normal"/>
    <w:link w:val="backgroundChar"/>
    <w:rsid w:val="00D83948"/>
    <w:pPr>
      <w:shd w:val="clear" w:color="auto" w:fill="FFFFFF"/>
      <w:spacing w:after="120"/>
    </w:pPr>
    <w:rPr>
      <w:szCs w:val="19"/>
    </w:rPr>
  </w:style>
  <w:style w:type="character" w:customStyle="1" w:styleId="backgroundChar">
    <w:name w:val="background Char"/>
    <w:link w:val="background"/>
    <w:locked/>
    <w:rsid w:val="00325186"/>
    <w:rPr>
      <w:rFonts w:eastAsiaTheme="minorHAnsi" w:cstheme="minorBidi"/>
      <w:sz w:val="22"/>
      <w:szCs w:val="19"/>
      <w:shd w:val="clear" w:color="auto" w:fill="FFFFFF"/>
    </w:rPr>
  </w:style>
  <w:style w:type="paragraph" w:styleId="Revision">
    <w:name w:val="Revision"/>
    <w:hidden/>
    <w:uiPriority w:val="99"/>
    <w:semiHidden/>
    <w:rsid w:val="00452891"/>
    <w:rPr>
      <w:rFonts w:ascii="Arial" w:eastAsia="ヒラギノ角ゴ Pro W3" w:hAnsi="Arial"/>
      <w:color w:val="000000"/>
      <w:sz w:val="24"/>
      <w:szCs w:val="24"/>
    </w:rPr>
  </w:style>
  <w:style w:type="paragraph" w:customStyle="1" w:styleId="Title1">
    <w:name w:val="Title1"/>
    <w:basedOn w:val="Normal"/>
    <w:rsid w:val="00D83948"/>
    <w:pPr>
      <w:spacing w:before="100" w:beforeAutospacing="1" w:after="100" w:afterAutospacing="1"/>
    </w:pPr>
  </w:style>
  <w:style w:type="paragraph" w:customStyle="1" w:styleId="desc">
    <w:name w:val="desc"/>
    <w:basedOn w:val="Normal"/>
    <w:rsid w:val="00D83948"/>
    <w:pPr>
      <w:spacing w:before="100" w:beforeAutospacing="1" w:after="100" w:afterAutospacing="1"/>
    </w:pPr>
  </w:style>
  <w:style w:type="paragraph" w:customStyle="1" w:styleId="details">
    <w:name w:val="details"/>
    <w:basedOn w:val="Normal"/>
    <w:rsid w:val="00D83948"/>
    <w:pPr>
      <w:spacing w:before="100" w:beforeAutospacing="1" w:after="100" w:afterAutospacing="1"/>
    </w:pPr>
  </w:style>
  <w:style w:type="character" w:customStyle="1" w:styleId="jrnl">
    <w:name w:val="jrnl"/>
    <w:basedOn w:val="DefaultParagraphFont"/>
    <w:rsid w:val="00AC72BC"/>
  </w:style>
  <w:style w:type="paragraph" w:customStyle="1" w:styleId="references">
    <w:name w:val="references"/>
    <w:basedOn w:val="Normal"/>
    <w:rsid w:val="00D83948"/>
    <w:pPr>
      <w:shd w:val="clear" w:color="auto" w:fill="FFFFFF"/>
      <w:spacing w:before="120" w:after="120"/>
      <w:ind w:left="547" w:hanging="547"/>
    </w:pPr>
  </w:style>
  <w:style w:type="table" w:customStyle="1" w:styleId="EPCTable">
    <w:name w:val="EPC Table"/>
    <w:basedOn w:val="TableNormal"/>
    <w:rsid w:val="002F2B38"/>
    <w:rPr>
      <w:rFonts w:ascii="Arial" w:hAnsi="Arial"/>
      <w:sz w:val="18"/>
    </w:rPr>
    <w:tblPr>
      <w:tblStyleRowBandSize w:val="1"/>
      <w:tblInd w:w="0" w:type="dxa"/>
      <w:tblBorders>
        <w:insideH w:val="single" w:sz="8" w:space="0" w:color="auto"/>
      </w:tblBorders>
      <w:tblCellMar>
        <w:top w:w="29" w:type="dxa"/>
        <w:left w:w="43" w:type="dxa"/>
        <w:bottom w:w="29" w:type="dxa"/>
        <w:right w:w="43" w:type="dxa"/>
      </w:tblCellMar>
    </w:tblPr>
    <w:tblStylePr w:type="firstRow">
      <w:pPr>
        <w:jc w:val="left"/>
      </w:pPr>
      <w:rPr>
        <w:rFonts w:ascii="Cambria" w:hAnsi="Cambria"/>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F362D9"/>
    <w:pPr>
      <w:spacing w:before="120" w:after="120"/>
      <w:ind w:left="187" w:hanging="187"/>
    </w:pPr>
    <w:rPr>
      <w:sz w:val="18"/>
      <w:szCs w:val="18"/>
    </w:rPr>
  </w:style>
  <w:style w:type="paragraph" w:customStyle="1" w:styleId="tabletext0">
    <w:name w:val="table text"/>
    <w:rsid w:val="002F2B38"/>
    <w:rPr>
      <w:rFonts w:ascii="Arial" w:hAnsi="Arial" w:cs="Arial"/>
      <w:bCs/>
      <w:sz w:val="18"/>
      <w:szCs w:val="18"/>
    </w:rPr>
  </w:style>
  <w:style w:type="paragraph" w:customStyle="1" w:styleId="TableText1">
    <w:name w:val="Table Text"/>
    <w:qFormat/>
    <w:rsid w:val="002F2B38"/>
    <w:rPr>
      <w:rFonts w:ascii="Arial" w:hAnsi="Arial"/>
      <w:sz w:val="18"/>
      <w:szCs w:val="18"/>
    </w:rPr>
  </w:style>
  <w:style w:type="paragraph" w:styleId="List">
    <w:name w:val="List"/>
    <w:basedOn w:val="Normal"/>
    <w:uiPriority w:val="99"/>
    <w:locked/>
    <w:rsid w:val="002F2B38"/>
    <w:pPr>
      <w:ind w:left="360" w:hanging="360"/>
      <w:contextualSpacing/>
    </w:pPr>
  </w:style>
  <w:style w:type="character" w:customStyle="1" w:styleId="Heading1Char">
    <w:name w:val="Heading 1 Char"/>
    <w:basedOn w:val="DefaultParagraphFont"/>
    <w:link w:val="Heading1"/>
    <w:uiPriority w:val="9"/>
    <w:rsid w:val="00BF5438"/>
    <w:rPr>
      <w:rFonts w:ascii="Cambria" w:hAnsi="Cambria"/>
      <w:b/>
      <w:bCs/>
      <w:kern w:val="32"/>
      <w:sz w:val="32"/>
      <w:szCs w:val="32"/>
    </w:rPr>
  </w:style>
  <w:style w:type="character" w:customStyle="1" w:styleId="highlight2">
    <w:name w:val="highlight2"/>
    <w:basedOn w:val="DefaultParagraphFont"/>
    <w:rsid w:val="00FC1AB0"/>
  </w:style>
  <w:style w:type="character" w:customStyle="1" w:styleId="apple-converted-space">
    <w:name w:val="apple-converted-space"/>
    <w:basedOn w:val="DefaultParagraphFont"/>
    <w:rsid w:val="00285CB2"/>
  </w:style>
  <w:style w:type="character" w:styleId="Emphasis">
    <w:name w:val="Emphasis"/>
    <w:basedOn w:val="DefaultParagraphFont"/>
    <w:uiPriority w:val="20"/>
    <w:qFormat/>
    <w:locked/>
    <w:rsid w:val="00285CB2"/>
    <w:rPr>
      <w:i/>
      <w:iCs/>
    </w:rPr>
  </w:style>
  <w:style w:type="paragraph" w:customStyle="1" w:styleId="KeyQuestions">
    <w:name w:val="Key Questions"/>
    <w:basedOn w:val="Header2"/>
    <w:qFormat/>
    <w:rsid w:val="002B6A7C"/>
    <w:rPr>
      <w:rFonts w:cs="Times New Roman"/>
      <w:i w:val="0"/>
      <w:szCs w:val="20"/>
      <w:u w:val="none"/>
    </w:rPr>
  </w:style>
  <w:style w:type="paragraph" w:customStyle="1" w:styleId="Tablebullet-blank2">
    <w:name w:val="Table bullet - blank 2"/>
    <w:basedOn w:val="tablebullet-blank"/>
    <w:qFormat/>
    <w:rsid w:val="00AF63DE"/>
    <w:pPr>
      <w:framePr w:hSpace="180" w:wrap="around" w:vAnchor="text" w:hAnchor="text" w:xAlign="center" w:y="1"/>
      <w:ind w:left="533" w:hanging="274"/>
    </w:pPr>
  </w:style>
  <w:style w:type="paragraph" w:customStyle="1" w:styleId="TableBullet0">
    <w:name w:val="TableBullet"/>
    <w:basedOn w:val="Normal"/>
    <w:qFormat/>
    <w:rsid w:val="00354190"/>
    <w:pPr>
      <w:numPr>
        <w:numId w:val="25"/>
      </w:numPr>
      <w:ind w:left="274" w:hanging="274"/>
    </w:pPr>
    <w:rPr>
      <w:rFonts w:eastAsia="Calibri"/>
      <w:sz w:val="18"/>
    </w:rPr>
  </w:style>
  <w:style w:type="character" w:styleId="FollowedHyperlink">
    <w:name w:val="FollowedHyperlink"/>
    <w:basedOn w:val="DefaultParagraphFont"/>
    <w:uiPriority w:val="99"/>
    <w:locked/>
    <w:rsid w:val="005C439B"/>
    <w:rPr>
      <w:color w:val="800080" w:themeColor="followedHyperlink"/>
      <w:u w:val="single"/>
    </w:rPr>
  </w:style>
  <w:style w:type="paragraph" w:styleId="Title">
    <w:name w:val="Title"/>
    <w:basedOn w:val="Normal"/>
    <w:next w:val="Normal"/>
    <w:link w:val="TitleChar"/>
    <w:qFormat/>
    <w:locked/>
    <w:rsid w:val="00715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57E1"/>
    <w:rPr>
      <w:rFonts w:asciiTheme="majorHAnsi" w:eastAsiaTheme="majorEastAsia" w:hAnsiTheme="majorHAnsi" w:cstheme="majorBidi"/>
      <w:color w:val="17365D" w:themeColor="text2" w:themeShade="BF"/>
      <w:spacing w:val="5"/>
      <w:kern w:val="28"/>
      <w:sz w:val="52"/>
      <w:szCs w:val="52"/>
    </w:rPr>
  </w:style>
  <w:style w:type="paragraph" w:customStyle="1" w:styleId="R-Pubs-Pres">
    <w:name w:val="R-Pubs-Pres"/>
    <w:basedOn w:val="Normal"/>
    <w:rsid w:val="00D83948"/>
    <w:pPr>
      <w:keepLines/>
      <w:spacing w:after="220"/>
      <w:ind w:left="446" w:hanging="446"/>
    </w:pPr>
  </w:style>
  <w:style w:type="paragraph" w:customStyle="1" w:styleId="EndNoteBibliographyTitle">
    <w:name w:val="EndNote Bibliography Title"/>
    <w:basedOn w:val="Normal"/>
    <w:link w:val="EndNoteBibliographyTitleChar"/>
    <w:rsid w:val="00F362D9"/>
    <w:pPr>
      <w:jc w:val="center"/>
    </w:pPr>
    <w:rPr>
      <w:rFonts w:ascii="Times New Roman" w:hAnsi="Times New Roman"/>
      <w:noProof/>
      <w:sz w:val="20"/>
    </w:rPr>
  </w:style>
  <w:style w:type="character" w:customStyle="1" w:styleId="EndNoteBibliographyTitleChar">
    <w:name w:val="EndNote Bibliography Title Char"/>
    <w:basedOn w:val="TextChar"/>
    <w:link w:val="EndNoteBibliographyTitle"/>
    <w:rsid w:val="00EE08BC"/>
    <w:rPr>
      <w:rFonts w:eastAsiaTheme="minorHAnsi" w:cstheme="minorBidi"/>
      <w:noProof/>
      <w:sz w:val="22"/>
      <w:szCs w:val="22"/>
    </w:rPr>
  </w:style>
  <w:style w:type="paragraph" w:customStyle="1" w:styleId="EndNoteBibliography">
    <w:name w:val="EndNote Bibliography"/>
    <w:basedOn w:val="Normal"/>
    <w:link w:val="EndNoteBibliographyChar"/>
    <w:rsid w:val="009A72F1"/>
    <w:pPr>
      <w:keepLines/>
    </w:pPr>
    <w:rPr>
      <w:rFonts w:ascii="Times New Roman" w:hAnsi="Times New Roman"/>
      <w:noProof/>
      <w:sz w:val="20"/>
    </w:rPr>
  </w:style>
  <w:style w:type="character" w:customStyle="1" w:styleId="EndNoteBibliographyChar">
    <w:name w:val="EndNote Bibliography Char"/>
    <w:basedOn w:val="TextChar"/>
    <w:link w:val="EndNoteBibliography"/>
    <w:rsid w:val="009A72F1"/>
    <w:rPr>
      <w:rFonts w:eastAsiaTheme="minorHAnsi" w:cstheme="minorBidi"/>
      <w:noProof/>
      <w:sz w:val="22"/>
      <w:szCs w:val="22"/>
    </w:rPr>
  </w:style>
  <w:style w:type="paragraph" w:customStyle="1" w:styleId="ParagraphIndent">
    <w:name w:val="ParagraphIndent"/>
    <w:link w:val="ParagraphIndentChar"/>
    <w:qFormat/>
    <w:rsid w:val="001A3402"/>
    <w:pPr>
      <w:ind w:firstLine="360"/>
    </w:pPr>
    <w:rPr>
      <w:rFonts w:eastAsia="Calibri"/>
      <w:color w:val="000000"/>
      <w:sz w:val="24"/>
      <w:szCs w:val="24"/>
    </w:rPr>
  </w:style>
  <w:style w:type="table" w:styleId="TableGrid">
    <w:name w:val="Table Grid"/>
    <w:basedOn w:val="TableNormal"/>
    <w:uiPriority w:val="59"/>
    <w:locked/>
    <w:rsid w:val="001A34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itle">
    <w:name w:val="TableTitle"/>
    <w:qFormat/>
    <w:rsid w:val="006E46AB"/>
    <w:pPr>
      <w:keepNext/>
      <w:spacing w:before="240"/>
    </w:pPr>
    <w:rPr>
      <w:rFonts w:ascii="Arial" w:eastAsia="Calibri" w:hAnsi="Arial"/>
      <w:b/>
      <w:color w:val="000000"/>
      <w:szCs w:val="24"/>
    </w:rPr>
  </w:style>
  <w:style w:type="paragraph" w:customStyle="1" w:styleId="TableNote">
    <w:name w:val="TableNote"/>
    <w:qFormat/>
    <w:rsid w:val="001A3402"/>
    <w:pPr>
      <w:spacing w:after="240"/>
    </w:pPr>
    <w:rPr>
      <w:bCs/>
      <w:sz w:val="18"/>
      <w:szCs w:val="24"/>
    </w:rPr>
  </w:style>
  <w:style w:type="paragraph" w:customStyle="1" w:styleId="TableText2">
    <w:name w:val="TableText"/>
    <w:link w:val="TableTextChar"/>
    <w:qFormat/>
    <w:rsid w:val="001A3402"/>
    <w:rPr>
      <w:rFonts w:ascii="Arial" w:eastAsia="Calibri" w:hAnsi="Arial" w:cs="Arial"/>
      <w:sz w:val="18"/>
      <w:szCs w:val="18"/>
    </w:rPr>
  </w:style>
  <w:style w:type="paragraph" w:customStyle="1" w:styleId="TableBoldText">
    <w:name w:val="TableBoldText"/>
    <w:qFormat/>
    <w:rsid w:val="001A3402"/>
    <w:rPr>
      <w:rFonts w:ascii="Arial" w:eastAsia="Calibri" w:hAnsi="Arial" w:cs="Arial"/>
      <w:b/>
      <w:sz w:val="18"/>
      <w:szCs w:val="18"/>
    </w:rPr>
  </w:style>
  <w:style w:type="paragraph" w:customStyle="1" w:styleId="ParagraphNoIndent">
    <w:name w:val="ParagraphNoIndent"/>
    <w:qFormat/>
    <w:rsid w:val="001A3402"/>
    <w:rPr>
      <w:bCs/>
      <w:sz w:val="24"/>
      <w:szCs w:val="24"/>
    </w:rPr>
  </w:style>
  <w:style w:type="paragraph" w:customStyle="1" w:styleId="ReportType">
    <w:name w:val="ReportType"/>
    <w:qFormat/>
    <w:rsid w:val="001A3402"/>
    <w:pPr>
      <w:pBdr>
        <w:bottom w:val="single" w:sz="12" w:space="1" w:color="auto"/>
      </w:pBdr>
    </w:pPr>
    <w:rPr>
      <w:b/>
      <w:bCs/>
      <w:i/>
      <w:sz w:val="36"/>
      <w:szCs w:val="36"/>
    </w:rPr>
  </w:style>
  <w:style w:type="paragraph" w:customStyle="1" w:styleId="NumberLine">
    <w:name w:val="NumberLine"/>
    <w:qFormat/>
    <w:rsid w:val="001A3402"/>
    <w:rPr>
      <w:rFonts w:ascii="Arial" w:hAnsi="Arial"/>
      <w:b/>
      <w:bCs/>
      <w:sz w:val="28"/>
      <w:szCs w:val="28"/>
    </w:rPr>
  </w:style>
  <w:style w:type="paragraph" w:customStyle="1" w:styleId="ReportTitle">
    <w:name w:val="ReportTitle"/>
    <w:uiPriority w:val="99"/>
    <w:qFormat/>
    <w:rsid w:val="001A3402"/>
    <w:rPr>
      <w:rFonts w:ascii="Arial" w:hAnsi="Arial"/>
      <w:b/>
      <w:bCs/>
      <w:sz w:val="36"/>
      <w:szCs w:val="36"/>
    </w:rPr>
  </w:style>
  <w:style w:type="paragraph" w:styleId="NormalWeb">
    <w:name w:val="Normal (Web)"/>
    <w:basedOn w:val="Normal"/>
    <w:uiPriority w:val="99"/>
    <w:locked/>
    <w:rsid w:val="001A3402"/>
    <w:pPr>
      <w:spacing w:before="100" w:beforeAutospacing="1" w:after="100" w:afterAutospacing="1"/>
    </w:pPr>
    <w:rPr>
      <w:rFonts w:ascii="Times New Roman" w:hAnsi="Times New Roman"/>
      <w:szCs w:val="24"/>
    </w:rPr>
  </w:style>
  <w:style w:type="paragraph" w:customStyle="1" w:styleId="PageNumber">
    <w:name w:val="PageNumber"/>
    <w:qFormat/>
    <w:rsid w:val="001A3402"/>
    <w:pPr>
      <w:jc w:val="center"/>
    </w:pPr>
    <w:rPr>
      <w:rFonts w:eastAsia="Calibri"/>
      <w:sz w:val="24"/>
      <w:szCs w:val="24"/>
    </w:rPr>
  </w:style>
  <w:style w:type="paragraph" w:customStyle="1" w:styleId="FrontMatterHead">
    <w:name w:val="FrontMatterHead"/>
    <w:qFormat/>
    <w:rsid w:val="001A3402"/>
    <w:pPr>
      <w:keepNext/>
      <w:spacing w:before="240" w:after="60"/>
    </w:pPr>
    <w:rPr>
      <w:rFonts w:ascii="Arial" w:eastAsia="Calibri" w:hAnsi="Arial" w:cs="Arial"/>
      <w:b/>
      <w:sz w:val="32"/>
      <w:szCs w:val="32"/>
    </w:rPr>
  </w:style>
  <w:style w:type="table" w:customStyle="1" w:styleId="AHRQ1">
    <w:name w:val="AHRQ1"/>
    <w:basedOn w:val="TableGrid"/>
    <w:rsid w:val="001A3402"/>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locked/>
    <w:rsid w:val="001A3402"/>
    <w:rPr>
      <w:rFonts w:ascii="Times New Roman" w:hAnsi="Times New Roman"/>
      <w:szCs w:val="24"/>
      <w:lang w:val="en-CA"/>
    </w:rPr>
  </w:style>
  <w:style w:type="paragraph" w:styleId="TOC2">
    <w:name w:val="toc 2"/>
    <w:basedOn w:val="Normal"/>
    <w:next w:val="Normal"/>
    <w:autoRedefine/>
    <w:locked/>
    <w:rsid w:val="00A6321F"/>
    <w:pPr>
      <w:tabs>
        <w:tab w:val="right" w:leader="dot" w:pos="9360"/>
      </w:tabs>
      <w:ind w:left="360"/>
    </w:pPr>
    <w:rPr>
      <w:rFonts w:ascii="Times New Roman" w:hAnsi="Times New Roman"/>
      <w:szCs w:val="24"/>
      <w:lang w:val="en-CA"/>
    </w:rPr>
  </w:style>
  <w:style w:type="paragraph" w:customStyle="1" w:styleId="ChapterHeading">
    <w:name w:val="ChapterHeading"/>
    <w:qFormat/>
    <w:rsid w:val="001A3402"/>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1A3402"/>
    <w:pPr>
      <w:keepNext/>
      <w:spacing w:before="240" w:after="60"/>
      <w:outlineLvl w:val="1"/>
    </w:pPr>
    <w:rPr>
      <w:rFonts w:ascii="Arial" w:hAnsi="Arial"/>
      <w:b/>
      <w:bCs/>
      <w:sz w:val="32"/>
      <w:szCs w:val="24"/>
    </w:rPr>
  </w:style>
  <w:style w:type="paragraph" w:customStyle="1" w:styleId="Level2Heading">
    <w:name w:val="Level2Heading"/>
    <w:qFormat/>
    <w:rsid w:val="001A3402"/>
    <w:pPr>
      <w:keepNext/>
      <w:spacing w:before="240" w:after="60"/>
      <w:outlineLvl w:val="2"/>
    </w:pPr>
    <w:rPr>
      <w:b/>
      <w:bCs/>
      <w:sz w:val="32"/>
      <w:szCs w:val="24"/>
    </w:rPr>
  </w:style>
  <w:style w:type="paragraph" w:customStyle="1" w:styleId="KeyQuestion">
    <w:name w:val="KeyQuestion"/>
    <w:rsid w:val="001A3402"/>
    <w:pPr>
      <w:keepLines/>
      <w:spacing w:before="240" w:after="60"/>
    </w:pPr>
    <w:rPr>
      <w:rFonts w:ascii="Arial" w:hAnsi="Arial" w:cs="Arial"/>
      <w:iCs/>
      <w:sz w:val="28"/>
      <w:szCs w:val="28"/>
    </w:rPr>
  </w:style>
  <w:style w:type="paragraph" w:customStyle="1" w:styleId="Reference">
    <w:name w:val="Reference"/>
    <w:qFormat/>
    <w:rsid w:val="001A3402"/>
    <w:pPr>
      <w:keepLines/>
      <w:spacing w:before="120" w:after="120"/>
      <w:ind w:left="720" w:hanging="720"/>
    </w:pPr>
    <w:rPr>
      <w:bCs/>
      <w:szCs w:val="24"/>
    </w:rPr>
  </w:style>
  <w:style w:type="paragraph" w:customStyle="1" w:styleId="Level5Heading">
    <w:name w:val="Level5Heading"/>
    <w:qFormat/>
    <w:rsid w:val="001A3402"/>
    <w:pPr>
      <w:keepNext/>
      <w:spacing w:before="240"/>
      <w:outlineLvl w:val="5"/>
    </w:pPr>
    <w:rPr>
      <w:rFonts w:ascii="Arial" w:hAnsi="Arial"/>
      <w:b/>
      <w:bCs/>
      <w:sz w:val="24"/>
      <w:szCs w:val="24"/>
    </w:rPr>
  </w:style>
  <w:style w:type="paragraph" w:customStyle="1" w:styleId="Level3Heading">
    <w:name w:val="Level3Heading"/>
    <w:qFormat/>
    <w:rsid w:val="001A3402"/>
    <w:pPr>
      <w:keepNext/>
      <w:spacing w:before="240"/>
      <w:outlineLvl w:val="3"/>
    </w:pPr>
    <w:rPr>
      <w:rFonts w:ascii="Arial" w:hAnsi="Arial"/>
      <w:b/>
      <w:bCs/>
      <w:sz w:val="28"/>
      <w:szCs w:val="24"/>
    </w:rPr>
  </w:style>
  <w:style w:type="paragraph" w:customStyle="1" w:styleId="PreparedForText">
    <w:name w:val="PreparedForText"/>
    <w:qFormat/>
    <w:rsid w:val="001A3402"/>
    <w:rPr>
      <w:bCs/>
      <w:sz w:val="24"/>
      <w:szCs w:val="24"/>
    </w:rPr>
  </w:style>
  <w:style w:type="paragraph" w:customStyle="1" w:styleId="ParagraphNoIndentBold">
    <w:name w:val="ParagraphNoIndentBold"/>
    <w:qFormat/>
    <w:rsid w:val="001A3402"/>
    <w:rPr>
      <w:b/>
      <w:bCs/>
      <w:sz w:val="24"/>
      <w:szCs w:val="24"/>
    </w:rPr>
  </w:style>
  <w:style w:type="paragraph" w:customStyle="1" w:styleId="ContractNumber">
    <w:name w:val="ContractNumber"/>
    <w:next w:val="Normal"/>
    <w:qFormat/>
    <w:rsid w:val="001A3402"/>
    <w:rPr>
      <w:b/>
      <w:bCs/>
      <w:sz w:val="24"/>
      <w:szCs w:val="24"/>
    </w:rPr>
  </w:style>
  <w:style w:type="paragraph" w:customStyle="1" w:styleId="PreparedByText">
    <w:name w:val="PreparedByText"/>
    <w:qFormat/>
    <w:rsid w:val="001A3402"/>
    <w:rPr>
      <w:bCs/>
      <w:sz w:val="24"/>
      <w:szCs w:val="24"/>
    </w:rPr>
  </w:style>
  <w:style w:type="paragraph" w:customStyle="1" w:styleId="Investigators">
    <w:name w:val="Investigators"/>
    <w:qFormat/>
    <w:rsid w:val="001A3402"/>
    <w:rPr>
      <w:bCs/>
      <w:sz w:val="24"/>
      <w:szCs w:val="24"/>
    </w:rPr>
  </w:style>
  <w:style w:type="paragraph" w:customStyle="1" w:styleId="PublicationNumberDate">
    <w:name w:val="PublicationNumberDate"/>
    <w:qFormat/>
    <w:rsid w:val="001A3402"/>
    <w:rPr>
      <w:b/>
      <w:bCs/>
      <w:sz w:val="24"/>
      <w:szCs w:val="24"/>
    </w:rPr>
  </w:style>
  <w:style w:type="paragraph" w:customStyle="1" w:styleId="SuggestedCitation">
    <w:name w:val="SuggestedCitation"/>
    <w:qFormat/>
    <w:rsid w:val="001A3402"/>
    <w:rPr>
      <w:bCs/>
      <w:sz w:val="24"/>
      <w:szCs w:val="24"/>
    </w:rPr>
  </w:style>
  <w:style w:type="paragraph" w:customStyle="1" w:styleId="Contents">
    <w:name w:val="Contents"/>
    <w:qFormat/>
    <w:rsid w:val="001A3402"/>
    <w:pPr>
      <w:keepNext/>
      <w:jc w:val="center"/>
    </w:pPr>
    <w:rPr>
      <w:rFonts w:ascii="Arial" w:eastAsia="Calibri" w:hAnsi="Arial" w:cs="Arial"/>
      <w:b/>
      <w:sz w:val="36"/>
      <w:szCs w:val="32"/>
    </w:rPr>
  </w:style>
  <w:style w:type="paragraph" w:customStyle="1" w:styleId="ContentsSubhead">
    <w:name w:val="ContentsSubhead"/>
    <w:qFormat/>
    <w:rsid w:val="001A3402"/>
    <w:pPr>
      <w:keepNext/>
      <w:spacing w:before="240"/>
    </w:pPr>
    <w:rPr>
      <w:b/>
      <w:bCs/>
      <w:sz w:val="24"/>
      <w:szCs w:val="28"/>
    </w:rPr>
  </w:style>
  <w:style w:type="paragraph" w:customStyle="1" w:styleId="Level4Heading">
    <w:name w:val="Level4Heading"/>
    <w:qFormat/>
    <w:rsid w:val="001A3402"/>
    <w:pPr>
      <w:keepNext/>
      <w:spacing w:before="240"/>
      <w:outlineLvl w:val="4"/>
    </w:pPr>
    <w:rPr>
      <w:b/>
      <w:bCs/>
      <w:sz w:val="28"/>
      <w:szCs w:val="24"/>
    </w:rPr>
  </w:style>
  <w:style w:type="paragraph" w:customStyle="1" w:styleId="TableColumnHead">
    <w:name w:val="TableColumnHead"/>
    <w:qFormat/>
    <w:rsid w:val="001A3402"/>
    <w:pPr>
      <w:jc w:val="center"/>
    </w:pPr>
    <w:rPr>
      <w:rFonts w:ascii="Arial" w:eastAsia="Calibri" w:hAnsi="Arial" w:cs="Arial"/>
      <w:b/>
      <w:bCs/>
      <w:sz w:val="18"/>
      <w:szCs w:val="18"/>
    </w:rPr>
  </w:style>
  <w:style w:type="paragraph" w:customStyle="1" w:styleId="TableSubhead">
    <w:name w:val="TableSubhead"/>
    <w:qFormat/>
    <w:rsid w:val="001A3402"/>
    <w:rPr>
      <w:rFonts w:ascii="Arial" w:eastAsia="Calibri" w:hAnsi="Arial" w:cs="Arial"/>
      <w:b/>
      <w:i/>
      <w:sz w:val="18"/>
      <w:szCs w:val="18"/>
    </w:rPr>
  </w:style>
  <w:style w:type="paragraph" w:customStyle="1" w:styleId="Level6Heading">
    <w:name w:val="Level6Heading"/>
    <w:qFormat/>
    <w:rsid w:val="001A3402"/>
    <w:pPr>
      <w:keepNext/>
      <w:spacing w:before="240"/>
      <w:outlineLvl w:val="6"/>
    </w:pPr>
    <w:rPr>
      <w:b/>
      <w:bCs/>
      <w:sz w:val="24"/>
      <w:szCs w:val="24"/>
    </w:rPr>
  </w:style>
  <w:style w:type="paragraph" w:customStyle="1" w:styleId="Level7Heading">
    <w:name w:val="Level7Heading"/>
    <w:qFormat/>
    <w:rsid w:val="001A3402"/>
    <w:pPr>
      <w:keepNext/>
    </w:pPr>
    <w:rPr>
      <w:rFonts w:eastAsia="Calibri"/>
      <w:b/>
      <w:color w:val="000000"/>
      <w:sz w:val="24"/>
      <w:szCs w:val="24"/>
    </w:rPr>
  </w:style>
  <w:style w:type="paragraph" w:customStyle="1" w:styleId="Level8Heading">
    <w:name w:val="Level8Heading"/>
    <w:qFormat/>
    <w:rsid w:val="001A3402"/>
    <w:pPr>
      <w:keepNext/>
    </w:pPr>
    <w:rPr>
      <w:bCs/>
      <w:i/>
      <w:sz w:val="24"/>
      <w:szCs w:val="24"/>
    </w:rPr>
  </w:style>
  <w:style w:type="paragraph" w:customStyle="1" w:styleId="Bullet1">
    <w:name w:val="Bullet1"/>
    <w:qFormat/>
    <w:rsid w:val="001A3402"/>
    <w:pPr>
      <w:numPr>
        <w:numId w:val="34"/>
      </w:numPr>
    </w:pPr>
    <w:rPr>
      <w:bCs/>
      <w:sz w:val="24"/>
      <w:szCs w:val="24"/>
    </w:rPr>
  </w:style>
  <w:style w:type="paragraph" w:customStyle="1" w:styleId="Bullet2">
    <w:name w:val="Bullet2"/>
    <w:qFormat/>
    <w:rsid w:val="001A3402"/>
    <w:pPr>
      <w:numPr>
        <w:ilvl w:val="1"/>
        <w:numId w:val="34"/>
      </w:numPr>
    </w:pPr>
    <w:rPr>
      <w:bCs/>
      <w:sz w:val="24"/>
      <w:szCs w:val="24"/>
    </w:rPr>
  </w:style>
  <w:style w:type="paragraph" w:customStyle="1" w:styleId="TableCenteredText">
    <w:name w:val="TableCenteredText"/>
    <w:qFormat/>
    <w:rsid w:val="001A3402"/>
    <w:pPr>
      <w:jc w:val="center"/>
    </w:pPr>
    <w:rPr>
      <w:rFonts w:ascii="Arial" w:eastAsia="Calibri" w:hAnsi="Arial" w:cs="Arial"/>
      <w:sz w:val="18"/>
      <w:szCs w:val="18"/>
    </w:rPr>
  </w:style>
  <w:style w:type="paragraph" w:customStyle="1" w:styleId="TableLeftText">
    <w:name w:val="TableLeftText"/>
    <w:qFormat/>
    <w:rsid w:val="001A3402"/>
    <w:rPr>
      <w:rFonts w:ascii="Arial" w:eastAsia="Calibri" w:hAnsi="Arial" w:cs="Arial"/>
      <w:sz w:val="18"/>
      <w:szCs w:val="18"/>
    </w:rPr>
  </w:style>
  <w:style w:type="paragraph" w:customStyle="1" w:styleId="Studies1">
    <w:name w:val="Studies1"/>
    <w:qFormat/>
    <w:rsid w:val="001A3402"/>
    <w:pPr>
      <w:keepLines/>
      <w:spacing w:before="120" w:after="120"/>
    </w:pPr>
    <w:rPr>
      <w:rFonts w:eastAsia="Calibri" w:cs="Arial"/>
      <w:color w:val="000000"/>
      <w:sz w:val="24"/>
      <w:szCs w:val="32"/>
    </w:rPr>
  </w:style>
  <w:style w:type="paragraph" w:customStyle="1" w:styleId="Studies2">
    <w:name w:val="Studies2"/>
    <w:qFormat/>
    <w:rsid w:val="001A3402"/>
    <w:pPr>
      <w:keepLines/>
      <w:numPr>
        <w:numId w:val="36"/>
      </w:numPr>
      <w:spacing w:before="120" w:after="120"/>
    </w:pPr>
    <w:rPr>
      <w:rFonts w:eastAsia="Times"/>
      <w:color w:val="000000"/>
      <w:sz w:val="24"/>
      <w:szCs w:val="24"/>
    </w:rPr>
  </w:style>
  <w:style w:type="paragraph" w:customStyle="1" w:styleId="NumberedList">
    <w:name w:val="NumberedList"/>
    <w:basedOn w:val="Bullet1"/>
    <w:qFormat/>
    <w:rsid w:val="001A3402"/>
    <w:pPr>
      <w:numPr>
        <w:numId w:val="35"/>
      </w:numPr>
    </w:pPr>
  </w:style>
  <w:style w:type="paragraph" w:customStyle="1" w:styleId="ReportSubtitle">
    <w:name w:val="ReportSubtitle"/>
    <w:qFormat/>
    <w:rsid w:val="001A3402"/>
    <w:rPr>
      <w:rFonts w:ascii="Arial" w:hAnsi="Arial"/>
      <w:b/>
      <w:bCs/>
      <w:sz w:val="24"/>
      <w:szCs w:val="24"/>
    </w:rPr>
  </w:style>
  <w:style w:type="paragraph" w:customStyle="1" w:styleId="FrontMatterSubhead">
    <w:name w:val="FrontMatterSubhead"/>
    <w:qFormat/>
    <w:rsid w:val="001A3402"/>
    <w:pPr>
      <w:keepNext/>
      <w:spacing w:before="120"/>
    </w:pPr>
    <w:rPr>
      <w:rFonts w:ascii="Arial" w:eastAsia="Calibri" w:hAnsi="Arial" w:cs="Arial"/>
      <w:b/>
      <w:sz w:val="24"/>
      <w:szCs w:val="32"/>
    </w:rPr>
  </w:style>
  <w:style w:type="paragraph" w:customStyle="1" w:styleId="ES-Level1Heading">
    <w:name w:val="ES-Level1Heading"/>
    <w:basedOn w:val="Level1Heading"/>
    <w:qFormat/>
    <w:rsid w:val="00BF5438"/>
  </w:style>
  <w:style w:type="paragraph" w:customStyle="1" w:styleId="ES-Level2Heading">
    <w:name w:val="ES-Level2Heading"/>
    <w:basedOn w:val="Level2Heading"/>
    <w:qFormat/>
    <w:rsid w:val="00BF5438"/>
  </w:style>
  <w:style w:type="paragraph" w:customStyle="1" w:styleId="ES-Level3Heading">
    <w:name w:val="ES-Level3Heading"/>
    <w:basedOn w:val="Level3Heading"/>
    <w:qFormat/>
    <w:rsid w:val="00BF5438"/>
    <w:rPr>
      <w:rFonts w:cs="Arial"/>
    </w:rPr>
  </w:style>
  <w:style w:type="paragraph" w:styleId="Caption">
    <w:name w:val="caption"/>
    <w:basedOn w:val="Normal"/>
    <w:next w:val="Normal"/>
    <w:uiPriority w:val="35"/>
    <w:unhideWhenUsed/>
    <w:qFormat/>
    <w:locked/>
    <w:rsid w:val="00BF5438"/>
    <w:rPr>
      <w:b/>
      <w:bCs/>
      <w:color w:val="4F81BD" w:themeColor="accent1"/>
      <w:sz w:val="18"/>
      <w:szCs w:val="18"/>
    </w:rPr>
  </w:style>
  <w:style w:type="paragraph" w:customStyle="1" w:styleId="Tabletitlecontinued">
    <w:name w:val="Table title continued"/>
    <w:basedOn w:val="Tabletitle0"/>
    <w:qFormat/>
    <w:rsid w:val="00F52488"/>
  </w:style>
  <w:style w:type="paragraph" w:customStyle="1" w:styleId="tabletitle1">
    <w:name w:val="tabletitle"/>
    <w:basedOn w:val="Normal"/>
    <w:uiPriority w:val="99"/>
    <w:rsid w:val="00AF63DE"/>
    <w:pPr>
      <w:keepNext/>
      <w:spacing w:before="240"/>
    </w:pPr>
    <w:rPr>
      <w:rFonts w:eastAsia="Calibri"/>
      <w:b/>
      <w:color w:val="000000"/>
      <w:sz w:val="20"/>
    </w:rPr>
  </w:style>
  <w:style w:type="character" w:customStyle="1" w:styleId="Level1HeadingChar">
    <w:name w:val="Level1Heading Char"/>
    <w:link w:val="Level1Heading"/>
    <w:rsid w:val="00F52488"/>
    <w:rPr>
      <w:rFonts w:ascii="Arial" w:hAnsi="Arial"/>
      <w:b/>
      <w:bCs/>
      <w:sz w:val="32"/>
      <w:szCs w:val="24"/>
    </w:rPr>
  </w:style>
  <w:style w:type="character" w:customStyle="1" w:styleId="ParagraphIndentChar">
    <w:name w:val="ParagraphIndent Char"/>
    <w:basedOn w:val="DefaultParagraphFont"/>
    <w:link w:val="ParagraphIndent"/>
    <w:rsid w:val="00F52488"/>
    <w:rPr>
      <w:rFonts w:eastAsia="Calibri"/>
      <w:color w:val="000000"/>
      <w:sz w:val="24"/>
      <w:szCs w:val="24"/>
    </w:rPr>
  </w:style>
  <w:style w:type="table" w:customStyle="1" w:styleId="EPC1">
    <w:name w:val="EPC1"/>
    <w:basedOn w:val="TableNormal"/>
    <w:uiPriority w:val="99"/>
    <w:rsid w:val="00AB02A6"/>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
    <w:name w:val="EPC"/>
    <w:basedOn w:val="TableNormal"/>
    <w:uiPriority w:val="99"/>
    <w:rsid w:val="00B31ED1"/>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tblPr/>
      <w:tcPr>
        <w:tcBorders>
          <w:top w:val="single" w:sz="12" w:space="0" w:color="auto"/>
        </w:tcBorders>
      </w:tcPr>
    </w:tblStylePr>
  </w:style>
  <w:style w:type="character" w:customStyle="1" w:styleId="TableTextChar">
    <w:name w:val="TableText Char"/>
    <w:basedOn w:val="DefaultParagraphFont"/>
    <w:link w:val="TableText2"/>
    <w:rsid w:val="00F52488"/>
    <w:rPr>
      <w:rFonts w:ascii="Arial" w:eastAsia="Calibri" w:hAnsi="Arial" w:cs="Arial"/>
      <w:sz w:val="18"/>
      <w:szCs w:val="18"/>
    </w:rPr>
  </w:style>
  <w:style w:type="paragraph" w:customStyle="1" w:styleId="tabletitlecontinued0">
    <w:name w:val="tabletitle(continued)"/>
    <w:basedOn w:val="tabletitle1"/>
    <w:qFormat/>
    <w:rsid w:val="009D0031"/>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uiPriority w:val="9"/>
    <w:rsid w:val="00A67473"/>
    <w:rPr>
      <w:rFonts w:ascii="Verdana" w:eastAsia="MS Mincho" w:hAnsi="Verdana"/>
      <w:b/>
      <w:sz w:val="24"/>
      <w:szCs w:val="24"/>
    </w:rPr>
  </w:style>
  <w:style w:type="character" w:customStyle="1" w:styleId="Heading3Char">
    <w:name w:val="Heading 3 Char"/>
    <w:basedOn w:val="DefaultParagraphFont"/>
    <w:link w:val="Heading3"/>
    <w:uiPriority w:val="9"/>
    <w:rsid w:val="00A67473"/>
    <w:rPr>
      <w:rFonts w:ascii="Verdana" w:eastAsia="MS Mincho" w:hAnsi="Verdana"/>
      <w:b/>
      <w:i/>
      <w:sz w:val="22"/>
    </w:rPr>
  </w:style>
  <w:style w:type="character" w:customStyle="1" w:styleId="Heading4Char">
    <w:name w:val="Heading 4 Char"/>
    <w:basedOn w:val="DefaultParagraphFont"/>
    <w:link w:val="Heading4"/>
    <w:rsid w:val="00A67473"/>
    <w:rPr>
      <w:rFonts w:ascii="Verdana" w:eastAsia="MS Mincho" w:hAnsi="Verdana" w:cs="Arial"/>
      <w:i/>
      <w:sz w:val="22"/>
    </w:rPr>
  </w:style>
  <w:style w:type="numbering" w:customStyle="1" w:styleId="NoList1">
    <w:name w:val="No List1"/>
    <w:next w:val="NoList"/>
    <w:uiPriority w:val="99"/>
    <w:semiHidden/>
    <w:unhideWhenUsed/>
    <w:rsid w:val="00A67473"/>
  </w:style>
  <w:style w:type="paragraph" w:customStyle="1" w:styleId="MediumGrid1-Accent21">
    <w:name w:val="Medium Grid 1 - Accent 21"/>
    <w:basedOn w:val="Normal"/>
    <w:uiPriority w:val="34"/>
    <w:qFormat/>
    <w:rsid w:val="00F362D9"/>
    <w:pPr>
      <w:ind w:left="720"/>
    </w:pPr>
    <w:rPr>
      <w:rFonts w:ascii="Verdana" w:eastAsia="Calibri" w:hAnsi="Verdana"/>
      <w:sz w:val="20"/>
    </w:rPr>
  </w:style>
  <w:style w:type="paragraph" w:customStyle="1" w:styleId="Bullet-3">
    <w:name w:val="Bullet-3"/>
    <w:basedOn w:val="Normal"/>
    <w:qFormat/>
    <w:rsid w:val="00F362D9"/>
    <w:pPr>
      <w:numPr>
        <w:numId w:val="18"/>
      </w:numPr>
      <w:ind w:left="1440"/>
    </w:pPr>
    <w:rPr>
      <w:rFonts w:eastAsia="Calibri"/>
    </w:rPr>
  </w:style>
  <w:style w:type="paragraph" w:customStyle="1" w:styleId="Style1">
    <w:name w:val="Style1"/>
    <w:basedOn w:val="Normal"/>
    <w:autoRedefine/>
    <w:qFormat/>
    <w:rsid w:val="00F362D9"/>
    <w:rPr>
      <w:rFonts w:ascii="Comic Sans MS" w:eastAsia="Calibri" w:hAnsi="Comic Sans MS"/>
      <w:bCs/>
      <w:iCs/>
      <w:color w:val="1F497D"/>
      <w:sz w:val="20"/>
    </w:rPr>
  </w:style>
  <w:style w:type="paragraph" w:customStyle="1" w:styleId="Bullet-20">
    <w:name w:val="Bullet-2"/>
    <w:basedOn w:val="NoSpacing1"/>
    <w:qFormat/>
    <w:rsid w:val="00A67473"/>
    <w:pPr>
      <w:numPr>
        <w:ilvl w:val="2"/>
        <w:numId w:val="6"/>
      </w:numPr>
    </w:pPr>
    <w:rPr>
      <w:rFonts w:ascii="Arial" w:eastAsia="Times New Roman" w:hAnsi="Arial"/>
      <w:sz w:val="20"/>
      <w:szCs w:val="20"/>
    </w:rPr>
  </w:style>
  <w:style w:type="paragraph" w:customStyle="1" w:styleId="NoSpacing1">
    <w:name w:val="No Spacing1"/>
    <w:uiPriority w:val="1"/>
    <w:qFormat/>
    <w:rsid w:val="00A67473"/>
    <w:rPr>
      <w:rFonts w:ascii="Calibri" w:eastAsia="Calibri" w:hAnsi="Calibri" w:cs="Arial"/>
      <w:sz w:val="22"/>
      <w:szCs w:val="22"/>
    </w:rPr>
  </w:style>
  <w:style w:type="paragraph" w:customStyle="1" w:styleId="Bullet-10">
    <w:name w:val="Bullet-1"/>
    <w:basedOn w:val="NoSpacing1"/>
    <w:qFormat/>
    <w:rsid w:val="00A67473"/>
    <w:pPr>
      <w:numPr>
        <w:numId w:val="7"/>
      </w:numPr>
      <w:spacing w:before="60" w:after="60"/>
      <w:ind w:left="1080"/>
      <w:outlineLvl w:val="1"/>
    </w:pPr>
    <w:rPr>
      <w:rFonts w:ascii="Arial" w:eastAsia="Times New Roman" w:hAnsi="Arial" w:cs="Times New Roman"/>
      <w:szCs w:val="24"/>
    </w:rPr>
  </w:style>
  <w:style w:type="paragraph" w:customStyle="1" w:styleId="HeadingAtext">
    <w:name w:val="Heading A text"/>
    <w:basedOn w:val="Normal"/>
    <w:qFormat/>
    <w:rsid w:val="00F362D9"/>
    <w:pPr>
      <w:spacing w:before="120" w:after="120"/>
      <w:ind w:left="720"/>
    </w:pPr>
    <w:rPr>
      <w:rFonts w:eastAsia="Calibri"/>
      <w:sz w:val="20"/>
    </w:rPr>
  </w:style>
  <w:style w:type="paragraph" w:customStyle="1" w:styleId="Pa6">
    <w:name w:val="Pa6"/>
    <w:basedOn w:val="Normal"/>
    <w:next w:val="Normal"/>
    <w:uiPriority w:val="99"/>
    <w:rsid w:val="00F362D9"/>
    <w:pPr>
      <w:autoSpaceDE w:val="0"/>
      <w:autoSpaceDN w:val="0"/>
      <w:adjustRightInd w:val="0"/>
      <w:spacing w:line="221" w:lineRule="atLeast"/>
    </w:pPr>
    <w:rPr>
      <w:rFonts w:ascii="Avenir 45" w:eastAsia="Calibri" w:hAnsi="Avenir 45"/>
      <w:sz w:val="20"/>
    </w:rPr>
  </w:style>
  <w:style w:type="paragraph" w:customStyle="1" w:styleId="bullet-1">
    <w:name w:val="bullet-1"/>
    <w:basedOn w:val="Normal"/>
    <w:qFormat/>
    <w:rsid w:val="00F362D9"/>
    <w:pPr>
      <w:numPr>
        <w:numId w:val="8"/>
      </w:numPr>
    </w:pPr>
    <w:rPr>
      <w:rFonts w:eastAsia="Calibri"/>
      <w:sz w:val="20"/>
    </w:rPr>
  </w:style>
  <w:style w:type="paragraph" w:customStyle="1" w:styleId="bullet-2">
    <w:name w:val="bullet-2"/>
    <w:basedOn w:val="Normal"/>
    <w:qFormat/>
    <w:rsid w:val="00F362D9"/>
    <w:pPr>
      <w:numPr>
        <w:ilvl w:val="1"/>
        <w:numId w:val="8"/>
      </w:numPr>
      <w:spacing w:before="120" w:after="120"/>
    </w:pPr>
    <w:rPr>
      <w:rFonts w:eastAsia="Calibri"/>
      <w:sz w:val="20"/>
    </w:rPr>
  </w:style>
  <w:style w:type="character" w:customStyle="1" w:styleId="A7">
    <w:name w:val="A7"/>
    <w:uiPriority w:val="99"/>
    <w:rsid w:val="00A67473"/>
    <w:rPr>
      <w:rFonts w:cs="Minion Pro"/>
      <w:color w:val="000000"/>
      <w:sz w:val="18"/>
      <w:szCs w:val="18"/>
      <w:u w:val="single"/>
    </w:rPr>
  </w:style>
  <w:style w:type="paragraph" w:customStyle="1" w:styleId="Pa11">
    <w:name w:val="Pa11"/>
    <w:basedOn w:val="Default"/>
    <w:next w:val="Default"/>
    <w:uiPriority w:val="99"/>
    <w:rsid w:val="00A67473"/>
    <w:pPr>
      <w:autoSpaceDE w:val="0"/>
      <w:autoSpaceDN w:val="0"/>
      <w:adjustRightInd w:val="0"/>
      <w:spacing w:line="181" w:lineRule="atLeast"/>
    </w:pPr>
    <w:rPr>
      <w:rFonts w:eastAsia="Times New Roman" w:cs="Arial"/>
      <w:color w:val="auto"/>
      <w:szCs w:val="24"/>
    </w:rPr>
  </w:style>
  <w:style w:type="paragraph" w:customStyle="1" w:styleId="ColorfulList-Accent11">
    <w:name w:val="Colorful List - Accent 11"/>
    <w:basedOn w:val="Normal"/>
    <w:uiPriority w:val="34"/>
    <w:qFormat/>
    <w:rsid w:val="00F362D9"/>
    <w:pPr>
      <w:spacing w:after="240"/>
      <w:ind w:left="720" w:hanging="720"/>
    </w:pPr>
    <w:rPr>
      <w:rFonts w:eastAsia="Calibri"/>
      <w:sz w:val="20"/>
    </w:rPr>
  </w:style>
  <w:style w:type="paragraph" w:customStyle="1" w:styleId="Textbold">
    <w:name w:val="Text bold"/>
    <w:basedOn w:val="Normal"/>
    <w:link w:val="TextboldChar"/>
    <w:rsid w:val="00F362D9"/>
    <w:pPr>
      <w:tabs>
        <w:tab w:val="left" w:pos="6720"/>
      </w:tabs>
      <w:spacing w:before="120" w:after="120"/>
    </w:pPr>
    <w:rPr>
      <w:rFonts w:eastAsia="Calibri"/>
      <w:b/>
      <w:sz w:val="20"/>
    </w:rPr>
  </w:style>
  <w:style w:type="character" w:customStyle="1" w:styleId="TextboldChar">
    <w:name w:val="Text bold Char"/>
    <w:link w:val="Textbold"/>
    <w:locked/>
    <w:rsid w:val="00A67473"/>
    <w:rPr>
      <w:rFonts w:eastAsia="Calibri"/>
      <w:b/>
      <w:szCs w:val="24"/>
    </w:rPr>
  </w:style>
  <w:style w:type="paragraph" w:customStyle="1" w:styleId="ColorfulShading-Accent11">
    <w:name w:val="Colorful Shading - Accent 11"/>
    <w:hidden/>
    <w:uiPriority w:val="99"/>
    <w:semiHidden/>
    <w:rsid w:val="00A67473"/>
    <w:rPr>
      <w:rFonts w:ascii="Calibri" w:eastAsia="Calibri" w:hAnsi="Calibri" w:cs="Arial"/>
      <w:sz w:val="22"/>
      <w:szCs w:val="22"/>
    </w:rPr>
  </w:style>
  <w:style w:type="character" w:customStyle="1" w:styleId="A9">
    <w:name w:val="A9"/>
    <w:uiPriority w:val="99"/>
    <w:rsid w:val="00A67473"/>
    <w:rPr>
      <w:rFonts w:cs="ITC Cheltenham Std Book"/>
      <w:color w:val="000000"/>
      <w:sz w:val="10"/>
      <w:szCs w:val="10"/>
    </w:rPr>
  </w:style>
  <w:style w:type="paragraph" w:customStyle="1" w:styleId="Tablebullet1">
    <w:name w:val="Table bullet 1"/>
    <w:basedOn w:val="Normal"/>
    <w:uiPriority w:val="99"/>
    <w:rsid w:val="00F362D9"/>
    <w:pPr>
      <w:framePr w:hSpace="180" w:wrap="around" w:vAnchor="page" w:hAnchor="margin" w:x="-972" w:y="1081"/>
      <w:numPr>
        <w:numId w:val="9"/>
      </w:numPr>
      <w:tabs>
        <w:tab w:val="clear" w:pos="144"/>
        <w:tab w:val="left" w:pos="187"/>
      </w:tabs>
      <w:spacing w:after="120"/>
      <w:ind w:left="187" w:hanging="187"/>
    </w:pPr>
    <w:rPr>
      <w:rFonts w:eastAsia="Calibri"/>
      <w:sz w:val="20"/>
      <w:szCs w:val="16"/>
    </w:rPr>
  </w:style>
  <w:style w:type="paragraph" w:customStyle="1" w:styleId="FootnoteText1">
    <w:name w:val="Footnote Text1"/>
    <w:basedOn w:val="FootnoteText"/>
    <w:uiPriority w:val="99"/>
    <w:qFormat/>
    <w:rsid w:val="00F362D9"/>
    <w:rPr>
      <w:rFonts w:eastAsia="Calibri"/>
    </w:rPr>
  </w:style>
  <w:style w:type="paragraph" w:customStyle="1" w:styleId="BodyText">
    <w:name w:val="BodyText"/>
    <w:basedOn w:val="Normal"/>
    <w:link w:val="BodyTextChar"/>
    <w:rsid w:val="00F362D9"/>
    <w:pPr>
      <w:spacing w:after="120"/>
    </w:pPr>
    <w:rPr>
      <w:rFonts w:eastAsia="Calibri"/>
      <w:sz w:val="20"/>
    </w:rPr>
  </w:style>
  <w:style w:type="character" w:customStyle="1" w:styleId="BodyTextChar">
    <w:name w:val="BodyText Char"/>
    <w:link w:val="BodyText"/>
    <w:rsid w:val="00A67473"/>
    <w:rPr>
      <w:rFonts w:eastAsia="Calibri"/>
      <w:szCs w:val="24"/>
    </w:rPr>
  </w:style>
  <w:style w:type="paragraph" w:customStyle="1" w:styleId="TitlePageReportNumber">
    <w:name w:val="Title Page Report Number"/>
    <w:basedOn w:val="Normal"/>
    <w:rsid w:val="00F362D9"/>
    <w:rPr>
      <w:rFonts w:eastAsia="Times"/>
      <w:b/>
      <w:sz w:val="28"/>
    </w:rPr>
  </w:style>
  <w:style w:type="paragraph" w:customStyle="1" w:styleId="TableTitleContinued1">
    <w:name w:val="TableTitleContinued"/>
    <w:basedOn w:val="TableTitle"/>
    <w:qFormat/>
    <w:rsid w:val="00A67473"/>
  </w:style>
  <w:style w:type="paragraph" w:customStyle="1" w:styleId="bullet1-blank">
    <w:name w:val="bullet1-blank"/>
    <w:basedOn w:val="ColorfulList-Accent11"/>
    <w:qFormat/>
    <w:rsid w:val="00A67473"/>
    <w:pPr>
      <w:spacing w:after="0"/>
      <w:ind w:hanging="360"/>
    </w:pPr>
    <w:rPr>
      <w:rFonts w:ascii="Times New Roman" w:hAnsi="Times New Roman"/>
      <w:sz w:val="24"/>
    </w:rPr>
  </w:style>
  <w:style w:type="paragraph" w:customStyle="1" w:styleId="bullet2-blank">
    <w:name w:val="bullet2-blank"/>
    <w:basedOn w:val="Text0"/>
    <w:qFormat/>
    <w:rsid w:val="00F362D9"/>
    <w:pPr>
      <w:suppressAutoHyphens/>
      <w:autoSpaceDN w:val="0"/>
      <w:spacing w:before="0" w:after="0"/>
      <w:ind w:left="1080" w:hanging="360"/>
      <w:textAlignment w:val="baseline"/>
    </w:pPr>
    <w:rPr>
      <w:rFonts w:eastAsia="Calibri"/>
      <w:sz w:val="20"/>
    </w:rPr>
  </w:style>
  <w:style w:type="paragraph" w:customStyle="1" w:styleId="bullet3-blank">
    <w:name w:val="bullet3-blank"/>
    <w:basedOn w:val="Bullet-3"/>
    <w:qFormat/>
    <w:rsid w:val="00A67473"/>
    <w:pPr>
      <w:numPr>
        <w:numId w:val="0"/>
      </w:numPr>
      <w:ind w:left="1440" w:hanging="360"/>
    </w:pPr>
  </w:style>
  <w:style w:type="character" w:customStyle="1" w:styleId="bodytext0">
    <w:name w:val="bodytext"/>
    <w:basedOn w:val="DefaultParagraphFont"/>
    <w:rsid w:val="00A67473"/>
  </w:style>
  <w:style w:type="paragraph" w:customStyle="1" w:styleId="Heading3underlined">
    <w:name w:val="Heading 3 underlined"/>
    <w:basedOn w:val="Normal"/>
    <w:qFormat/>
    <w:rsid w:val="00F362D9"/>
    <w:pPr>
      <w:keepNext/>
      <w:autoSpaceDE w:val="0"/>
      <w:autoSpaceDN w:val="0"/>
      <w:adjustRightInd w:val="0"/>
      <w:spacing w:before="120"/>
    </w:pPr>
    <w:rPr>
      <w:rFonts w:eastAsia="Calibri"/>
      <w:color w:val="000000"/>
      <w:sz w:val="20"/>
      <w:u w:val="single"/>
    </w:rPr>
  </w:style>
  <w:style w:type="character" w:customStyle="1" w:styleId="pagetitle">
    <w:name w:val="pagetitle"/>
    <w:basedOn w:val="DefaultParagraphFont"/>
    <w:rsid w:val="00A67473"/>
  </w:style>
  <w:style w:type="paragraph" w:customStyle="1" w:styleId="Shadedheader-noshade">
    <w:name w:val="Shaded header - no shade"/>
    <w:basedOn w:val="Normal"/>
    <w:qFormat/>
    <w:rsid w:val="00F362D9"/>
    <w:pPr>
      <w:keepNext/>
      <w:spacing w:before="103"/>
    </w:pPr>
    <w:rPr>
      <w:rFonts w:eastAsia="Calibri"/>
      <w:b/>
      <w:bCs/>
      <w:sz w:val="20"/>
    </w:rPr>
  </w:style>
  <w:style w:type="paragraph" w:customStyle="1" w:styleId="kqstem">
    <w:name w:val="kqstem"/>
    <w:basedOn w:val="Normal"/>
    <w:rsid w:val="00F362D9"/>
    <w:pPr>
      <w:shd w:val="clear" w:color="auto" w:fill="FFFFFF"/>
      <w:spacing w:before="120"/>
      <w:ind w:left="360" w:hanging="360"/>
    </w:pPr>
    <w:rPr>
      <w:rFonts w:eastAsia="Calibri"/>
      <w:sz w:val="20"/>
    </w:rPr>
  </w:style>
  <w:style w:type="paragraph" w:customStyle="1" w:styleId="Textbullet2">
    <w:name w:val="Text bullet 2"/>
    <w:basedOn w:val="Normal"/>
    <w:qFormat/>
    <w:rsid w:val="00F362D9"/>
    <w:pPr>
      <w:numPr>
        <w:numId w:val="11"/>
      </w:numPr>
      <w:ind w:left="1440"/>
    </w:pPr>
    <w:rPr>
      <w:rFonts w:eastAsia="Calibri"/>
      <w:sz w:val="20"/>
    </w:rPr>
  </w:style>
  <w:style w:type="paragraph" w:customStyle="1" w:styleId="StyleTextbullet2LatinBodyCSArial95pt1">
    <w:name w:val="Style Text bullet 2 + (Latin) +Body CS (Arial) 9.5 pt1"/>
    <w:basedOn w:val="Textbullet2"/>
    <w:rsid w:val="00F362D9"/>
    <w:pPr>
      <w:numPr>
        <w:numId w:val="10"/>
      </w:numPr>
      <w:spacing w:before="120" w:after="120" w:line="360" w:lineRule="exact"/>
      <w:ind w:left="965" w:hanging="187"/>
    </w:pPr>
    <w:rPr>
      <w:rFonts w:eastAsia="Times New Roman"/>
      <w:sz w:val="19"/>
    </w:rPr>
  </w:style>
  <w:style w:type="numbering" w:customStyle="1" w:styleId="NoList11">
    <w:name w:val="No List11"/>
    <w:next w:val="NoList"/>
    <w:uiPriority w:val="99"/>
    <w:semiHidden/>
    <w:unhideWhenUsed/>
    <w:rsid w:val="00A67473"/>
  </w:style>
  <w:style w:type="table" w:customStyle="1" w:styleId="AHRQ11">
    <w:name w:val="AHRQ11"/>
    <w:basedOn w:val="TableGrid"/>
    <w:rsid w:val="00A67473"/>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bottom"/>
      </w:tcPr>
    </w:tblStylePr>
  </w:style>
  <w:style w:type="character" w:customStyle="1" w:styleId="fthighlight">
    <w:name w:val="ft_highlight"/>
    <w:rsid w:val="00A67473"/>
  </w:style>
  <w:style w:type="paragraph" w:customStyle="1" w:styleId="Tabletextheaderrow">
    <w:name w:val="Table text header row"/>
    <w:basedOn w:val="Normal"/>
    <w:qFormat/>
    <w:rsid w:val="00F362D9"/>
    <w:rPr>
      <w:b/>
      <w:bCs/>
      <w:sz w:val="18"/>
      <w:szCs w:val="18"/>
    </w:rPr>
  </w:style>
  <w:style w:type="paragraph" w:styleId="NoSpacing">
    <w:name w:val="No Spacing"/>
    <w:aliases w:val="EPC heading 2 second level"/>
    <w:uiPriority w:val="1"/>
    <w:qFormat/>
    <w:rsid w:val="00A67473"/>
    <w:rPr>
      <w:rFonts w:ascii="Times" w:hAnsi="Times"/>
      <w:sz w:val="24"/>
    </w:rPr>
  </w:style>
  <w:style w:type="paragraph" w:styleId="BodyText1">
    <w:name w:val="Body Text"/>
    <w:basedOn w:val="Normal"/>
    <w:link w:val="BodyTextChar0"/>
    <w:locked/>
    <w:rsid w:val="00F362D9"/>
    <w:rPr>
      <w:rFonts w:eastAsia="MS Mincho"/>
      <w:snapToGrid w:val="0"/>
    </w:rPr>
  </w:style>
  <w:style w:type="character" w:customStyle="1" w:styleId="BodyTextChar0">
    <w:name w:val="Body Text Char"/>
    <w:basedOn w:val="DefaultParagraphFont"/>
    <w:link w:val="BodyText1"/>
    <w:rsid w:val="00A67473"/>
    <w:rPr>
      <w:rFonts w:eastAsia="MS Mincho"/>
      <w:snapToGrid w:val="0"/>
      <w:sz w:val="24"/>
    </w:rPr>
  </w:style>
  <w:style w:type="character" w:styleId="PageNumber0">
    <w:name w:val="page number"/>
    <w:locked/>
    <w:rsid w:val="00A67473"/>
    <w:rPr>
      <w:rFonts w:ascii="Times New Roman" w:hAnsi="Times New Roman"/>
      <w:b w:val="0"/>
      <w:sz w:val="24"/>
    </w:rPr>
  </w:style>
  <w:style w:type="character" w:customStyle="1" w:styleId="BodyTextFirstIndentChar">
    <w:name w:val="Body Text First Indent Char"/>
    <w:link w:val="BodyTextFirstIndent"/>
    <w:uiPriority w:val="99"/>
    <w:rsid w:val="00A67473"/>
    <w:rPr>
      <w:rFonts w:ascii="Times" w:hAnsi="Times"/>
      <w:sz w:val="24"/>
      <w:szCs w:val="24"/>
    </w:rPr>
  </w:style>
  <w:style w:type="paragraph" w:styleId="BodyTextFirstIndent">
    <w:name w:val="Body Text First Indent"/>
    <w:basedOn w:val="BodyText1"/>
    <w:link w:val="BodyTextFirstIndentChar"/>
    <w:uiPriority w:val="99"/>
    <w:unhideWhenUsed/>
    <w:locked/>
    <w:rsid w:val="00A67473"/>
    <w:pPr>
      <w:ind w:firstLine="210"/>
    </w:pPr>
    <w:rPr>
      <w:rFonts w:eastAsia="Times New Roman"/>
      <w:snapToGrid/>
      <w:szCs w:val="24"/>
    </w:rPr>
  </w:style>
  <w:style w:type="character" w:customStyle="1" w:styleId="BodyTextFirstIndentChar1">
    <w:name w:val="Body Text First Indent Char1"/>
    <w:basedOn w:val="BodyTextChar0"/>
    <w:uiPriority w:val="99"/>
    <w:rsid w:val="00A67473"/>
    <w:rPr>
      <w:rFonts w:eastAsia="MS Mincho"/>
      <w:snapToGrid w:val="0"/>
      <w:sz w:val="24"/>
    </w:rPr>
  </w:style>
  <w:style w:type="paragraph" w:customStyle="1" w:styleId="Bullet-1-blank">
    <w:name w:val="Bullet-1-blank"/>
    <w:basedOn w:val="Bullet-10"/>
    <w:qFormat/>
    <w:rsid w:val="00A67473"/>
    <w:pPr>
      <w:numPr>
        <w:numId w:val="0"/>
      </w:numPr>
      <w:ind w:left="720" w:hanging="360"/>
    </w:pPr>
    <w:rPr>
      <w:rFonts w:ascii="Times New Roman" w:hAnsi="Times New Roman"/>
      <w:sz w:val="24"/>
    </w:rPr>
  </w:style>
  <w:style w:type="character" w:customStyle="1" w:styleId="apple-style-span">
    <w:name w:val="apple-style-span"/>
    <w:rsid w:val="00A67473"/>
  </w:style>
  <w:style w:type="paragraph" w:customStyle="1" w:styleId="Tablebullets">
    <w:name w:val="Table bullets"/>
    <w:basedOn w:val="Tabletext"/>
    <w:qFormat/>
    <w:rsid w:val="00F362D9"/>
    <w:pPr>
      <w:numPr>
        <w:numId w:val="12"/>
      </w:numPr>
      <w:spacing w:before="0" w:after="0"/>
    </w:pPr>
  </w:style>
  <w:style w:type="paragraph" w:customStyle="1" w:styleId="StylePlainTextArial14ptBoldGray-50">
    <w:name w:val="Style Plain Text + Arial 14 pt Bold Gray-50%"/>
    <w:basedOn w:val="Normal"/>
    <w:rsid w:val="00F362D9"/>
    <w:pPr>
      <w:spacing w:after="240"/>
    </w:pPr>
    <w:rPr>
      <w:rFonts w:ascii="Verdana" w:hAnsi="Verdana" w:cs="Courier New"/>
      <w:b/>
      <w:bCs/>
      <w:color w:val="808080"/>
      <w:sz w:val="32"/>
    </w:rPr>
  </w:style>
  <w:style w:type="character" w:styleId="Strong">
    <w:name w:val="Strong"/>
    <w:uiPriority w:val="22"/>
    <w:qFormat/>
    <w:locked/>
    <w:rsid w:val="00A67473"/>
    <w:rPr>
      <w:b/>
      <w:bCs/>
    </w:rPr>
  </w:style>
  <w:style w:type="paragraph" w:customStyle="1" w:styleId="title10">
    <w:name w:val="title1"/>
    <w:basedOn w:val="Normal"/>
    <w:rsid w:val="00F362D9"/>
    <w:rPr>
      <w:sz w:val="29"/>
      <w:szCs w:val="29"/>
    </w:rPr>
  </w:style>
  <w:style w:type="paragraph" w:customStyle="1" w:styleId="desc2">
    <w:name w:val="desc2"/>
    <w:basedOn w:val="Normal"/>
    <w:rsid w:val="00F362D9"/>
    <w:pPr>
      <w:spacing w:before="100" w:beforeAutospacing="1" w:after="100" w:afterAutospacing="1"/>
    </w:pPr>
    <w:rPr>
      <w:sz w:val="28"/>
      <w:szCs w:val="28"/>
    </w:rPr>
  </w:style>
  <w:style w:type="paragraph" w:customStyle="1" w:styleId="details1">
    <w:name w:val="details1"/>
    <w:basedOn w:val="Normal"/>
    <w:rsid w:val="00F362D9"/>
    <w:pPr>
      <w:spacing w:before="100" w:beforeAutospacing="1" w:after="100" w:afterAutospacing="1"/>
    </w:pPr>
  </w:style>
  <w:style w:type="character" w:customStyle="1" w:styleId="highlight">
    <w:name w:val="highlight"/>
    <w:rsid w:val="00A67473"/>
  </w:style>
  <w:style w:type="paragraph" w:customStyle="1" w:styleId="Heading31">
    <w:name w:val="Heading 31"/>
    <w:basedOn w:val="Normal"/>
    <w:next w:val="Normal"/>
    <w:uiPriority w:val="9"/>
    <w:semiHidden/>
    <w:unhideWhenUsed/>
    <w:qFormat/>
    <w:rsid w:val="00F362D9"/>
    <w:pPr>
      <w:keepNext/>
      <w:keepLines/>
      <w:spacing w:before="200"/>
      <w:outlineLvl w:val="2"/>
    </w:pPr>
    <w:rPr>
      <w:rFonts w:ascii="Cambria" w:hAnsi="Cambria"/>
      <w:bCs/>
      <w:color w:val="4F81BD"/>
      <w:sz w:val="36"/>
    </w:rPr>
  </w:style>
  <w:style w:type="numbering" w:customStyle="1" w:styleId="NoList111">
    <w:name w:val="No List111"/>
    <w:next w:val="NoList"/>
    <w:uiPriority w:val="99"/>
    <w:semiHidden/>
    <w:unhideWhenUsed/>
    <w:rsid w:val="00A67473"/>
  </w:style>
  <w:style w:type="character" w:customStyle="1" w:styleId="BodyTextChar1">
    <w:name w:val="Body Text Char1"/>
    <w:uiPriority w:val="99"/>
    <w:semiHidden/>
    <w:rsid w:val="00A67473"/>
    <w:rPr>
      <w:sz w:val="22"/>
      <w:szCs w:val="22"/>
    </w:rPr>
  </w:style>
  <w:style w:type="paragraph" w:customStyle="1" w:styleId="ListParagraph1">
    <w:name w:val="List Paragraph1"/>
    <w:basedOn w:val="Normal"/>
    <w:next w:val="ListParagraph"/>
    <w:uiPriority w:val="34"/>
    <w:qFormat/>
    <w:rsid w:val="00F362D9"/>
    <w:pPr>
      <w:ind w:left="720"/>
      <w:contextualSpacing/>
    </w:pPr>
    <w:rPr>
      <w:rFonts w:eastAsia="Calibri"/>
      <w:b/>
      <w:sz w:val="36"/>
    </w:rPr>
  </w:style>
  <w:style w:type="character" w:customStyle="1" w:styleId="EPCHeading1Char">
    <w:name w:val="EPC Heading 1 Char"/>
    <w:link w:val="EPCHeading1"/>
    <w:locked/>
    <w:rsid w:val="00A67473"/>
    <w:rPr>
      <w:rFonts w:ascii="Arial" w:hAnsi="Arial"/>
      <w:b/>
      <w:i/>
      <w:iCs/>
      <w:caps/>
      <w:sz w:val="26"/>
      <w:szCs w:val="28"/>
    </w:rPr>
  </w:style>
  <w:style w:type="paragraph" w:customStyle="1" w:styleId="EPCHeading1">
    <w:name w:val="EPC Heading 1"/>
    <w:basedOn w:val="Heading1"/>
    <w:link w:val="EPCHeading1Char"/>
    <w:autoRedefine/>
    <w:qFormat/>
    <w:rsid w:val="00F362D9"/>
    <w:pPr>
      <w:keepNext w:val="0"/>
      <w:tabs>
        <w:tab w:val="num" w:pos="1080"/>
      </w:tabs>
      <w:spacing w:after="240"/>
      <w:ind w:left="1080" w:hanging="720"/>
      <w:jc w:val="center"/>
    </w:pPr>
    <w:rPr>
      <w:rFonts w:ascii="Arial" w:hAnsi="Arial"/>
      <w:bCs w:val="0"/>
      <w:i/>
      <w:iCs/>
      <w:caps/>
      <w:kern w:val="0"/>
      <w:sz w:val="26"/>
      <w:szCs w:val="28"/>
    </w:rPr>
  </w:style>
  <w:style w:type="character" w:customStyle="1" w:styleId="EPCHeading2Char">
    <w:name w:val="EPC Heading 2 Char"/>
    <w:link w:val="EPCHeading2"/>
    <w:locked/>
    <w:rsid w:val="00A67473"/>
    <w:rPr>
      <w:rFonts w:ascii="Arial" w:hAnsi="Arial"/>
      <w:b/>
      <w:bCs/>
      <w:i/>
      <w:iCs/>
      <w:sz w:val="28"/>
      <w:szCs w:val="28"/>
    </w:rPr>
  </w:style>
  <w:style w:type="paragraph" w:customStyle="1" w:styleId="EPCHeading2">
    <w:name w:val="EPC Heading 2"/>
    <w:basedOn w:val="NoSpacing"/>
    <w:link w:val="EPCHeading2Char"/>
    <w:autoRedefine/>
    <w:qFormat/>
    <w:rsid w:val="00A67473"/>
    <w:pPr>
      <w:spacing w:before="240" w:after="240"/>
    </w:pPr>
    <w:rPr>
      <w:rFonts w:ascii="Arial" w:hAnsi="Arial"/>
      <w:b/>
      <w:bCs/>
      <w:i/>
      <w:iCs/>
      <w:sz w:val="28"/>
      <w:szCs w:val="28"/>
    </w:rPr>
  </w:style>
  <w:style w:type="paragraph" w:customStyle="1" w:styleId="Level1">
    <w:name w:val="Level 1"/>
    <w:basedOn w:val="Normal"/>
    <w:qFormat/>
    <w:rsid w:val="00F362D9"/>
    <w:pPr>
      <w:tabs>
        <w:tab w:val="right" w:leader="dot" w:pos="9360"/>
      </w:tabs>
      <w:autoSpaceDE w:val="0"/>
      <w:autoSpaceDN w:val="0"/>
      <w:adjustRightInd w:val="0"/>
      <w:ind w:left="90" w:hanging="90"/>
    </w:pPr>
    <w:rPr>
      <w:rFonts w:ascii="Times-Roman" w:eastAsia="Calibri" w:hAnsi="Times-Roman" w:cs="Times-Roman"/>
    </w:rPr>
  </w:style>
  <w:style w:type="character" w:customStyle="1" w:styleId="sourceChar">
    <w:name w:val="source Char"/>
    <w:link w:val="source"/>
    <w:locked/>
    <w:rsid w:val="00A67473"/>
    <w:rPr>
      <w:rFonts w:ascii="Times" w:eastAsia="Times" w:hAnsi="Times" w:cs="Times"/>
      <w:sz w:val="18"/>
      <w:szCs w:val="21"/>
    </w:rPr>
  </w:style>
  <w:style w:type="paragraph" w:customStyle="1" w:styleId="source">
    <w:name w:val="source"/>
    <w:link w:val="sourceChar"/>
    <w:qFormat/>
    <w:rsid w:val="00A67473"/>
    <w:pPr>
      <w:spacing w:before="120" w:after="120"/>
    </w:pPr>
    <w:rPr>
      <w:rFonts w:ascii="Times" w:eastAsia="Times" w:hAnsi="Times" w:cs="Times"/>
      <w:sz w:val="18"/>
      <w:szCs w:val="21"/>
    </w:rPr>
  </w:style>
  <w:style w:type="character" w:customStyle="1" w:styleId="TableTitleChar">
    <w:name w:val="Table Title Char"/>
    <w:link w:val="TableTitle2"/>
    <w:locked/>
    <w:rsid w:val="00A67473"/>
    <w:rPr>
      <w:rFonts w:ascii="Arial" w:eastAsia="Times" w:hAnsi="Arial"/>
      <w:b/>
    </w:rPr>
  </w:style>
  <w:style w:type="paragraph" w:customStyle="1" w:styleId="TableTitle2">
    <w:name w:val="Table Title"/>
    <w:basedOn w:val="Normal"/>
    <w:link w:val="TableTitleChar"/>
    <w:rsid w:val="00F362D9"/>
    <w:pPr>
      <w:keepNext/>
      <w:snapToGrid w:val="0"/>
      <w:spacing w:before="120"/>
      <w:ind w:left="1440" w:hanging="1440"/>
    </w:pPr>
    <w:rPr>
      <w:rFonts w:eastAsia="Times"/>
      <w:b/>
      <w:sz w:val="20"/>
    </w:rPr>
  </w:style>
  <w:style w:type="paragraph" w:customStyle="1" w:styleId="Heading40">
    <w:name w:val="Heading  4"/>
    <w:basedOn w:val="Heading3"/>
    <w:next w:val="Normal"/>
    <w:rsid w:val="00A67473"/>
    <w:pPr>
      <w:spacing w:before="200" w:after="0"/>
    </w:pPr>
    <w:rPr>
      <w:rFonts w:ascii="Cambria" w:eastAsia="Times New Roman" w:hAnsi="Cambria"/>
      <w:b w:val="0"/>
      <w:bCs/>
      <w:color w:val="4F81BD"/>
      <w:sz w:val="36"/>
      <w:szCs w:val="24"/>
    </w:rPr>
  </w:style>
  <w:style w:type="paragraph" w:customStyle="1" w:styleId="instructionsbullets">
    <w:name w:val="instructions bullets"/>
    <w:basedOn w:val="Normal"/>
    <w:rsid w:val="00F362D9"/>
    <w:pPr>
      <w:shd w:val="clear" w:color="auto" w:fill="FFFFFF"/>
      <w:tabs>
        <w:tab w:val="num" w:pos="720"/>
      </w:tabs>
      <w:spacing w:before="120" w:after="120"/>
      <w:ind w:left="770" w:hanging="360"/>
      <w:contextualSpacing/>
    </w:pPr>
    <w:rPr>
      <w:sz w:val="20"/>
    </w:rPr>
  </w:style>
  <w:style w:type="paragraph" w:customStyle="1" w:styleId="ChapterHead">
    <w:name w:val="ChapterHead"/>
    <w:basedOn w:val="Normal"/>
    <w:qFormat/>
    <w:rsid w:val="00F362D9"/>
    <w:pPr>
      <w:spacing w:after="240"/>
      <w:jc w:val="center"/>
    </w:pPr>
    <w:rPr>
      <w:rFonts w:eastAsia="Calibri"/>
      <w:b/>
      <w:sz w:val="36"/>
      <w:szCs w:val="36"/>
    </w:rPr>
  </w:style>
  <w:style w:type="paragraph" w:customStyle="1" w:styleId="TableandFigureHeading">
    <w:name w:val="Table and Figure Heading"/>
    <w:basedOn w:val="Normal"/>
    <w:autoRedefine/>
    <w:rsid w:val="00F362D9"/>
    <w:pPr>
      <w:tabs>
        <w:tab w:val="left" w:leader="dot" w:pos="8820"/>
      </w:tabs>
      <w:spacing w:after="60"/>
    </w:pPr>
    <w:rPr>
      <w:b/>
      <w:bCs/>
      <w:iCs/>
      <w:sz w:val="18"/>
      <w:szCs w:val="18"/>
    </w:rPr>
  </w:style>
  <w:style w:type="paragraph" w:customStyle="1" w:styleId="TableofContents2">
    <w:name w:val="Table of Contents 2"/>
    <w:basedOn w:val="Normal"/>
    <w:rsid w:val="00F362D9"/>
    <w:pPr>
      <w:tabs>
        <w:tab w:val="left" w:pos="990"/>
        <w:tab w:val="left" w:leader="dot" w:pos="8856"/>
      </w:tabs>
      <w:ind w:left="990" w:right="-360" w:hanging="540"/>
    </w:pPr>
    <w:rPr>
      <w:bCs/>
      <w:iCs/>
      <w:sz w:val="20"/>
    </w:rPr>
  </w:style>
  <w:style w:type="character" w:customStyle="1" w:styleId="R-IndentChar">
    <w:name w:val="R-Indent Char"/>
    <w:link w:val="R-Indent"/>
    <w:locked/>
    <w:rsid w:val="00A67473"/>
  </w:style>
  <w:style w:type="paragraph" w:customStyle="1" w:styleId="R-Indent">
    <w:name w:val="R-Indent"/>
    <w:basedOn w:val="Normal"/>
    <w:link w:val="R-IndentChar"/>
    <w:rsid w:val="00F362D9"/>
    <w:pPr>
      <w:spacing w:after="360"/>
      <w:ind w:left="450" w:hanging="450"/>
    </w:pPr>
    <w:rPr>
      <w:sz w:val="20"/>
    </w:rPr>
  </w:style>
  <w:style w:type="paragraph" w:customStyle="1" w:styleId="NOTE">
    <w:name w:val="NOTE:"/>
    <w:basedOn w:val="Style1"/>
    <w:qFormat/>
    <w:rsid w:val="00A67473"/>
    <w:pPr>
      <w:spacing w:before="120" w:after="120"/>
    </w:pPr>
    <w:rPr>
      <w:rFonts w:ascii="Arial" w:hAnsi="Arial"/>
      <w:bCs w:val="0"/>
      <w:iCs w:val="0"/>
      <w:color w:val="auto"/>
      <w:sz w:val="18"/>
      <w:szCs w:val="18"/>
    </w:rPr>
  </w:style>
  <w:style w:type="paragraph" w:customStyle="1" w:styleId="TableTextHeading">
    <w:name w:val="TableTextHeading"/>
    <w:basedOn w:val="TableText2"/>
    <w:qFormat/>
    <w:rsid w:val="00A67473"/>
    <w:pPr>
      <w:autoSpaceDE w:val="0"/>
      <w:autoSpaceDN w:val="0"/>
      <w:adjustRightInd w:val="0"/>
      <w:spacing w:before="60"/>
    </w:pPr>
    <w:rPr>
      <w:b/>
    </w:rPr>
  </w:style>
  <w:style w:type="paragraph" w:customStyle="1" w:styleId="Level2">
    <w:name w:val="Level 2"/>
    <w:basedOn w:val="Normal"/>
    <w:qFormat/>
    <w:rsid w:val="00F362D9"/>
    <w:pPr>
      <w:tabs>
        <w:tab w:val="right" w:leader="dot" w:pos="9360"/>
      </w:tabs>
      <w:autoSpaceDE w:val="0"/>
      <w:autoSpaceDN w:val="0"/>
      <w:adjustRightInd w:val="0"/>
      <w:ind w:left="360"/>
    </w:pPr>
    <w:rPr>
      <w:rFonts w:ascii="Times-Roman" w:eastAsia="Calibri" w:hAnsi="Times-Roman" w:cs="Times-Roman"/>
    </w:rPr>
  </w:style>
  <w:style w:type="paragraph" w:customStyle="1" w:styleId="bullets-blank">
    <w:name w:val="bullets-blank"/>
    <w:basedOn w:val="Normal"/>
    <w:uiPriority w:val="99"/>
    <w:rsid w:val="00F362D9"/>
    <w:pPr>
      <w:tabs>
        <w:tab w:val="num" w:pos="-1224"/>
      </w:tabs>
      <w:spacing w:before="60" w:after="60"/>
      <w:ind w:left="648" w:hanging="288"/>
    </w:pPr>
    <w:rPr>
      <w:szCs w:val="18"/>
    </w:rPr>
  </w:style>
  <w:style w:type="character" w:customStyle="1" w:styleId="SourceChar0">
    <w:name w:val="Source Char"/>
    <w:link w:val="Source0"/>
    <w:locked/>
    <w:rsid w:val="00A67473"/>
    <w:rPr>
      <w:sz w:val="16"/>
      <w:szCs w:val="16"/>
    </w:rPr>
  </w:style>
  <w:style w:type="paragraph" w:customStyle="1" w:styleId="Source0">
    <w:name w:val="Source"/>
    <w:link w:val="SourceChar0"/>
    <w:qFormat/>
    <w:rsid w:val="00A67473"/>
    <w:pPr>
      <w:spacing w:before="120" w:after="240"/>
    </w:pPr>
    <w:rPr>
      <w:sz w:val="16"/>
      <w:szCs w:val="16"/>
    </w:rPr>
  </w:style>
  <w:style w:type="character" w:customStyle="1" w:styleId="TableTitlecontinuedChar">
    <w:name w:val="Table Title (continued) Char"/>
    <w:link w:val="TableTitlecontinued2"/>
    <w:locked/>
    <w:rsid w:val="00A67473"/>
    <w:rPr>
      <w:rFonts w:ascii="Arial Bold" w:eastAsia="Arial" w:hAnsi="Arial Bold"/>
      <w:b/>
      <w:snapToGrid w:val="0"/>
      <w:szCs w:val="18"/>
    </w:rPr>
  </w:style>
  <w:style w:type="paragraph" w:customStyle="1" w:styleId="TableTitlecontinued2">
    <w:name w:val="Table Title (continued)"/>
    <w:basedOn w:val="Normal"/>
    <w:link w:val="TableTitlecontinuedChar"/>
    <w:rsid w:val="00F362D9"/>
    <w:pPr>
      <w:ind w:left="1440" w:hanging="1440"/>
    </w:pPr>
    <w:rPr>
      <w:rFonts w:ascii="Arial Bold" w:eastAsia="Arial" w:hAnsi="Arial Bold"/>
      <w:b/>
      <w:snapToGrid w:val="0"/>
      <w:sz w:val="20"/>
      <w:szCs w:val="18"/>
    </w:rPr>
  </w:style>
  <w:style w:type="character" w:customStyle="1" w:styleId="TableText-paraspaceChar">
    <w:name w:val="Table Text - para space Char"/>
    <w:link w:val="TableText-paraspace"/>
    <w:locked/>
    <w:rsid w:val="00A67473"/>
    <w:rPr>
      <w:rFonts w:ascii="Arial" w:eastAsia="Times" w:hAnsi="Arial"/>
      <w:sz w:val="18"/>
    </w:rPr>
  </w:style>
  <w:style w:type="paragraph" w:customStyle="1" w:styleId="TableText-paraspace">
    <w:name w:val="Table Text - para space"/>
    <w:basedOn w:val="Normal"/>
    <w:link w:val="TableText-paraspaceChar"/>
    <w:rsid w:val="00F362D9"/>
    <w:pPr>
      <w:spacing w:before="120"/>
    </w:pPr>
    <w:rPr>
      <w:rFonts w:eastAsia="Times"/>
      <w:sz w:val="18"/>
    </w:rPr>
  </w:style>
  <w:style w:type="paragraph" w:customStyle="1" w:styleId="FigureTitle0">
    <w:name w:val="Figure Title"/>
    <w:rsid w:val="00A67473"/>
    <w:pPr>
      <w:keepNext/>
      <w:spacing w:before="120" w:after="120"/>
    </w:pPr>
    <w:rPr>
      <w:rFonts w:ascii="Arial Bold" w:hAnsi="Arial Bold"/>
      <w:b/>
      <w:sz w:val="18"/>
      <w:szCs w:val="18"/>
    </w:rPr>
  </w:style>
  <w:style w:type="character" w:styleId="BookTitle">
    <w:name w:val="Book Title"/>
    <w:uiPriority w:val="33"/>
    <w:qFormat/>
    <w:rsid w:val="00A67473"/>
    <w:rPr>
      <w:b/>
      <w:bCs/>
      <w:smallCaps/>
      <w:spacing w:val="5"/>
    </w:rPr>
  </w:style>
  <w:style w:type="character" w:customStyle="1" w:styleId="f">
    <w:name w:val="f"/>
    <w:rsid w:val="00A67473"/>
  </w:style>
  <w:style w:type="table" w:customStyle="1" w:styleId="TableGrid2">
    <w:name w:val="Table Grid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A67473"/>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F362D9"/>
    <w:rPr>
      <w:b/>
      <w:bCs/>
      <w:color w:val="4F81BD"/>
      <w:sz w:val="18"/>
      <w:szCs w:val="18"/>
    </w:rPr>
  </w:style>
  <w:style w:type="paragraph" w:customStyle="1" w:styleId="ExhibitTitle">
    <w:name w:val="Exhibit Title"/>
    <w:qFormat/>
    <w:rsid w:val="00A67473"/>
    <w:pPr>
      <w:spacing w:before="120" w:after="120"/>
    </w:pPr>
    <w:rPr>
      <w:rFonts w:ascii="Arial" w:hAnsi="Arial" w:cs="Arial"/>
      <w:b/>
      <w:sz w:val="22"/>
      <w:szCs w:val="22"/>
    </w:rPr>
  </w:style>
  <w:style w:type="paragraph" w:customStyle="1" w:styleId="BodyBullet">
    <w:name w:val="Body Bullet"/>
    <w:basedOn w:val="Normal"/>
    <w:rsid w:val="00F362D9"/>
    <w:pPr>
      <w:numPr>
        <w:numId w:val="13"/>
      </w:numPr>
    </w:pPr>
  </w:style>
  <w:style w:type="paragraph" w:customStyle="1" w:styleId="biblio">
    <w:name w:val="biblio"/>
    <w:basedOn w:val="Normal"/>
    <w:rsid w:val="00F362D9"/>
    <w:pPr>
      <w:keepLines/>
      <w:spacing w:after="120"/>
      <w:ind w:left="720" w:hanging="720"/>
    </w:pPr>
    <w:rPr>
      <w:sz w:val="20"/>
    </w:rPr>
  </w:style>
  <w:style w:type="paragraph" w:styleId="BodyText3">
    <w:name w:val="Body Text 3"/>
    <w:basedOn w:val="Normal"/>
    <w:link w:val="BodyText3Char"/>
    <w:locked/>
    <w:rsid w:val="00F362D9"/>
    <w:rPr>
      <w:rFonts w:ascii="Verdana" w:hAnsi="Verdana"/>
      <w:sz w:val="28"/>
    </w:rPr>
  </w:style>
  <w:style w:type="character" w:customStyle="1" w:styleId="BodyText3Char">
    <w:name w:val="Body Text 3 Char"/>
    <w:basedOn w:val="DefaultParagraphFont"/>
    <w:link w:val="BodyText3"/>
    <w:rsid w:val="00A67473"/>
    <w:rPr>
      <w:rFonts w:ascii="Verdana" w:hAnsi="Verdana"/>
      <w:sz w:val="28"/>
      <w:szCs w:val="24"/>
    </w:rPr>
  </w:style>
  <w:style w:type="paragraph" w:styleId="BodyTextIndent3">
    <w:name w:val="Body Text Indent 3"/>
    <w:basedOn w:val="Normal"/>
    <w:link w:val="BodyTextIndent3Char"/>
    <w:locked/>
    <w:rsid w:val="00F362D9"/>
    <w:pPr>
      <w:spacing w:after="120"/>
      <w:ind w:left="360"/>
    </w:pPr>
    <w:rPr>
      <w:sz w:val="16"/>
      <w:szCs w:val="16"/>
    </w:rPr>
  </w:style>
  <w:style w:type="character" w:customStyle="1" w:styleId="BodyTextIndent3Char">
    <w:name w:val="Body Text Indent 3 Char"/>
    <w:basedOn w:val="DefaultParagraphFont"/>
    <w:link w:val="BodyTextIndent3"/>
    <w:rsid w:val="00A67473"/>
    <w:rPr>
      <w:sz w:val="16"/>
      <w:szCs w:val="16"/>
    </w:rPr>
  </w:style>
  <w:style w:type="character" w:customStyle="1" w:styleId="ac1">
    <w:name w:val="ac1"/>
    <w:rsid w:val="00A67473"/>
  </w:style>
  <w:style w:type="character" w:customStyle="1" w:styleId="st1">
    <w:name w:val="st1"/>
    <w:rsid w:val="00A67473"/>
  </w:style>
  <w:style w:type="character" w:customStyle="1" w:styleId="Heading3Char1">
    <w:name w:val="Heading 3 Char1"/>
    <w:uiPriority w:val="9"/>
    <w:semiHidden/>
    <w:rsid w:val="00A67473"/>
    <w:rPr>
      <w:rFonts w:ascii="Cambria" w:eastAsia="Times New Roman" w:hAnsi="Cambria" w:cs="Times New Roman"/>
      <w:b/>
      <w:bCs/>
      <w:color w:val="4F81BD"/>
    </w:rPr>
  </w:style>
  <w:style w:type="paragraph" w:styleId="TableofFigures">
    <w:name w:val="table of figures"/>
    <w:basedOn w:val="Normal"/>
    <w:next w:val="Normal"/>
    <w:uiPriority w:val="99"/>
    <w:locked/>
    <w:rsid w:val="00F362D9"/>
    <w:pPr>
      <w:tabs>
        <w:tab w:val="right" w:leader="dot" w:pos="9360"/>
      </w:tabs>
      <w:spacing w:before="80" w:after="80"/>
      <w:ind w:left="720" w:right="720" w:hanging="720"/>
    </w:pPr>
    <w:rPr>
      <w:rFonts w:ascii="Verdana" w:hAnsi="Verdana"/>
      <w:noProof/>
      <w:sz w:val="20"/>
    </w:rPr>
  </w:style>
  <w:style w:type="paragraph" w:customStyle="1" w:styleId="TableTitlecontinued3">
    <w:name w:val="TableTitle (continued)"/>
    <w:basedOn w:val="TableTitle"/>
    <w:qFormat/>
    <w:rsid w:val="00A67473"/>
  </w:style>
  <w:style w:type="paragraph" w:styleId="PlainText">
    <w:name w:val="Plain Text"/>
    <w:basedOn w:val="Normal"/>
    <w:link w:val="PlainTextChar"/>
    <w:uiPriority w:val="99"/>
    <w:unhideWhenUsed/>
    <w:locked/>
    <w:rsid w:val="00F362D9"/>
    <w:rPr>
      <w:rFonts w:ascii="Calibri" w:eastAsia="Calibri" w:hAnsi="Calibri"/>
      <w:sz w:val="20"/>
    </w:rPr>
  </w:style>
  <w:style w:type="character" w:customStyle="1" w:styleId="PlainTextChar">
    <w:name w:val="Plain Text Char"/>
    <w:basedOn w:val="DefaultParagraphFont"/>
    <w:link w:val="PlainText"/>
    <w:uiPriority w:val="99"/>
    <w:rsid w:val="00A67473"/>
    <w:rPr>
      <w:rFonts w:ascii="Calibri" w:eastAsia="Calibri" w:hAnsi="Calibri"/>
      <w:szCs w:val="22"/>
    </w:rPr>
  </w:style>
  <w:style w:type="numbering" w:customStyle="1" w:styleId="NoList1111">
    <w:name w:val="No List1111"/>
    <w:next w:val="NoList"/>
    <w:uiPriority w:val="99"/>
    <w:semiHidden/>
    <w:unhideWhenUsed/>
    <w:rsid w:val="00A67473"/>
  </w:style>
  <w:style w:type="numbering" w:customStyle="1" w:styleId="NoList11111">
    <w:name w:val="No List11111"/>
    <w:next w:val="NoList"/>
    <w:uiPriority w:val="99"/>
    <w:semiHidden/>
    <w:unhideWhenUsed/>
    <w:rsid w:val="00A67473"/>
  </w:style>
  <w:style w:type="table" w:customStyle="1" w:styleId="AHRQ111">
    <w:name w:val="AHRQ111"/>
    <w:basedOn w:val="TableGrid"/>
    <w:rsid w:val="00A674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2">
    <w:name w:val="Heading 3 Char2"/>
    <w:uiPriority w:val="9"/>
    <w:semiHidden/>
    <w:rsid w:val="00A67473"/>
    <w:rPr>
      <w:rFonts w:ascii="Cambria" w:eastAsia="Times New Roman" w:hAnsi="Cambria" w:cs="Times New Roman"/>
      <w:b/>
      <w:bCs/>
      <w:color w:val="4F81BD"/>
    </w:rPr>
  </w:style>
  <w:style w:type="paragraph" w:styleId="TOC3">
    <w:name w:val="toc 3"/>
    <w:basedOn w:val="Normal"/>
    <w:next w:val="Normal"/>
    <w:autoRedefine/>
    <w:uiPriority w:val="39"/>
    <w:locked/>
    <w:rsid w:val="00275D6B"/>
    <w:pPr>
      <w:tabs>
        <w:tab w:val="right" w:leader="dot" w:pos="9360"/>
      </w:tabs>
      <w:ind w:left="1080" w:right="432" w:hanging="360"/>
    </w:pPr>
    <w:rPr>
      <w:rFonts w:ascii="Times New Roman" w:hAnsi="Times New Roman"/>
      <w:noProof/>
    </w:rPr>
  </w:style>
  <w:style w:type="paragraph" w:customStyle="1" w:styleId="Covers">
    <w:name w:val="Covers"/>
    <w:basedOn w:val="Normal"/>
    <w:uiPriority w:val="99"/>
    <w:semiHidden/>
    <w:rsid w:val="00F362D9"/>
    <w:pPr>
      <w:jc w:val="right"/>
    </w:pPr>
    <w:rPr>
      <w:b/>
      <w:sz w:val="36"/>
    </w:rPr>
  </w:style>
  <w:style w:type="character" w:styleId="HTMLCite">
    <w:name w:val="HTML Cite"/>
    <w:uiPriority w:val="99"/>
    <w:semiHidden/>
    <w:unhideWhenUsed/>
    <w:locked/>
    <w:rsid w:val="00A67473"/>
    <w:rPr>
      <w:i/>
      <w:iCs/>
    </w:rPr>
  </w:style>
  <w:style w:type="paragraph" w:customStyle="1" w:styleId="reference0">
    <w:name w:val="reference"/>
    <w:basedOn w:val="Bullet-20"/>
    <w:qFormat/>
    <w:rsid w:val="00A67473"/>
    <w:pPr>
      <w:numPr>
        <w:ilvl w:val="0"/>
        <w:numId w:val="0"/>
      </w:numPr>
      <w:ind w:left="720" w:hanging="720"/>
      <w:outlineLvl w:val="1"/>
    </w:pPr>
    <w:rPr>
      <w:rFonts w:ascii="Times New Roman" w:hAnsi="Times New Roman" w:cs="Times New Roman"/>
      <w:szCs w:val="24"/>
    </w:rPr>
  </w:style>
  <w:style w:type="paragraph" w:customStyle="1" w:styleId="AutoCorrect">
    <w:name w:val="AutoCorrect"/>
    <w:rsid w:val="00A67473"/>
    <w:pPr>
      <w:spacing w:after="200" w:line="276" w:lineRule="auto"/>
    </w:pPr>
    <w:rPr>
      <w:rFonts w:ascii="Calibri" w:hAnsi="Calibri" w:cs="Arial"/>
      <w:sz w:val="22"/>
      <w:szCs w:val="22"/>
    </w:rPr>
  </w:style>
  <w:style w:type="character" w:customStyle="1" w:styleId="ft">
    <w:name w:val="ft"/>
    <w:rsid w:val="00A67473"/>
  </w:style>
  <w:style w:type="paragraph" w:customStyle="1" w:styleId="TableTextIndent">
    <w:name w:val="TableTextIndent"/>
    <w:basedOn w:val="TableLeftText"/>
    <w:qFormat/>
    <w:rsid w:val="00A67473"/>
    <w:pPr>
      <w:ind w:left="187"/>
    </w:pPr>
    <w:rPr>
      <w:rFonts w:eastAsia="Times New Roman"/>
    </w:rPr>
  </w:style>
  <w:style w:type="character" w:customStyle="1" w:styleId="st">
    <w:name w:val="st"/>
    <w:rsid w:val="00A67473"/>
  </w:style>
  <w:style w:type="paragraph" w:customStyle="1" w:styleId="TableTitleContinued4">
    <w:name w:val="TableTitle Continued"/>
    <w:basedOn w:val="TableTitle"/>
    <w:qFormat/>
    <w:rsid w:val="00A67473"/>
  </w:style>
  <w:style w:type="table" w:customStyle="1" w:styleId="LightShading1">
    <w:name w:val="Light Shading1"/>
    <w:aliases w:val="Manuscript"/>
    <w:basedOn w:val="TableNormal"/>
    <w:uiPriority w:val="60"/>
    <w:rsid w:val="00A67473"/>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locked/>
    <w:rsid w:val="00A67473"/>
  </w:style>
  <w:style w:type="paragraph" w:customStyle="1" w:styleId="Bullet-2-blank">
    <w:name w:val="Bullet-2-blank"/>
    <w:basedOn w:val="Bullet2"/>
    <w:qFormat/>
    <w:rsid w:val="00A67473"/>
    <w:pPr>
      <w:numPr>
        <w:ilvl w:val="0"/>
        <w:numId w:val="0"/>
      </w:numPr>
      <w:ind w:left="1080" w:hanging="360"/>
    </w:pPr>
  </w:style>
  <w:style w:type="numbering" w:customStyle="1" w:styleId="NoList111111">
    <w:name w:val="No List111111"/>
    <w:next w:val="NoList"/>
    <w:uiPriority w:val="99"/>
    <w:semiHidden/>
    <w:unhideWhenUsed/>
    <w:rsid w:val="00A67473"/>
  </w:style>
  <w:style w:type="paragraph" w:customStyle="1" w:styleId="a0">
    <w:name w:val="+"/>
    <w:basedOn w:val="Normal"/>
    <w:qFormat/>
    <w:rsid w:val="00F362D9"/>
    <w:pPr>
      <w:numPr>
        <w:numId w:val="15"/>
      </w:numPr>
    </w:pPr>
    <w:rPr>
      <w:sz w:val="18"/>
      <w:szCs w:val="18"/>
    </w:rPr>
  </w:style>
  <w:style w:type="paragraph" w:customStyle="1" w:styleId="a">
    <w:name w:val="="/>
    <w:basedOn w:val="a0"/>
    <w:qFormat/>
    <w:rsid w:val="00A67473"/>
    <w:pPr>
      <w:numPr>
        <w:numId w:val="16"/>
      </w:numPr>
      <w:ind w:left="342" w:hanging="342"/>
    </w:pPr>
    <w:rPr>
      <w:color w:val="000000"/>
    </w:rPr>
  </w:style>
  <w:style w:type="paragraph" w:customStyle="1" w:styleId="-">
    <w:name w:val="-"/>
    <w:basedOn w:val="Normal"/>
    <w:qFormat/>
    <w:rsid w:val="00F362D9"/>
    <w:pPr>
      <w:numPr>
        <w:numId w:val="17"/>
      </w:numPr>
      <w:ind w:left="342" w:hanging="270"/>
    </w:pPr>
    <w:rPr>
      <w:sz w:val="18"/>
      <w:szCs w:val="18"/>
    </w:rPr>
  </w:style>
  <w:style w:type="paragraph" w:customStyle="1" w:styleId="TableBullet3">
    <w:name w:val="TableBullet="/>
    <w:basedOn w:val="a"/>
    <w:qFormat/>
    <w:rsid w:val="00A67473"/>
    <w:pPr>
      <w:numPr>
        <w:numId w:val="0"/>
      </w:numPr>
      <w:ind w:left="342" w:hanging="342"/>
    </w:pPr>
  </w:style>
  <w:style w:type="paragraph" w:customStyle="1" w:styleId="TableBullet">
    <w:name w:val="TableBullet+"/>
    <w:basedOn w:val="a0"/>
    <w:qFormat/>
    <w:rsid w:val="00A67473"/>
    <w:pPr>
      <w:numPr>
        <w:numId w:val="14"/>
      </w:numPr>
    </w:pPr>
  </w:style>
  <w:style w:type="table" w:customStyle="1" w:styleId="LightGrid-Accent11">
    <w:name w:val="Light Grid - Accent 11"/>
    <w:basedOn w:val="TableNormal"/>
    <w:uiPriority w:val="62"/>
    <w:rsid w:val="00A67473"/>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2">
    <w:name w:val="Title2"/>
    <w:basedOn w:val="Normal"/>
    <w:qFormat/>
    <w:rsid w:val="00F362D9"/>
    <w:pPr>
      <w:spacing w:before="100" w:beforeAutospacing="1" w:after="100" w:afterAutospacing="1"/>
    </w:pPr>
  </w:style>
  <w:style w:type="paragraph" w:customStyle="1" w:styleId="AbstractText">
    <w:name w:val="AbstractText"/>
    <w:basedOn w:val="NormalWeb"/>
    <w:qFormat/>
    <w:rsid w:val="00F362D9"/>
  </w:style>
  <w:style w:type="paragraph" w:styleId="TOC5">
    <w:name w:val="toc 5"/>
    <w:basedOn w:val="Normal"/>
    <w:next w:val="Normal"/>
    <w:autoRedefine/>
    <w:uiPriority w:val="39"/>
    <w:unhideWhenUsed/>
    <w:locked/>
    <w:rsid w:val="00F362D9"/>
    <w:pPr>
      <w:tabs>
        <w:tab w:val="right" w:leader="dot" w:pos="9350"/>
      </w:tabs>
      <w:ind w:right="450"/>
    </w:pPr>
    <w:rPr>
      <w:noProof/>
    </w:rPr>
  </w:style>
  <w:style w:type="paragraph" w:styleId="TOC4">
    <w:name w:val="toc 4"/>
    <w:basedOn w:val="Normal"/>
    <w:next w:val="Normal"/>
    <w:autoRedefine/>
    <w:uiPriority w:val="39"/>
    <w:unhideWhenUsed/>
    <w:locked/>
    <w:rsid w:val="00F362D9"/>
    <w:pPr>
      <w:spacing w:after="100"/>
      <w:ind w:left="660"/>
    </w:pPr>
    <w:rPr>
      <w:rFonts w:ascii="Calibri" w:hAnsi="Calibri"/>
      <w:sz w:val="20"/>
    </w:rPr>
  </w:style>
  <w:style w:type="paragraph" w:styleId="TOC6">
    <w:name w:val="toc 6"/>
    <w:basedOn w:val="Normal"/>
    <w:next w:val="Normal"/>
    <w:autoRedefine/>
    <w:uiPriority w:val="39"/>
    <w:unhideWhenUsed/>
    <w:locked/>
    <w:rsid w:val="00F362D9"/>
    <w:pPr>
      <w:spacing w:after="100"/>
      <w:ind w:left="1100"/>
    </w:pPr>
    <w:rPr>
      <w:rFonts w:ascii="Calibri" w:hAnsi="Calibri"/>
      <w:sz w:val="20"/>
    </w:rPr>
  </w:style>
  <w:style w:type="paragraph" w:styleId="TOC7">
    <w:name w:val="toc 7"/>
    <w:basedOn w:val="Normal"/>
    <w:next w:val="Normal"/>
    <w:autoRedefine/>
    <w:uiPriority w:val="39"/>
    <w:unhideWhenUsed/>
    <w:locked/>
    <w:rsid w:val="00F362D9"/>
    <w:pPr>
      <w:spacing w:after="100"/>
      <w:ind w:left="1320"/>
    </w:pPr>
    <w:rPr>
      <w:rFonts w:ascii="Calibri" w:hAnsi="Calibri"/>
      <w:sz w:val="20"/>
    </w:rPr>
  </w:style>
  <w:style w:type="paragraph" w:styleId="TOC8">
    <w:name w:val="toc 8"/>
    <w:basedOn w:val="Normal"/>
    <w:next w:val="Normal"/>
    <w:autoRedefine/>
    <w:uiPriority w:val="39"/>
    <w:unhideWhenUsed/>
    <w:locked/>
    <w:rsid w:val="00F362D9"/>
    <w:pPr>
      <w:spacing w:after="100"/>
      <w:ind w:left="1540"/>
    </w:pPr>
    <w:rPr>
      <w:rFonts w:ascii="Calibri" w:hAnsi="Calibri"/>
      <w:sz w:val="20"/>
    </w:rPr>
  </w:style>
  <w:style w:type="paragraph" w:styleId="TOC9">
    <w:name w:val="toc 9"/>
    <w:basedOn w:val="Normal"/>
    <w:next w:val="Normal"/>
    <w:autoRedefine/>
    <w:uiPriority w:val="39"/>
    <w:unhideWhenUsed/>
    <w:locked/>
    <w:rsid w:val="00F362D9"/>
    <w:pPr>
      <w:spacing w:after="100"/>
      <w:ind w:left="1760"/>
    </w:pPr>
    <w:rPr>
      <w:rFonts w:ascii="Calibri" w:hAnsi="Calibri"/>
      <w:sz w:val="20"/>
    </w:rPr>
  </w:style>
  <w:style w:type="paragraph" w:customStyle="1" w:styleId="paragraphindent0">
    <w:name w:val="paragraphindent"/>
    <w:basedOn w:val="Normal"/>
    <w:rsid w:val="00F362D9"/>
    <w:rPr>
      <w:rFonts w:eastAsia="Calibri"/>
    </w:rPr>
  </w:style>
  <w:style w:type="paragraph" w:customStyle="1" w:styleId="NOTEText">
    <w:name w:val="NOTE: Text"/>
    <w:basedOn w:val="NOTE"/>
    <w:qFormat/>
    <w:rsid w:val="00A67473"/>
    <w:pPr>
      <w:ind w:firstLine="720"/>
    </w:pPr>
    <w:rPr>
      <w:rFonts w:eastAsia="Times New Roman"/>
      <w:sz w:val="20"/>
    </w:rPr>
  </w:style>
  <w:style w:type="paragraph" w:customStyle="1" w:styleId="tabletext3">
    <w:name w:val="tabletext"/>
    <w:basedOn w:val="Normal"/>
    <w:rsid w:val="00DF2F7A"/>
    <w:rPr>
      <w:sz w:val="18"/>
    </w:rPr>
  </w:style>
  <w:style w:type="paragraph" w:customStyle="1" w:styleId="tablebullets-2">
    <w:name w:val="table bullets-2"/>
    <w:basedOn w:val="Normal"/>
    <w:qFormat/>
    <w:rsid w:val="00F362D9"/>
    <w:pPr>
      <w:widowControl w:val="0"/>
      <w:numPr>
        <w:numId w:val="19"/>
      </w:numPr>
      <w:suppressAutoHyphens/>
      <w:autoSpaceDN w:val="0"/>
      <w:textAlignment w:val="baseline"/>
    </w:pPr>
    <w:rPr>
      <w:sz w:val="18"/>
      <w:szCs w:val="18"/>
      <w:lang w:bidi="en-US"/>
    </w:rPr>
  </w:style>
  <w:style w:type="paragraph" w:customStyle="1" w:styleId="Tabletextbold">
    <w:name w:val="Table text bold"/>
    <w:basedOn w:val="Tabletext"/>
    <w:qFormat/>
    <w:rsid w:val="00F362D9"/>
    <w:pPr>
      <w:spacing w:before="120" w:after="0"/>
    </w:pPr>
    <w:rPr>
      <w:b/>
      <w:iCs/>
      <w:color w:val="000000"/>
      <w:szCs w:val="24"/>
    </w:rPr>
  </w:style>
  <w:style w:type="paragraph" w:customStyle="1" w:styleId="tablebullets0">
    <w:name w:val="table bullets"/>
    <w:basedOn w:val="Normal"/>
    <w:qFormat/>
    <w:rsid w:val="00F362D9"/>
    <w:pPr>
      <w:suppressAutoHyphens/>
      <w:autoSpaceDN w:val="0"/>
      <w:textAlignment w:val="baseline"/>
    </w:pPr>
    <w:rPr>
      <w:rFonts w:eastAsia="Calibri"/>
      <w:sz w:val="18"/>
      <w:szCs w:val="18"/>
      <w:lang w:bidi="en-US"/>
    </w:rPr>
  </w:style>
  <w:style w:type="paragraph" w:styleId="Bibliography">
    <w:name w:val="Bibliography"/>
    <w:basedOn w:val="Normal"/>
    <w:next w:val="Normal"/>
    <w:uiPriority w:val="37"/>
    <w:unhideWhenUsed/>
    <w:rsid w:val="00F362D9"/>
    <w:rPr>
      <w:rFonts w:ascii="Verdana" w:eastAsia="Calibri" w:hAnsi="Verdana"/>
      <w:sz w:val="20"/>
    </w:rPr>
  </w:style>
  <w:style w:type="paragraph" w:customStyle="1" w:styleId="Tablebullet2">
    <w:name w:val="Table bullet"/>
    <w:basedOn w:val="Tabletext"/>
    <w:qFormat/>
    <w:rsid w:val="00F362D9"/>
    <w:pPr>
      <w:numPr>
        <w:numId w:val="20"/>
      </w:numPr>
      <w:spacing w:before="0" w:after="0"/>
      <w:ind w:left="187" w:hanging="187"/>
    </w:pPr>
    <w:rPr>
      <w:rFonts w:eastAsia="Calibri"/>
    </w:rPr>
  </w:style>
  <w:style w:type="paragraph" w:customStyle="1" w:styleId="TableText-with-para">
    <w:name w:val="TableText-with-para"/>
    <w:basedOn w:val="Tabletext"/>
    <w:qFormat/>
    <w:rsid w:val="00F362D9"/>
    <w:pPr>
      <w:tabs>
        <w:tab w:val="left" w:pos="0"/>
      </w:tabs>
      <w:spacing w:before="120" w:after="0"/>
    </w:pPr>
    <w:rPr>
      <w:rFonts w:eastAsia="Calibri"/>
    </w:rPr>
  </w:style>
  <w:style w:type="paragraph" w:customStyle="1" w:styleId="TableHeaderRow">
    <w:name w:val="TableHeaderRow"/>
    <w:basedOn w:val="Normal"/>
    <w:qFormat/>
    <w:rsid w:val="00F65235"/>
    <w:rPr>
      <w:rFonts w:ascii="Arial Bold" w:eastAsia="Calibri" w:hAnsi="Arial Bold"/>
      <w:b/>
      <w:sz w:val="18"/>
      <w:szCs w:val="18"/>
    </w:rPr>
  </w:style>
  <w:style w:type="paragraph" w:customStyle="1" w:styleId="Pa0">
    <w:name w:val="Pa0"/>
    <w:basedOn w:val="Normal"/>
    <w:next w:val="Normal"/>
    <w:uiPriority w:val="99"/>
    <w:rsid w:val="00F362D9"/>
    <w:pPr>
      <w:autoSpaceDE w:val="0"/>
      <w:autoSpaceDN w:val="0"/>
      <w:adjustRightInd w:val="0"/>
      <w:spacing w:line="241" w:lineRule="atLeast"/>
    </w:pPr>
    <w:rPr>
      <w:rFonts w:ascii="ANJYQG+AGaramondPro-Regular" w:eastAsia="Calibri" w:hAnsi="ANJYQG+AGaramondPro-Regular"/>
      <w:sz w:val="20"/>
    </w:rPr>
  </w:style>
  <w:style w:type="paragraph" w:customStyle="1" w:styleId="AHRQLevel4">
    <w:name w:val="AHRQLevel4"/>
    <w:basedOn w:val="BodyText"/>
    <w:link w:val="AHRQLevel4Char"/>
    <w:qFormat/>
    <w:rsid w:val="00A67473"/>
    <w:pPr>
      <w:tabs>
        <w:tab w:val="left" w:pos="720"/>
      </w:tabs>
      <w:spacing w:before="240" w:after="0"/>
    </w:pPr>
    <w:rPr>
      <w:rFonts w:eastAsia="Times New Roman"/>
      <w:b/>
      <w:bCs/>
      <w:sz w:val="28"/>
      <w:szCs w:val="28"/>
    </w:rPr>
  </w:style>
  <w:style w:type="character" w:customStyle="1" w:styleId="AHRQLevel4Char">
    <w:name w:val="AHRQLevel4 Char"/>
    <w:link w:val="AHRQLevel4"/>
    <w:rsid w:val="00A67473"/>
    <w:rPr>
      <w:b/>
      <w:bCs/>
      <w:sz w:val="28"/>
      <w:szCs w:val="28"/>
    </w:rPr>
  </w:style>
  <w:style w:type="paragraph" w:customStyle="1" w:styleId="TableBoldItalText">
    <w:name w:val="TableBoldItalText"/>
    <w:basedOn w:val="TableBoldText"/>
    <w:qFormat/>
    <w:rsid w:val="00A67473"/>
    <w:rPr>
      <w:i/>
    </w:rPr>
  </w:style>
  <w:style w:type="table" w:customStyle="1" w:styleId="ElegantRM">
    <w:name w:val="Elegant RM"/>
    <w:basedOn w:val="TableElegant"/>
    <w:rsid w:val="00A6747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Elegant">
    <w:name w:val="Table Elegant"/>
    <w:basedOn w:val="TableNormal"/>
    <w:uiPriority w:val="99"/>
    <w:semiHidden/>
    <w:unhideWhenUsed/>
    <w:locked/>
    <w:rsid w:val="00A67473"/>
    <w:rPr>
      <w:rFonts w:ascii="Calibri" w:hAnsi="Calibri" w:cs="Arial"/>
      <w:sz w:val="24"/>
      <w:szCs w:val="24"/>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paragraph" w:customStyle="1" w:styleId="Footer2">
    <w:name w:val="Footer2"/>
    <w:basedOn w:val="FootnoteText"/>
    <w:qFormat/>
    <w:rsid w:val="00F362D9"/>
    <w:rPr>
      <w:rFonts w:eastAsia="Calibri"/>
    </w:rPr>
  </w:style>
  <w:style w:type="paragraph" w:styleId="DocumentMap">
    <w:name w:val="Document Map"/>
    <w:basedOn w:val="Normal"/>
    <w:link w:val="DocumentMapChar"/>
    <w:uiPriority w:val="99"/>
    <w:semiHidden/>
    <w:unhideWhenUsed/>
    <w:locked/>
    <w:rsid w:val="00F362D9"/>
    <w:rPr>
      <w:rFonts w:ascii="Tahoma" w:hAnsi="Tahoma"/>
      <w:sz w:val="16"/>
      <w:szCs w:val="16"/>
    </w:rPr>
  </w:style>
  <w:style w:type="character" w:customStyle="1" w:styleId="DocumentMapChar">
    <w:name w:val="Document Map Char"/>
    <w:basedOn w:val="DefaultParagraphFont"/>
    <w:link w:val="DocumentMap"/>
    <w:uiPriority w:val="99"/>
    <w:semiHidden/>
    <w:rsid w:val="00A67473"/>
    <w:rPr>
      <w:rFonts w:ascii="Tahoma" w:hAnsi="Tahoma"/>
      <w:sz w:val="16"/>
      <w:szCs w:val="16"/>
    </w:rPr>
  </w:style>
  <w:style w:type="paragraph" w:styleId="MacroText">
    <w:name w:val="macro"/>
    <w:link w:val="MacroTextChar"/>
    <w:uiPriority w:val="99"/>
    <w:unhideWhenUsed/>
    <w:locked/>
    <w:rsid w:val="00A674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uiPriority w:val="99"/>
    <w:rsid w:val="00A67473"/>
    <w:rPr>
      <w:rFonts w:ascii="Courier New" w:eastAsia="Calibri" w:hAnsi="Courier New" w:cs="Courier New"/>
    </w:rPr>
  </w:style>
  <w:style w:type="paragraph" w:styleId="BlockText">
    <w:name w:val="Block Text"/>
    <w:basedOn w:val="Normal"/>
    <w:uiPriority w:val="99"/>
    <w:unhideWhenUsed/>
    <w:locked/>
    <w:rsid w:val="00F362D9"/>
    <w:pPr>
      <w:spacing w:after="120"/>
      <w:ind w:left="1440" w:right="1440"/>
    </w:pPr>
    <w:rPr>
      <w:rFonts w:ascii="Verdana" w:eastAsia="Calibri" w:hAnsi="Verdana"/>
      <w:sz w:val="20"/>
    </w:rPr>
  </w:style>
  <w:style w:type="paragraph" w:styleId="ListBullet">
    <w:name w:val="List Bullet"/>
    <w:basedOn w:val="Normal"/>
    <w:locked/>
    <w:rsid w:val="00F362D9"/>
    <w:pPr>
      <w:numPr>
        <w:numId w:val="21"/>
      </w:numPr>
    </w:pPr>
    <w:rPr>
      <w:rFonts w:ascii="Verdana" w:eastAsia="MS Mincho" w:hAnsi="Verdana"/>
      <w:sz w:val="20"/>
    </w:rPr>
  </w:style>
  <w:style w:type="paragraph" w:styleId="ListBullet2">
    <w:name w:val="List Bullet 2"/>
    <w:basedOn w:val="Normal"/>
    <w:locked/>
    <w:rsid w:val="00F362D9"/>
    <w:pPr>
      <w:numPr>
        <w:numId w:val="22"/>
      </w:numPr>
      <w:spacing w:after="120"/>
    </w:pPr>
    <w:rPr>
      <w:rFonts w:ascii="Verdana" w:eastAsia="MS Mincho" w:hAnsi="Verdana"/>
      <w:sz w:val="20"/>
    </w:rPr>
  </w:style>
  <w:style w:type="paragraph" w:styleId="ListBullet3">
    <w:name w:val="List Bullet 3"/>
    <w:basedOn w:val="Normal"/>
    <w:locked/>
    <w:rsid w:val="00F362D9"/>
    <w:pPr>
      <w:numPr>
        <w:numId w:val="23"/>
      </w:numPr>
      <w:spacing w:after="120"/>
    </w:pPr>
    <w:rPr>
      <w:rFonts w:ascii="Verdana" w:eastAsia="MS Mincho" w:hAnsi="Verdana"/>
      <w:sz w:val="20"/>
    </w:rPr>
  </w:style>
  <w:style w:type="paragraph" w:styleId="ListContinue">
    <w:name w:val="List Continue"/>
    <w:basedOn w:val="Normal"/>
    <w:locked/>
    <w:rsid w:val="00F362D9"/>
    <w:pPr>
      <w:spacing w:after="120"/>
      <w:ind w:left="360"/>
    </w:pPr>
    <w:rPr>
      <w:rFonts w:ascii="Verdana" w:eastAsia="MS Mincho" w:hAnsi="Verdana"/>
      <w:sz w:val="20"/>
    </w:rPr>
  </w:style>
  <w:style w:type="paragraph" w:styleId="ListNumber">
    <w:name w:val="List Number"/>
    <w:basedOn w:val="Normal"/>
    <w:locked/>
    <w:rsid w:val="00F362D9"/>
    <w:pPr>
      <w:tabs>
        <w:tab w:val="num" w:pos="360"/>
      </w:tabs>
      <w:ind w:left="720" w:hanging="360"/>
    </w:pPr>
    <w:rPr>
      <w:rFonts w:ascii="Verdana" w:eastAsia="MS Mincho" w:hAnsi="Verdana"/>
      <w:sz w:val="20"/>
    </w:rPr>
  </w:style>
  <w:style w:type="paragraph" w:customStyle="1" w:styleId="Source1">
    <w:name w:val="Source1"/>
    <w:basedOn w:val="Normal"/>
    <w:rsid w:val="00F362D9"/>
    <w:pPr>
      <w:keepLines/>
      <w:spacing w:before="120" w:after="400"/>
      <w:ind w:left="187" w:hanging="187"/>
    </w:pPr>
    <w:rPr>
      <w:rFonts w:ascii="Verdana" w:eastAsia="MS Mincho" w:hAnsi="Verdana"/>
      <w:sz w:val="18"/>
    </w:rPr>
  </w:style>
  <w:style w:type="paragraph" w:customStyle="1" w:styleId="TableBulletLM">
    <w:name w:val="Table Bullet LM"/>
    <w:basedOn w:val="ListBullet"/>
    <w:qFormat/>
    <w:rsid w:val="00A67473"/>
    <w:pPr>
      <w:numPr>
        <w:numId w:val="0"/>
      </w:numPr>
      <w:spacing w:before="60" w:after="60" w:line="200" w:lineRule="exact"/>
    </w:pPr>
    <w:rPr>
      <w:sz w:val="18"/>
      <w:szCs w:val="18"/>
    </w:rPr>
  </w:style>
  <w:style w:type="paragraph" w:customStyle="1" w:styleId="TableBulletInd">
    <w:name w:val="Table Bullet Ind"/>
    <w:basedOn w:val="TableBulletLM"/>
    <w:qFormat/>
    <w:rsid w:val="00A67473"/>
  </w:style>
  <w:style w:type="paragraph" w:customStyle="1" w:styleId="TableHeaders">
    <w:name w:val="Table Headers"/>
    <w:qFormat/>
    <w:rsid w:val="00A67473"/>
    <w:pPr>
      <w:spacing w:before="80" w:after="80"/>
      <w:jc w:val="center"/>
    </w:pPr>
    <w:rPr>
      <w:rFonts w:ascii="Verdana" w:hAnsi="Verdana"/>
      <w:b/>
      <w:sz w:val="18"/>
    </w:rPr>
  </w:style>
  <w:style w:type="paragraph" w:customStyle="1" w:styleId="TableTextDec">
    <w:name w:val="Table Text Dec"/>
    <w:basedOn w:val="Normal"/>
    <w:qFormat/>
    <w:rsid w:val="00F362D9"/>
    <w:pPr>
      <w:tabs>
        <w:tab w:val="decimal" w:pos="1015"/>
      </w:tabs>
      <w:spacing w:before="60" w:after="60"/>
    </w:pPr>
    <w:rPr>
      <w:rFonts w:ascii="Verdana" w:eastAsia="MS Mincho" w:hAnsi="Verdana"/>
      <w:sz w:val="18"/>
      <w:szCs w:val="18"/>
    </w:rPr>
  </w:style>
  <w:style w:type="paragraph" w:customStyle="1" w:styleId="TableTextIndent1">
    <w:name w:val="Table Text Indent1"/>
    <w:basedOn w:val="TableText1"/>
    <w:qFormat/>
    <w:rsid w:val="00A67473"/>
    <w:pPr>
      <w:spacing w:before="60" w:after="60"/>
      <w:ind w:left="245"/>
    </w:pPr>
    <w:rPr>
      <w:rFonts w:ascii="Verdana" w:eastAsia="MS Mincho" w:hAnsi="Verdana"/>
      <w:szCs w:val="20"/>
    </w:rPr>
  </w:style>
  <w:style w:type="paragraph" w:customStyle="1" w:styleId="TableTextHeaders">
    <w:name w:val="TableTextHeaders"/>
    <w:basedOn w:val="Normal"/>
    <w:qFormat/>
    <w:rsid w:val="00F362D9"/>
    <w:rPr>
      <w:rFonts w:eastAsia="Calibri"/>
      <w:b/>
      <w:color w:val="000000" w:themeColor="text1"/>
      <w:sz w:val="18"/>
    </w:rPr>
  </w:style>
  <w:style w:type="character" w:customStyle="1" w:styleId="A1">
    <w:name w:val="A1"/>
    <w:uiPriority w:val="99"/>
    <w:rsid w:val="00A67473"/>
    <w:rPr>
      <w:rFonts w:ascii="Optima LT Std" w:hAnsi="Optima LT Std" w:cs="Optima LT Std" w:hint="default"/>
      <w:color w:val="000000"/>
      <w:sz w:val="36"/>
      <w:szCs w:val="36"/>
    </w:rPr>
  </w:style>
  <w:style w:type="paragraph" w:customStyle="1" w:styleId="AbstractText0">
    <w:name w:val="Abstract Text"/>
    <w:basedOn w:val="Normal"/>
    <w:uiPriority w:val="99"/>
    <w:rsid w:val="00F362D9"/>
    <w:pPr>
      <w:spacing w:after="120"/>
    </w:pPr>
    <w:rPr>
      <w:bCs/>
    </w:rPr>
  </w:style>
  <w:style w:type="paragraph" w:customStyle="1" w:styleId="ES-ChapterHeading">
    <w:name w:val="ES-ChapterHeading"/>
    <w:basedOn w:val="Normal"/>
    <w:qFormat/>
    <w:rsid w:val="00F362D9"/>
    <w:pPr>
      <w:keepNext/>
      <w:spacing w:before="240" w:after="60"/>
      <w:jc w:val="center"/>
      <w:outlineLvl w:val="0"/>
    </w:pPr>
    <w:rPr>
      <w:b/>
      <w:bCs/>
      <w:sz w:val="36"/>
    </w:rPr>
  </w:style>
  <w:style w:type="paragraph" w:customStyle="1" w:styleId="bullet-blank">
    <w:name w:val="bullet-blank"/>
    <w:basedOn w:val="Normal"/>
    <w:qFormat/>
    <w:rsid w:val="00F362D9"/>
    <w:pPr>
      <w:ind w:left="720" w:hanging="360"/>
    </w:pPr>
  </w:style>
  <w:style w:type="paragraph" w:customStyle="1" w:styleId="TableTitle-Continued">
    <w:name w:val="TableTitle-Continued_"/>
    <w:basedOn w:val="TableTitle"/>
    <w:qFormat/>
    <w:rsid w:val="00A67473"/>
  </w:style>
  <w:style w:type="paragraph" w:customStyle="1" w:styleId="Heading2BoldRight">
    <w:name w:val="Heading 2 Bold Right"/>
    <w:basedOn w:val="Normal"/>
    <w:rsid w:val="00F362D9"/>
    <w:pPr>
      <w:tabs>
        <w:tab w:val="left" w:pos="6720"/>
      </w:tabs>
      <w:spacing w:before="120"/>
      <w:jc w:val="right"/>
    </w:pPr>
    <w:rPr>
      <w:rFonts w:eastAsia="Calibri"/>
      <w:b/>
      <w:sz w:val="20"/>
    </w:rPr>
  </w:style>
  <w:style w:type="paragraph" w:customStyle="1" w:styleId="TableBullet20">
    <w:name w:val="TableBullet2"/>
    <w:basedOn w:val="TableBullet0"/>
    <w:qFormat/>
    <w:rsid w:val="00A67473"/>
    <w:pPr>
      <w:numPr>
        <w:numId w:val="24"/>
      </w:numPr>
    </w:pPr>
    <w:rPr>
      <w:rFonts w:eastAsia="Times New Roman"/>
      <w:color w:val="000000"/>
      <w:szCs w:val="18"/>
    </w:rPr>
  </w:style>
  <w:style w:type="numbering" w:customStyle="1" w:styleId="NoList1111111">
    <w:name w:val="No List1111111"/>
    <w:next w:val="NoList"/>
    <w:uiPriority w:val="99"/>
    <w:semiHidden/>
    <w:unhideWhenUsed/>
    <w:rsid w:val="00A67473"/>
  </w:style>
  <w:style w:type="character" w:customStyle="1" w:styleId="HeaderChar1">
    <w:name w:val="Header Char1"/>
    <w:basedOn w:val="DefaultParagraphFont"/>
    <w:uiPriority w:val="99"/>
    <w:semiHidden/>
    <w:rsid w:val="00A67473"/>
    <w:rPr>
      <w:sz w:val="22"/>
      <w:szCs w:val="22"/>
    </w:rPr>
  </w:style>
  <w:style w:type="table" w:customStyle="1" w:styleId="AHRQ12">
    <w:name w:val="AHRQ12"/>
    <w:basedOn w:val="TableGrid"/>
    <w:rsid w:val="00DF2F7A"/>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center"/>
      </w:tcPr>
    </w:tblStylePr>
  </w:style>
  <w:style w:type="table" w:customStyle="1" w:styleId="AHRQ13">
    <w:name w:val="AHRQ13"/>
    <w:basedOn w:val="TableGrid"/>
    <w:rsid w:val="00A67473"/>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bottom"/>
      </w:tcPr>
    </w:tblStylePr>
  </w:style>
  <w:style w:type="table" w:customStyle="1" w:styleId="TableGrid44">
    <w:name w:val="Table Grid44"/>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DefaultParagraphFont"/>
    <w:rsid w:val="00EA50E9"/>
  </w:style>
  <w:style w:type="character" w:customStyle="1" w:styleId="maintitle">
    <w:name w:val="maintitle"/>
    <w:basedOn w:val="DefaultParagraphFont"/>
    <w:rsid w:val="00A31060"/>
  </w:style>
  <w:style w:type="paragraph" w:customStyle="1" w:styleId="articledetails">
    <w:name w:val="articledetails"/>
    <w:basedOn w:val="Normal"/>
    <w:rsid w:val="00A31060"/>
    <w:pPr>
      <w:spacing w:before="100" w:beforeAutospacing="1" w:after="100" w:afterAutospacing="1"/>
    </w:pPr>
    <w:rPr>
      <w:rFonts w:ascii="Times New Roman" w:hAnsi="Times New Roman"/>
      <w:szCs w:val="24"/>
    </w:rPr>
  </w:style>
  <w:style w:type="character" w:customStyle="1" w:styleId="copypaste2">
    <w:name w:val="copypaste2"/>
    <w:basedOn w:val="DefaultParagraphFont"/>
    <w:rsid w:val="001277A2"/>
  </w:style>
  <w:style w:type="paragraph" w:customStyle="1" w:styleId="Heading21">
    <w:name w:val="Heading 21"/>
    <w:basedOn w:val="Normal"/>
    <w:next w:val="Normal"/>
    <w:uiPriority w:val="9"/>
    <w:semiHidden/>
    <w:unhideWhenUsed/>
    <w:rsid w:val="000830E2"/>
    <w:pPr>
      <w:keepNext/>
      <w:keepLines/>
      <w:spacing w:before="200"/>
      <w:outlineLvl w:val="1"/>
    </w:pPr>
    <w:rPr>
      <w:rFonts w:ascii="Cambria" w:hAnsi="Cambria"/>
      <w:b/>
      <w:bCs/>
      <w:color w:val="4F81BD"/>
      <w:sz w:val="26"/>
      <w:szCs w:val="26"/>
    </w:rPr>
  </w:style>
  <w:style w:type="character" w:customStyle="1" w:styleId="Hyperlink1">
    <w:name w:val="Hyperlink1"/>
    <w:basedOn w:val="DefaultParagraphFont"/>
    <w:uiPriority w:val="99"/>
    <w:unhideWhenUsed/>
    <w:rsid w:val="000830E2"/>
    <w:rPr>
      <w:color w:val="0000FF"/>
      <w:u w:val="single"/>
    </w:rPr>
  </w:style>
  <w:style w:type="paragraph" w:customStyle="1" w:styleId="List1">
    <w:name w:val="List1"/>
    <w:basedOn w:val="Normal"/>
    <w:next w:val="List"/>
    <w:rsid w:val="000830E2"/>
    <w:pPr>
      <w:spacing w:after="200" w:line="276" w:lineRule="auto"/>
      <w:ind w:left="360" w:hanging="360"/>
      <w:contextualSpacing/>
    </w:pPr>
    <w:rPr>
      <w:rFonts w:ascii="Calibri" w:hAnsi="Calibri" w:cs="Arial"/>
    </w:rPr>
  </w:style>
  <w:style w:type="character" w:customStyle="1" w:styleId="FollowedHyperlink1">
    <w:name w:val="FollowedHyperlink1"/>
    <w:basedOn w:val="DefaultParagraphFont"/>
    <w:rsid w:val="000830E2"/>
    <w:rPr>
      <w:color w:val="800080"/>
      <w:u w:val="single"/>
    </w:rPr>
  </w:style>
  <w:style w:type="table" w:customStyle="1" w:styleId="EPC11">
    <w:name w:val="EPC11"/>
    <w:basedOn w:val="TableNormal"/>
    <w:uiPriority w:val="99"/>
    <w:rsid w:val="000830E2"/>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0830E2"/>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0830E2"/>
    <w:rPr>
      <w:sz w:val="20"/>
      <w:szCs w:val="20"/>
    </w:rPr>
  </w:style>
  <w:style w:type="character" w:customStyle="1" w:styleId="TitleChar1">
    <w:name w:val="Title Char1"/>
    <w:basedOn w:val="DefaultParagraphFont"/>
    <w:uiPriority w:val="10"/>
    <w:rsid w:val="000830E2"/>
    <w:rPr>
      <w:rFonts w:asciiTheme="majorHAnsi" w:eastAsiaTheme="majorEastAsia" w:hAnsiTheme="majorHAnsi" w:cstheme="majorBidi"/>
      <w:spacing w:val="-10"/>
      <w:kern w:val="28"/>
      <w:sz w:val="56"/>
      <w:szCs w:val="56"/>
    </w:rPr>
  </w:style>
  <w:style w:type="paragraph" w:customStyle="1" w:styleId="AppChapterHeading">
    <w:name w:val="AppChapterHeading"/>
    <w:basedOn w:val="ChapterHeading"/>
    <w:qFormat/>
    <w:rsid w:val="00B84EDF"/>
  </w:style>
  <w:style w:type="paragraph" w:customStyle="1" w:styleId="AppTableTitle">
    <w:name w:val="AppTableTitle"/>
    <w:basedOn w:val="TableTitle"/>
    <w:qFormat/>
    <w:rsid w:val="00B84EDF"/>
  </w:style>
  <w:style w:type="paragraph" w:customStyle="1" w:styleId="Abbreviations">
    <w:name w:val="Abbreviations"/>
    <w:basedOn w:val="ParagraphNoIndent"/>
    <w:qFormat/>
    <w:rsid w:val="00B84EDF"/>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macro"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No List" w:uiPriority="99"/>
    <w:lsdException w:name="Table Elegan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5E36"/>
    <w:rPr>
      <w:rFonts w:ascii="Times" w:hAnsi="Times"/>
      <w:sz w:val="24"/>
    </w:rPr>
  </w:style>
  <w:style w:type="paragraph" w:styleId="Heading1">
    <w:name w:val="heading 1"/>
    <w:basedOn w:val="Normal"/>
    <w:next w:val="Normal"/>
    <w:link w:val="Heading1Char"/>
    <w:uiPriority w:val="9"/>
    <w:unhideWhenUsed/>
    <w:locked/>
    <w:rsid w:val="001A3402"/>
    <w:pPr>
      <w:keepNext/>
      <w:spacing w:before="240" w:after="60"/>
      <w:outlineLvl w:val="0"/>
    </w:pPr>
    <w:rPr>
      <w:rFonts w:ascii="Cambria" w:hAnsi="Cambria"/>
      <w:b/>
      <w:bCs/>
      <w:kern w:val="32"/>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next w:val="Normal"/>
    <w:link w:val="Heading2Char"/>
    <w:uiPriority w:val="9"/>
    <w:qFormat/>
    <w:locked/>
    <w:rsid w:val="00A67473"/>
    <w:pPr>
      <w:keepNext/>
      <w:keepLines/>
      <w:spacing w:before="240" w:after="120"/>
      <w:ind w:left="720" w:hanging="720"/>
      <w:outlineLvl w:val="1"/>
    </w:pPr>
    <w:rPr>
      <w:rFonts w:ascii="Verdana" w:eastAsia="MS Mincho" w:hAnsi="Verdana"/>
      <w:b/>
      <w:sz w:val="24"/>
      <w:szCs w:val="24"/>
    </w:rPr>
  </w:style>
  <w:style w:type="paragraph" w:styleId="Heading3">
    <w:name w:val="heading 3"/>
    <w:next w:val="Normal"/>
    <w:link w:val="Heading3Char"/>
    <w:uiPriority w:val="9"/>
    <w:qFormat/>
    <w:locked/>
    <w:rsid w:val="00A67473"/>
    <w:pPr>
      <w:keepNext/>
      <w:keepLines/>
      <w:spacing w:before="240" w:after="120"/>
      <w:ind w:left="720" w:hanging="720"/>
      <w:outlineLvl w:val="2"/>
    </w:pPr>
    <w:rPr>
      <w:rFonts w:ascii="Verdana" w:eastAsia="MS Mincho" w:hAnsi="Verdana"/>
      <w:b/>
      <w:i/>
      <w:sz w:val="22"/>
    </w:rPr>
  </w:style>
  <w:style w:type="paragraph" w:styleId="Heading4">
    <w:name w:val="heading 4"/>
    <w:basedOn w:val="Normal"/>
    <w:next w:val="Normal"/>
    <w:link w:val="Heading4Char"/>
    <w:qFormat/>
    <w:locked/>
    <w:rsid w:val="00F362D9"/>
    <w:pPr>
      <w:keepNext/>
      <w:keepLines/>
      <w:spacing w:before="240" w:after="80"/>
      <w:outlineLvl w:val="3"/>
    </w:pPr>
    <w:rPr>
      <w:rFonts w:ascii="Verdana" w:eastAsia="MS Mincho" w:hAnsi="Verdan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028F9"/>
    <w:pPr>
      <w:tabs>
        <w:tab w:val="center" w:pos="4680"/>
        <w:tab w:val="right" w:pos="9360"/>
      </w:tabs>
    </w:pPr>
    <w:rPr>
      <w:rFonts w:ascii="Arial" w:eastAsia="ヒラギノ角ゴ Pro W3" w:hAnsi="Arial"/>
      <w:color w:val="000000"/>
      <w:sz w:val="24"/>
    </w:rPr>
  </w:style>
  <w:style w:type="paragraph" w:customStyle="1" w:styleId="Footer1">
    <w:name w:val="Footer1"/>
    <w:qFormat/>
    <w:rsid w:val="009028F9"/>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9028F9"/>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9028F9"/>
    <w:pPr>
      <w:spacing w:before="120"/>
      <w:ind w:firstLine="720"/>
    </w:pPr>
    <w:rPr>
      <w:rFonts w:ascii="Arial" w:eastAsia="ヒラギノ角ゴ Pro W3" w:hAnsi="Arial"/>
      <w:color w:val="000000"/>
      <w:sz w:val="24"/>
    </w:rPr>
  </w:style>
  <w:style w:type="paragraph" w:customStyle="1" w:styleId="HeadingI">
    <w:name w:val="Heading I"/>
    <w:basedOn w:val="Task"/>
    <w:rsid w:val="00511845"/>
    <w:pPr>
      <w:keepNext/>
      <w:tabs>
        <w:tab w:val="clear" w:pos="-1260"/>
        <w:tab w:val="left" w:pos="0"/>
      </w:tabs>
      <w:ind w:left="0" w:firstLine="0"/>
    </w:pPr>
    <w:rPr>
      <w:rFonts w:ascii="Times New Roman Bold" w:hAnsi="Times New Roman Bold"/>
    </w:rPr>
  </w:style>
  <w:style w:type="paragraph" w:customStyle="1" w:styleId="textbullets2">
    <w:name w:val="text bullets 2"/>
    <w:rsid w:val="00F26DFA"/>
    <w:pPr>
      <w:widowControl w:val="0"/>
      <w:tabs>
        <w:tab w:val="left" w:pos="720"/>
      </w:tabs>
      <w:spacing w:before="120"/>
    </w:pPr>
    <w:rPr>
      <w:rFonts w:eastAsia="ヒラギノ角ゴ Pro W3"/>
      <w:b/>
      <w:color w:val="000000"/>
      <w:sz w:val="24"/>
    </w:rPr>
  </w:style>
  <w:style w:type="paragraph" w:customStyle="1" w:styleId="text-subbullet3">
    <w:name w:val="text -sub bullet 3"/>
    <w:rsid w:val="009028F9"/>
    <w:pPr>
      <w:widowControl w:val="0"/>
      <w:tabs>
        <w:tab w:val="left" w:pos="1080"/>
      </w:tabs>
      <w:ind w:left="720" w:firstLine="360"/>
    </w:pPr>
    <w:rPr>
      <w:rFonts w:ascii="Arial" w:eastAsia="ヒラギノ角ゴ Pro W3" w:hAnsi="Arial"/>
      <w:color w:val="000000"/>
      <w:sz w:val="24"/>
    </w:rPr>
  </w:style>
  <w:style w:type="paragraph" w:customStyle="1" w:styleId="text-bullets3">
    <w:name w:val="text - bullets 3"/>
    <w:rsid w:val="009028F9"/>
    <w:pPr>
      <w:widowControl w:val="0"/>
      <w:tabs>
        <w:tab w:val="left" w:pos="1080"/>
        <w:tab w:val="left" w:pos="1440"/>
      </w:tabs>
    </w:pPr>
    <w:rPr>
      <w:rFonts w:ascii="Arial" w:eastAsia="ヒラギノ角ゴ Pro W3" w:hAnsi="Arial"/>
      <w:color w:val="000000"/>
      <w:sz w:val="24"/>
    </w:rPr>
  </w:style>
  <w:style w:type="paragraph" w:customStyle="1" w:styleId="shadedheader">
    <w:name w:val="shaded header"/>
    <w:link w:val="shadedheaderChar"/>
    <w:rsid w:val="009028F9"/>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9028F9"/>
    <w:pPr>
      <w:shd w:val="clear" w:color="auto" w:fill="FFFFFF"/>
      <w:spacing w:before="120" w:after="120"/>
      <w:ind w:firstLine="360"/>
    </w:pPr>
    <w:rPr>
      <w:rFonts w:ascii="Arial" w:eastAsia="ヒラギノ角ゴ Pro W3" w:hAnsi="Arial"/>
      <w:color w:val="000000"/>
    </w:rPr>
  </w:style>
  <w:style w:type="paragraph" w:customStyle="1" w:styleId="Default">
    <w:name w:val="Default"/>
    <w:rsid w:val="009028F9"/>
    <w:rPr>
      <w:rFonts w:eastAsia="ヒラギノ角ゴ Pro W3"/>
      <w:color w:val="000000"/>
      <w:sz w:val="24"/>
    </w:rPr>
  </w:style>
  <w:style w:type="paragraph" w:customStyle="1" w:styleId="HeadingA">
    <w:name w:val="Heading A"/>
    <w:rsid w:val="009028F9"/>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9028F9"/>
  </w:style>
  <w:style w:type="paragraph" w:customStyle="1" w:styleId="FreeForm">
    <w:name w:val="Free Form"/>
    <w:rsid w:val="009028F9"/>
    <w:rPr>
      <w:rFonts w:eastAsia="ヒラギノ角ゴ Pro W3"/>
      <w:color w:val="000000"/>
    </w:rPr>
  </w:style>
  <w:style w:type="paragraph" w:customStyle="1" w:styleId="TableGrid1">
    <w:name w:val="Table Grid1"/>
    <w:rsid w:val="009028F9"/>
    <w:rPr>
      <w:rFonts w:eastAsia="ヒラギノ角ゴ Pro W3"/>
      <w:color w:val="000000"/>
    </w:rPr>
  </w:style>
  <w:style w:type="paragraph" w:customStyle="1" w:styleId="Task">
    <w:name w:val="Task"/>
    <w:rsid w:val="009028F9"/>
    <w:pPr>
      <w:keepLines/>
      <w:tabs>
        <w:tab w:val="left" w:pos="-1260"/>
      </w:tabs>
      <w:spacing w:before="60"/>
      <w:ind w:left="360" w:firstLine="360"/>
    </w:pPr>
    <w:rPr>
      <w:rFonts w:eastAsia="ヒラギノ角ゴ Pro W3"/>
      <w:color w:val="000000"/>
      <w:sz w:val="24"/>
    </w:rPr>
  </w:style>
  <w:style w:type="paragraph" w:customStyle="1" w:styleId="CERTitle">
    <w:name w:val="CER Title"/>
    <w:rsid w:val="009028F9"/>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9028F9"/>
    <w:pPr>
      <w:jc w:val="center"/>
    </w:pPr>
    <w:rPr>
      <w:rFonts w:ascii="Arial" w:eastAsia="ヒラギノ角ゴ Pro W3" w:hAnsi="Arial"/>
      <w:color w:val="000000"/>
      <w:sz w:val="22"/>
    </w:rPr>
  </w:style>
  <w:style w:type="paragraph" w:styleId="BalloonText">
    <w:name w:val="Balloon Text"/>
    <w:basedOn w:val="Normal"/>
    <w:link w:val="BalloonTextChar"/>
    <w:uiPriority w:val="99"/>
    <w:unhideWhenUsed/>
    <w:locked/>
    <w:rsid w:val="001A3402"/>
    <w:rPr>
      <w:rFonts w:ascii="Tahoma" w:hAnsi="Tahoma" w:cs="Tahoma"/>
      <w:sz w:val="16"/>
      <w:szCs w:val="16"/>
    </w:rPr>
  </w:style>
  <w:style w:type="character" w:customStyle="1" w:styleId="BalloonTextChar">
    <w:name w:val="Balloon Text Char"/>
    <w:basedOn w:val="DefaultParagraphFont"/>
    <w:link w:val="BalloonText"/>
    <w:uiPriority w:val="99"/>
    <w:rsid w:val="00BF5438"/>
    <w:rPr>
      <w:rFonts w:ascii="Tahoma" w:hAnsi="Tahoma" w:cs="Tahoma"/>
      <w:sz w:val="16"/>
      <w:szCs w:val="16"/>
    </w:rPr>
  </w:style>
  <w:style w:type="character" w:styleId="CommentReference">
    <w:name w:val="annotation reference"/>
    <w:basedOn w:val="DefaultParagraphFont"/>
    <w:locked/>
    <w:rsid w:val="001A3402"/>
    <w:rPr>
      <w:sz w:val="16"/>
      <w:szCs w:val="16"/>
    </w:rPr>
  </w:style>
  <w:style w:type="paragraph" w:styleId="CommentText">
    <w:name w:val="annotation text"/>
    <w:basedOn w:val="Normal"/>
    <w:link w:val="CommentTextChar"/>
    <w:locked/>
    <w:rsid w:val="001A3402"/>
    <w:pPr>
      <w:spacing w:before="240" w:after="60"/>
    </w:pPr>
    <w:rPr>
      <w:rFonts w:ascii="Calibri" w:eastAsia="Calibri" w:hAnsi="Calibri"/>
      <w:sz w:val="20"/>
    </w:rPr>
  </w:style>
  <w:style w:type="character" w:customStyle="1" w:styleId="CommentTextChar">
    <w:name w:val="Comment Text Char"/>
    <w:basedOn w:val="DefaultParagraphFont"/>
    <w:link w:val="CommentText"/>
    <w:rsid w:val="009028F9"/>
    <w:rPr>
      <w:rFonts w:ascii="Calibri" w:eastAsia="Calibri" w:hAnsi="Calibri"/>
    </w:rPr>
  </w:style>
  <w:style w:type="paragraph" w:styleId="CommentSubject">
    <w:name w:val="annotation subject"/>
    <w:basedOn w:val="CommentText"/>
    <w:next w:val="CommentText"/>
    <w:link w:val="CommentSubjectChar"/>
    <w:locked/>
    <w:rsid w:val="001A3402"/>
    <w:rPr>
      <w:b/>
      <w:bCs/>
    </w:rPr>
  </w:style>
  <w:style w:type="character" w:customStyle="1" w:styleId="CommentSubjectChar">
    <w:name w:val="Comment Subject Char"/>
    <w:basedOn w:val="CommentTextChar"/>
    <w:link w:val="CommentSubject"/>
    <w:rsid w:val="009028F9"/>
    <w:rPr>
      <w:rFonts w:ascii="Calibri" w:eastAsia="Calibri" w:hAnsi="Calibri"/>
      <w:b/>
      <w:bCs/>
    </w:rPr>
  </w:style>
  <w:style w:type="paragraph" w:styleId="Header">
    <w:name w:val="header"/>
    <w:basedOn w:val="Normal"/>
    <w:link w:val="HeaderChar"/>
    <w:uiPriority w:val="99"/>
    <w:unhideWhenUsed/>
    <w:locked/>
    <w:rsid w:val="001A340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F5438"/>
    <w:rPr>
      <w:rFonts w:ascii="Calibri" w:eastAsia="Calibri" w:hAnsi="Calibri"/>
      <w:sz w:val="22"/>
      <w:szCs w:val="22"/>
    </w:rPr>
  </w:style>
  <w:style w:type="paragraph" w:styleId="Footer">
    <w:name w:val="footer"/>
    <w:basedOn w:val="Normal"/>
    <w:link w:val="FooterChar"/>
    <w:uiPriority w:val="99"/>
    <w:unhideWhenUsed/>
    <w:locked/>
    <w:rsid w:val="001A3402"/>
    <w:pPr>
      <w:tabs>
        <w:tab w:val="center" w:pos="4680"/>
        <w:tab w:val="right" w:pos="9360"/>
      </w:tabs>
    </w:pPr>
  </w:style>
  <w:style w:type="character" w:customStyle="1" w:styleId="FooterChar">
    <w:name w:val="Footer Char"/>
    <w:basedOn w:val="DefaultParagraphFont"/>
    <w:link w:val="Footer"/>
    <w:uiPriority w:val="99"/>
    <w:rsid w:val="00BF5438"/>
    <w:rPr>
      <w:rFonts w:ascii="Times" w:hAnsi="Times"/>
      <w:sz w:val="24"/>
    </w:rPr>
  </w:style>
  <w:style w:type="paragraph" w:customStyle="1" w:styleId="IndentedBullets3">
    <w:name w:val="IndentedBullets3"/>
    <w:basedOn w:val="Normal"/>
    <w:qFormat/>
    <w:rsid w:val="00D83948"/>
    <w:pPr>
      <w:numPr>
        <w:numId w:val="1"/>
      </w:numPr>
      <w:ind w:left="1440"/>
    </w:pPr>
  </w:style>
  <w:style w:type="paragraph" w:customStyle="1" w:styleId="IndentedBullets1">
    <w:name w:val="IndentedBullets1"/>
    <w:basedOn w:val="text"/>
    <w:qFormat/>
    <w:rsid w:val="00F26DFA"/>
    <w:pPr>
      <w:numPr>
        <w:numId w:val="2"/>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836E3E"/>
    <w:pPr>
      <w:numPr>
        <w:numId w:val="3"/>
      </w:numPr>
    </w:pPr>
  </w:style>
  <w:style w:type="character" w:styleId="Hyperlink">
    <w:name w:val="Hyperlink"/>
    <w:basedOn w:val="DefaultParagraphFont"/>
    <w:uiPriority w:val="99"/>
    <w:unhideWhenUsed/>
    <w:locked/>
    <w:rsid w:val="001A3402"/>
    <w:rPr>
      <w:color w:val="0000FF" w:themeColor="hyperlink"/>
      <w:u w:val="single"/>
    </w:rPr>
  </w:style>
  <w:style w:type="character" w:customStyle="1" w:styleId="shadedheaderChar">
    <w:name w:val="shaded header Char"/>
    <w:basedOn w:val="DefaultParagraphFont"/>
    <w:link w:val="shadedheader"/>
    <w:rsid w:val="00A116A5"/>
    <w:rPr>
      <w:rFonts w:ascii="Arial Bold" w:eastAsia="ヒラギノ角ゴ Pro W3" w:hAnsi="Arial Bold"/>
      <w:color w:val="000000"/>
      <w:shd w:val="clear" w:color="auto" w:fill="FFE8B4"/>
    </w:rPr>
  </w:style>
  <w:style w:type="paragraph" w:customStyle="1" w:styleId="Header2">
    <w:name w:val="Header2"/>
    <w:basedOn w:val="instructions"/>
    <w:qFormat/>
    <w:rsid w:val="005E5D08"/>
    <w:pPr>
      <w:keepNext/>
      <w:ind w:firstLine="0"/>
    </w:pPr>
    <w:rPr>
      <w:rFonts w:ascii="Times New Roman" w:eastAsia="Times New Roman" w:hAnsi="Times New Roman" w:cs="Arial"/>
      <w:i/>
      <w:color w:val="auto"/>
      <w:sz w:val="24"/>
      <w:szCs w:val="22"/>
      <w:u w:val="single"/>
    </w:rPr>
  </w:style>
  <w:style w:type="paragraph" w:customStyle="1" w:styleId="Text0">
    <w:name w:val="Text"/>
    <w:basedOn w:val="Normal"/>
    <w:link w:val="TextChar"/>
    <w:qFormat/>
    <w:rsid w:val="00D83948"/>
    <w:pPr>
      <w:spacing w:before="120" w:after="120"/>
    </w:pPr>
  </w:style>
  <w:style w:type="character" w:customStyle="1" w:styleId="TextChar">
    <w:name w:val="Text Char"/>
    <w:basedOn w:val="DefaultParagraphFont"/>
    <w:link w:val="Text0"/>
    <w:rsid w:val="002B6A7C"/>
    <w:rPr>
      <w:rFonts w:eastAsiaTheme="minorHAnsi" w:cstheme="minorBidi"/>
      <w:sz w:val="22"/>
      <w:szCs w:val="22"/>
    </w:rPr>
  </w:style>
  <w:style w:type="paragraph" w:styleId="FootnoteText">
    <w:name w:val="footnote text"/>
    <w:basedOn w:val="Normal"/>
    <w:link w:val="FootnoteTextChar"/>
    <w:uiPriority w:val="99"/>
    <w:unhideWhenUsed/>
    <w:locked/>
    <w:rsid w:val="00F83C64"/>
    <w:rPr>
      <w:sz w:val="20"/>
    </w:rPr>
  </w:style>
  <w:style w:type="character" w:customStyle="1" w:styleId="FootnoteTextChar">
    <w:name w:val="Footnote Text Char"/>
    <w:basedOn w:val="DefaultParagraphFont"/>
    <w:link w:val="FootnoteText"/>
    <w:uiPriority w:val="99"/>
    <w:rsid w:val="00F83C64"/>
    <w:rPr>
      <w:rFonts w:asciiTheme="minorHAnsi" w:eastAsiaTheme="minorHAnsi" w:hAnsiTheme="minorHAnsi" w:cstheme="minorBidi"/>
    </w:rPr>
  </w:style>
  <w:style w:type="character" w:styleId="FootnoteReference">
    <w:name w:val="footnote reference"/>
    <w:basedOn w:val="DefaultParagraphFont"/>
    <w:uiPriority w:val="99"/>
    <w:unhideWhenUsed/>
    <w:locked/>
    <w:rsid w:val="00F83C64"/>
    <w:rPr>
      <w:vertAlign w:val="superscript"/>
    </w:rPr>
  </w:style>
  <w:style w:type="paragraph" w:styleId="ListParagraph">
    <w:name w:val="List Paragraph"/>
    <w:basedOn w:val="Normal"/>
    <w:uiPriority w:val="34"/>
    <w:qFormat/>
    <w:rsid w:val="00F83C64"/>
    <w:pPr>
      <w:ind w:left="720"/>
      <w:contextualSpacing/>
    </w:pPr>
  </w:style>
  <w:style w:type="paragraph" w:customStyle="1" w:styleId="indentedbullets">
    <w:name w:val="indented bullets"/>
    <w:basedOn w:val="Normal"/>
    <w:rsid w:val="00F83C64"/>
    <w:pPr>
      <w:numPr>
        <w:numId w:val="4"/>
      </w:numPr>
      <w:shd w:val="clear" w:color="auto" w:fill="FFFFFF"/>
      <w:spacing w:line="360" w:lineRule="atLeast"/>
    </w:pPr>
    <w:rPr>
      <w:sz w:val="19"/>
    </w:rPr>
  </w:style>
  <w:style w:type="paragraph" w:customStyle="1" w:styleId="FigureTitle">
    <w:name w:val="FigureTitle"/>
    <w:basedOn w:val="TableTitle"/>
    <w:qFormat/>
    <w:rsid w:val="00BF5438"/>
  </w:style>
  <w:style w:type="paragraph" w:customStyle="1" w:styleId="exhibitsource">
    <w:name w:val="exhibitsource"/>
    <w:basedOn w:val="shadedheader"/>
    <w:qFormat/>
    <w:rsid w:val="00F70AEB"/>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261A7A"/>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Tabletext">
    <w:name w:val="Table text"/>
    <w:basedOn w:val="Normal"/>
    <w:qFormat/>
    <w:rsid w:val="00AF63DE"/>
    <w:pPr>
      <w:spacing w:before="60" w:after="60"/>
    </w:pPr>
    <w:rPr>
      <w:sz w:val="18"/>
      <w:szCs w:val="18"/>
    </w:rPr>
  </w:style>
  <w:style w:type="paragraph" w:customStyle="1" w:styleId="TableHeader">
    <w:name w:val="Table Header"/>
    <w:basedOn w:val="Tabletext"/>
    <w:qFormat/>
    <w:rsid w:val="00325186"/>
    <w:rPr>
      <w:b/>
    </w:rPr>
  </w:style>
  <w:style w:type="paragraph" w:customStyle="1" w:styleId="Tabletitle0">
    <w:name w:val="Table title"/>
    <w:basedOn w:val="Normal"/>
    <w:qFormat/>
    <w:rsid w:val="00F362D9"/>
    <w:pPr>
      <w:keepNext/>
      <w:spacing w:before="120"/>
      <w:ind w:left="1440" w:hanging="1440"/>
    </w:pPr>
    <w:rPr>
      <w:rFonts w:eastAsia="Times"/>
      <w:b/>
      <w:snapToGrid w:val="0"/>
      <w:sz w:val="20"/>
    </w:rPr>
  </w:style>
  <w:style w:type="paragraph" w:customStyle="1" w:styleId="background">
    <w:name w:val="background"/>
    <w:basedOn w:val="Normal"/>
    <w:link w:val="backgroundChar"/>
    <w:rsid w:val="00D83948"/>
    <w:pPr>
      <w:shd w:val="clear" w:color="auto" w:fill="FFFFFF"/>
      <w:spacing w:after="120"/>
    </w:pPr>
    <w:rPr>
      <w:szCs w:val="19"/>
    </w:rPr>
  </w:style>
  <w:style w:type="character" w:customStyle="1" w:styleId="backgroundChar">
    <w:name w:val="background Char"/>
    <w:link w:val="background"/>
    <w:locked/>
    <w:rsid w:val="00325186"/>
    <w:rPr>
      <w:rFonts w:eastAsiaTheme="minorHAnsi" w:cstheme="minorBidi"/>
      <w:sz w:val="22"/>
      <w:szCs w:val="19"/>
      <w:shd w:val="clear" w:color="auto" w:fill="FFFFFF"/>
    </w:rPr>
  </w:style>
  <w:style w:type="paragraph" w:styleId="Revision">
    <w:name w:val="Revision"/>
    <w:hidden/>
    <w:uiPriority w:val="99"/>
    <w:semiHidden/>
    <w:rsid w:val="00452891"/>
    <w:rPr>
      <w:rFonts w:ascii="Arial" w:eastAsia="ヒラギノ角ゴ Pro W3" w:hAnsi="Arial"/>
      <w:color w:val="000000"/>
      <w:sz w:val="24"/>
      <w:szCs w:val="24"/>
    </w:rPr>
  </w:style>
  <w:style w:type="paragraph" w:customStyle="1" w:styleId="Title1">
    <w:name w:val="Title1"/>
    <w:basedOn w:val="Normal"/>
    <w:rsid w:val="00D83948"/>
    <w:pPr>
      <w:spacing w:before="100" w:beforeAutospacing="1" w:after="100" w:afterAutospacing="1"/>
    </w:pPr>
  </w:style>
  <w:style w:type="paragraph" w:customStyle="1" w:styleId="desc">
    <w:name w:val="desc"/>
    <w:basedOn w:val="Normal"/>
    <w:rsid w:val="00D83948"/>
    <w:pPr>
      <w:spacing w:before="100" w:beforeAutospacing="1" w:after="100" w:afterAutospacing="1"/>
    </w:pPr>
  </w:style>
  <w:style w:type="paragraph" w:customStyle="1" w:styleId="details">
    <w:name w:val="details"/>
    <w:basedOn w:val="Normal"/>
    <w:rsid w:val="00D83948"/>
    <w:pPr>
      <w:spacing w:before="100" w:beforeAutospacing="1" w:after="100" w:afterAutospacing="1"/>
    </w:pPr>
  </w:style>
  <w:style w:type="character" w:customStyle="1" w:styleId="jrnl">
    <w:name w:val="jrnl"/>
    <w:basedOn w:val="DefaultParagraphFont"/>
    <w:rsid w:val="00AC72BC"/>
  </w:style>
  <w:style w:type="paragraph" w:customStyle="1" w:styleId="references">
    <w:name w:val="references"/>
    <w:basedOn w:val="Normal"/>
    <w:rsid w:val="00D83948"/>
    <w:pPr>
      <w:shd w:val="clear" w:color="auto" w:fill="FFFFFF"/>
      <w:spacing w:before="120" w:after="120"/>
      <w:ind w:left="547" w:hanging="547"/>
    </w:pPr>
  </w:style>
  <w:style w:type="table" w:customStyle="1" w:styleId="EPCTable">
    <w:name w:val="EPC Table"/>
    <w:basedOn w:val="TableNormal"/>
    <w:rsid w:val="002F2B38"/>
    <w:rPr>
      <w:rFonts w:ascii="Arial" w:hAnsi="Arial"/>
      <w:sz w:val="18"/>
    </w:rPr>
    <w:tblPr>
      <w:tblStyleRowBandSize w:val="1"/>
      <w:tblBorders>
        <w:insideH w:val="single" w:sz="8" w:space="0" w:color="auto"/>
      </w:tblBorders>
      <w:tblCellMar>
        <w:top w:w="29" w:type="dxa"/>
        <w:left w:w="43" w:type="dxa"/>
        <w:bottom w:w="29" w:type="dxa"/>
        <w:right w:w="43" w:type="dxa"/>
      </w:tblCellMar>
    </w:tblPr>
    <w:tblStylePr w:type="firstRow">
      <w:pPr>
        <w:jc w:val="left"/>
      </w:pPr>
      <w:rPr>
        <w:rFonts w:ascii="Cambria" w:hAnsi="Cambria"/>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F362D9"/>
    <w:pPr>
      <w:spacing w:before="120" w:after="120"/>
      <w:ind w:left="187" w:hanging="187"/>
    </w:pPr>
    <w:rPr>
      <w:sz w:val="18"/>
      <w:szCs w:val="18"/>
    </w:rPr>
  </w:style>
  <w:style w:type="paragraph" w:customStyle="1" w:styleId="tabletext0">
    <w:name w:val="table text"/>
    <w:rsid w:val="002F2B38"/>
    <w:rPr>
      <w:rFonts w:ascii="Arial" w:hAnsi="Arial" w:cs="Arial"/>
      <w:bCs/>
      <w:sz w:val="18"/>
      <w:szCs w:val="18"/>
    </w:rPr>
  </w:style>
  <w:style w:type="paragraph" w:customStyle="1" w:styleId="TableText1">
    <w:name w:val="Table Text"/>
    <w:qFormat/>
    <w:rsid w:val="002F2B38"/>
    <w:rPr>
      <w:rFonts w:ascii="Arial" w:hAnsi="Arial"/>
      <w:sz w:val="18"/>
      <w:szCs w:val="18"/>
    </w:rPr>
  </w:style>
  <w:style w:type="paragraph" w:styleId="List">
    <w:name w:val="List"/>
    <w:basedOn w:val="Normal"/>
    <w:uiPriority w:val="99"/>
    <w:locked/>
    <w:rsid w:val="002F2B38"/>
    <w:pPr>
      <w:ind w:left="360" w:hanging="360"/>
      <w:contextualSpacing/>
    </w:pPr>
  </w:style>
  <w:style w:type="character" w:customStyle="1" w:styleId="Heading1Char">
    <w:name w:val="Heading 1 Char"/>
    <w:basedOn w:val="DefaultParagraphFont"/>
    <w:link w:val="Heading1"/>
    <w:uiPriority w:val="9"/>
    <w:rsid w:val="00BF5438"/>
    <w:rPr>
      <w:rFonts w:ascii="Cambria" w:hAnsi="Cambria"/>
      <w:b/>
      <w:bCs/>
      <w:kern w:val="32"/>
      <w:sz w:val="32"/>
      <w:szCs w:val="32"/>
    </w:rPr>
  </w:style>
  <w:style w:type="character" w:customStyle="1" w:styleId="highlight2">
    <w:name w:val="highlight2"/>
    <w:basedOn w:val="DefaultParagraphFont"/>
    <w:rsid w:val="00FC1AB0"/>
  </w:style>
  <w:style w:type="character" w:customStyle="1" w:styleId="apple-converted-space">
    <w:name w:val="apple-converted-space"/>
    <w:basedOn w:val="DefaultParagraphFont"/>
    <w:rsid w:val="00285CB2"/>
  </w:style>
  <w:style w:type="character" w:styleId="Emphasis">
    <w:name w:val="Emphasis"/>
    <w:basedOn w:val="DefaultParagraphFont"/>
    <w:uiPriority w:val="20"/>
    <w:qFormat/>
    <w:locked/>
    <w:rsid w:val="00285CB2"/>
    <w:rPr>
      <w:i/>
      <w:iCs/>
    </w:rPr>
  </w:style>
  <w:style w:type="paragraph" w:customStyle="1" w:styleId="KeyQuestions">
    <w:name w:val="Key Questions"/>
    <w:basedOn w:val="Header2"/>
    <w:qFormat/>
    <w:rsid w:val="002B6A7C"/>
    <w:rPr>
      <w:rFonts w:cs="Times New Roman"/>
      <w:i w:val="0"/>
      <w:szCs w:val="20"/>
      <w:u w:val="none"/>
    </w:rPr>
  </w:style>
  <w:style w:type="paragraph" w:customStyle="1" w:styleId="Tablebullet-blank2">
    <w:name w:val="Table bullet - blank 2"/>
    <w:basedOn w:val="tablebullet-blank"/>
    <w:qFormat/>
    <w:rsid w:val="00AF63DE"/>
    <w:pPr>
      <w:framePr w:hSpace="180" w:wrap="around" w:vAnchor="text" w:hAnchor="text" w:xAlign="center" w:y="1"/>
      <w:ind w:left="533" w:hanging="274"/>
    </w:pPr>
  </w:style>
  <w:style w:type="paragraph" w:customStyle="1" w:styleId="TableBullet0">
    <w:name w:val="TableBullet"/>
    <w:basedOn w:val="Normal"/>
    <w:qFormat/>
    <w:rsid w:val="00354190"/>
    <w:pPr>
      <w:numPr>
        <w:numId w:val="25"/>
      </w:numPr>
      <w:ind w:left="274" w:hanging="274"/>
    </w:pPr>
    <w:rPr>
      <w:rFonts w:eastAsia="Calibri"/>
      <w:sz w:val="18"/>
    </w:rPr>
  </w:style>
  <w:style w:type="character" w:styleId="FollowedHyperlink">
    <w:name w:val="FollowedHyperlink"/>
    <w:basedOn w:val="DefaultParagraphFont"/>
    <w:uiPriority w:val="99"/>
    <w:locked/>
    <w:rsid w:val="005C439B"/>
    <w:rPr>
      <w:color w:val="800080" w:themeColor="followedHyperlink"/>
      <w:u w:val="single"/>
    </w:rPr>
  </w:style>
  <w:style w:type="paragraph" w:styleId="Title">
    <w:name w:val="Title"/>
    <w:basedOn w:val="Normal"/>
    <w:next w:val="Normal"/>
    <w:link w:val="TitleChar"/>
    <w:qFormat/>
    <w:locked/>
    <w:rsid w:val="00715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57E1"/>
    <w:rPr>
      <w:rFonts w:asciiTheme="majorHAnsi" w:eastAsiaTheme="majorEastAsia" w:hAnsiTheme="majorHAnsi" w:cstheme="majorBidi"/>
      <w:color w:val="17365D" w:themeColor="text2" w:themeShade="BF"/>
      <w:spacing w:val="5"/>
      <w:kern w:val="28"/>
      <w:sz w:val="52"/>
      <w:szCs w:val="52"/>
    </w:rPr>
  </w:style>
  <w:style w:type="paragraph" w:customStyle="1" w:styleId="R-Pubs-Pres">
    <w:name w:val="R-Pubs-Pres"/>
    <w:basedOn w:val="Normal"/>
    <w:rsid w:val="00D83948"/>
    <w:pPr>
      <w:keepLines/>
      <w:spacing w:after="220"/>
      <w:ind w:left="446" w:hanging="446"/>
    </w:pPr>
  </w:style>
  <w:style w:type="paragraph" w:customStyle="1" w:styleId="EndNoteBibliographyTitle">
    <w:name w:val="EndNote Bibliography Title"/>
    <w:basedOn w:val="Normal"/>
    <w:link w:val="EndNoteBibliographyTitleChar"/>
    <w:rsid w:val="00F362D9"/>
    <w:pPr>
      <w:jc w:val="center"/>
    </w:pPr>
    <w:rPr>
      <w:rFonts w:ascii="Times New Roman" w:hAnsi="Times New Roman"/>
      <w:noProof/>
      <w:sz w:val="20"/>
    </w:rPr>
  </w:style>
  <w:style w:type="character" w:customStyle="1" w:styleId="EndNoteBibliographyTitleChar">
    <w:name w:val="EndNote Bibliography Title Char"/>
    <w:basedOn w:val="TextChar"/>
    <w:link w:val="EndNoteBibliographyTitle"/>
    <w:rsid w:val="00EE08BC"/>
    <w:rPr>
      <w:rFonts w:eastAsiaTheme="minorHAnsi" w:cstheme="minorBidi"/>
      <w:noProof/>
      <w:sz w:val="22"/>
      <w:szCs w:val="22"/>
    </w:rPr>
  </w:style>
  <w:style w:type="paragraph" w:customStyle="1" w:styleId="EndNoteBibliography">
    <w:name w:val="EndNote Bibliography"/>
    <w:basedOn w:val="Normal"/>
    <w:link w:val="EndNoteBibliographyChar"/>
    <w:rsid w:val="009A72F1"/>
    <w:pPr>
      <w:keepLines/>
    </w:pPr>
    <w:rPr>
      <w:rFonts w:ascii="Times New Roman" w:hAnsi="Times New Roman"/>
      <w:noProof/>
      <w:sz w:val="20"/>
    </w:rPr>
  </w:style>
  <w:style w:type="character" w:customStyle="1" w:styleId="EndNoteBibliographyChar">
    <w:name w:val="EndNote Bibliography Char"/>
    <w:basedOn w:val="TextChar"/>
    <w:link w:val="EndNoteBibliography"/>
    <w:rsid w:val="009A72F1"/>
    <w:rPr>
      <w:rFonts w:eastAsiaTheme="minorHAnsi" w:cstheme="minorBidi"/>
      <w:noProof/>
      <w:sz w:val="22"/>
      <w:szCs w:val="22"/>
    </w:rPr>
  </w:style>
  <w:style w:type="paragraph" w:customStyle="1" w:styleId="ParagraphIndent">
    <w:name w:val="ParagraphIndent"/>
    <w:link w:val="ParagraphIndentChar"/>
    <w:qFormat/>
    <w:rsid w:val="001A3402"/>
    <w:pPr>
      <w:ind w:firstLine="360"/>
    </w:pPr>
    <w:rPr>
      <w:rFonts w:eastAsia="Calibri"/>
      <w:color w:val="000000"/>
      <w:sz w:val="24"/>
      <w:szCs w:val="24"/>
    </w:rPr>
  </w:style>
  <w:style w:type="table" w:styleId="TableGrid">
    <w:name w:val="Table Grid"/>
    <w:basedOn w:val="TableNormal"/>
    <w:uiPriority w:val="59"/>
    <w:locked/>
    <w:rsid w:val="001A34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6E46AB"/>
    <w:pPr>
      <w:keepNext/>
      <w:spacing w:before="240"/>
    </w:pPr>
    <w:rPr>
      <w:rFonts w:ascii="Arial" w:eastAsia="Calibri" w:hAnsi="Arial"/>
      <w:b/>
      <w:color w:val="000000"/>
      <w:szCs w:val="24"/>
    </w:rPr>
  </w:style>
  <w:style w:type="paragraph" w:customStyle="1" w:styleId="TableNote">
    <w:name w:val="TableNote"/>
    <w:qFormat/>
    <w:rsid w:val="001A3402"/>
    <w:pPr>
      <w:spacing w:after="240"/>
    </w:pPr>
    <w:rPr>
      <w:bCs/>
      <w:sz w:val="18"/>
      <w:szCs w:val="24"/>
    </w:rPr>
  </w:style>
  <w:style w:type="paragraph" w:customStyle="1" w:styleId="TableText2">
    <w:name w:val="TableText"/>
    <w:link w:val="TableTextChar"/>
    <w:qFormat/>
    <w:rsid w:val="001A3402"/>
    <w:rPr>
      <w:rFonts w:ascii="Arial" w:eastAsia="Calibri" w:hAnsi="Arial" w:cs="Arial"/>
      <w:sz w:val="18"/>
      <w:szCs w:val="18"/>
    </w:rPr>
  </w:style>
  <w:style w:type="paragraph" w:customStyle="1" w:styleId="TableBoldText">
    <w:name w:val="TableBoldText"/>
    <w:qFormat/>
    <w:rsid w:val="001A3402"/>
    <w:rPr>
      <w:rFonts w:ascii="Arial" w:eastAsia="Calibri" w:hAnsi="Arial" w:cs="Arial"/>
      <w:b/>
      <w:sz w:val="18"/>
      <w:szCs w:val="18"/>
    </w:rPr>
  </w:style>
  <w:style w:type="paragraph" w:customStyle="1" w:styleId="ParagraphNoIndent">
    <w:name w:val="ParagraphNoIndent"/>
    <w:qFormat/>
    <w:rsid w:val="001A3402"/>
    <w:rPr>
      <w:bCs/>
      <w:sz w:val="24"/>
      <w:szCs w:val="24"/>
    </w:rPr>
  </w:style>
  <w:style w:type="paragraph" w:customStyle="1" w:styleId="ReportType">
    <w:name w:val="ReportType"/>
    <w:qFormat/>
    <w:rsid w:val="001A3402"/>
    <w:pPr>
      <w:pBdr>
        <w:bottom w:val="single" w:sz="12" w:space="1" w:color="auto"/>
      </w:pBdr>
    </w:pPr>
    <w:rPr>
      <w:b/>
      <w:bCs/>
      <w:i/>
      <w:sz w:val="36"/>
      <w:szCs w:val="36"/>
    </w:rPr>
  </w:style>
  <w:style w:type="paragraph" w:customStyle="1" w:styleId="NumberLine">
    <w:name w:val="NumberLine"/>
    <w:qFormat/>
    <w:rsid w:val="001A3402"/>
    <w:rPr>
      <w:rFonts w:ascii="Arial" w:hAnsi="Arial"/>
      <w:b/>
      <w:bCs/>
      <w:sz w:val="28"/>
      <w:szCs w:val="28"/>
    </w:rPr>
  </w:style>
  <w:style w:type="paragraph" w:customStyle="1" w:styleId="ReportTitle">
    <w:name w:val="ReportTitle"/>
    <w:uiPriority w:val="99"/>
    <w:qFormat/>
    <w:rsid w:val="001A3402"/>
    <w:rPr>
      <w:rFonts w:ascii="Arial" w:hAnsi="Arial"/>
      <w:b/>
      <w:bCs/>
      <w:sz w:val="36"/>
      <w:szCs w:val="36"/>
    </w:rPr>
  </w:style>
  <w:style w:type="paragraph" w:styleId="NormalWeb">
    <w:name w:val="Normal (Web)"/>
    <w:basedOn w:val="Normal"/>
    <w:uiPriority w:val="99"/>
    <w:locked/>
    <w:rsid w:val="001A3402"/>
    <w:pPr>
      <w:spacing w:before="100" w:beforeAutospacing="1" w:after="100" w:afterAutospacing="1"/>
    </w:pPr>
    <w:rPr>
      <w:rFonts w:ascii="Times New Roman" w:hAnsi="Times New Roman"/>
      <w:szCs w:val="24"/>
    </w:rPr>
  </w:style>
  <w:style w:type="paragraph" w:customStyle="1" w:styleId="PageNumber">
    <w:name w:val="PageNumber"/>
    <w:qFormat/>
    <w:rsid w:val="001A3402"/>
    <w:pPr>
      <w:jc w:val="center"/>
    </w:pPr>
    <w:rPr>
      <w:rFonts w:eastAsia="Calibri"/>
      <w:sz w:val="24"/>
      <w:szCs w:val="24"/>
    </w:rPr>
  </w:style>
  <w:style w:type="paragraph" w:customStyle="1" w:styleId="FrontMatterHead">
    <w:name w:val="FrontMatterHead"/>
    <w:qFormat/>
    <w:rsid w:val="001A3402"/>
    <w:pPr>
      <w:keepNext/>
      <w:spacing w:before="240" w:after="60"/>
    </w:pPr>
    <w:rPr>
      <w:rFonts w:ascii="Arial" w:eastAsia="Calibri" w:hAnsi="Arial" w:cs="Arial"/>
      <w:b/>
      <w:sz w:val="32"/>
      <w:szCs w:val="32"/>
    </w:rPr>
  </w:style>
  <w:style w:type="table" w:customStyle="1" w:styleId="AHRQ1">
    <w:name w:val="AHRQ1"/>
    <w:basedOn w:val="TableGrid"/>
    <w:rsid w:val="001A3402"/>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locked/>
    <w:rsid w:val="001A3402"/>
    <w:rPr>
      <w:rFonts w:ascii="Times New Roman" w:hAnsi="Times New Roman"/>
      <w:szCs w:val="24"/>
      <w:lang w:val="en-CA"/>
    </w:rPr>
  </w:style>
  <w:style w:type="paragraph" w:styleId="TOC2">
    <w:name w:val="toc 2"/>
    <w:basedOn w:val="Normal"/>
    <w:next w:val="Normal"/>
    <w:autoRedefine/>
    <w:locked/>
    <w:rsid w:val="00A6321F"/>
    <w:pPr>
      <w:tabs>
        <w:tab w:val="right" w:leader="dot" w:pos="9360"/>
      </w:tabs>
      <w:ind w:left="360"/>
    </w:pPr>
    <w:rPr>
      <w:rFonts w:ascii="Times New Roman" w:hAnsi="Times New Roman"/>
      <w:szCs w:val="24"/>
      <w:lang w:val="en-CA"/>
    </w:rPr>
  </w:style>
  <w:style w:type="paragraph" w:customStyle="1" w:styleId="ChapterHeading">
    <w:name w:val="ChapterHeading"/>
    <w:qFormat/>
    <w:rsid w:val="001A3402"/>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1A3402"/>
    <w:pPr>
      <w:keepNext/>
      <w:spacing w:before="240" w:after="60"/>
      <w:outlineLvl w:val="1"/>
    </w:pPr>
    <w:rPr>
      <w:rFonts w:ascii="Arial" w:hAnsi="Arial"/>
      <w:b/>
      <w:bCs/>
      <w:sz w:val="32"/>
      <w:szCs w:val="24"/>
    </w:rPr>
  </w:style>
  <w:style w:type="paragraph" w:customStyle="1" w:styleId="Level2Heading">
    <w:name w:val="Level2Heading"/>
    <w:qFormat/>
    <w:rsid w:val="001A3402"/>
    <w:pPr>
      <w:keepNext/>
      <w:spacing w:before="240" w:after="60"/>
      <w:outlineLvl w:val="2"/>
    </w:pPr>
    <w:rPr>
      <w:b/>
      <w:bCs/>
      <w:sz w:val="32"/>
      <w:szCs w:val="24"/>
    </w:rPr>
  </w:style>
  <w:style w:type="paragraph" w:customStyle="1" w:styleId="KeyQuestion">
    <w:name w:val="KeyQuestion"/>
    <w:rsid w:val="001A3402"/>
    <w:pPr>
      <w:keepLines/>
      <w:spacing w:before="240" w:after="60"/>
    </w:pPr>
    <w:rPr>
      <w:rFonts w:ascii="Arial" w:hAnsi="Arial" w:cs="Arial"/>
      <w:iCs/>
      <w:sz w:val="28"/>
      <w:szCs w:val="28"/>
    </w:rPr>
  </w:style>
  <w:style w:type="paragraph" w:customStyle="1" w:styleId="Reference">
    <w:name w:val="Reference"/>
    <w:qFormat/>
    <w:rsid w:val="001A3402"/>
    <w:pPr>
      <w:keepLines/>
      <w:spacing w:before="120" w:after="120"/>
      <w:ind w:left="720" w:hanging="720"/>
    </w:pPr>
    <w:rPr>
      <w:bCs/>
      <w:szCs w:val="24"/>
    </w:rPr>
  </w:style>
  <w:style w:type="paragraph" w:customStyle="1" w:styleId="Level5Heading">
    <w:name w:val="Level5Heading"/>
    <w:qFormat/>
    <w:rsid w:val="001A3402"/>
    <w:pPr>
      <w:keepNext/>
      <w:spacing w:before="240"/>
      <w:outlineLvl w:val="5"/>
    </w:pPr>
    <w:rPr>
      <w:rFonts w:ascii="Arial" w:hAnsi="Arial"/>
      <w:b/>
      <w:bCs/>
      <w:sz w:val="24"/>
      <w:szCs w:val="24"/>
    </w:rPr>
  </w:style>
  <w:style w:type="paragraph" w:customStyle="1" w:styleId="Level3Heading">
    <w:name w:val="Level3Heading"/>
    <w:qFormat/>
    <w:rsid w:val="001A3402"/>
    <w:pPr>
      <w:keepNext/>
      <w:spacing w:before="240"/>
      <w:outlineLvl w:val="3"/>
    </w:pPr>
    <w:rPr>
      <w:rFonts w:ascii="Arial" w:hAnsi="Arial"/>
      <w:b/>
      <w:bCs/>
      <w:sz w:val="28"/>
      <w:szCs w:val="24"/>
    </w:rPr>
  </w:style>
  <w:style w:type="paragraph" w:customStyle="1" w:styleId="PreparedForText">
    <w:name w:val="PreparedForText"/>
    <w:qFormat/>
    <w:rsid w:val="001A3402"/>
    <w:rPr>
      <w:bCs/>
      <w:sz w:val="24"/>
      <w:szCs w:val="24"/>
    </w:rPr>
  </w:style>
  <w:style w:type="paragraph" w:customStyle="1" w:styleId="ParagraphNoIndentBold">
    <w:name w:val="ParagraphNoIndentBold"/>
    <w:qFormat/>
    <w:rsid w:val="001A3402"/>
    <w:rPr>
      <w:b/>
      <w:bCs/>
      <w:sz w:val="24"/>
      <w:szCs w:val="24"/>
    </w:rPr>
  </w:style>
  <w:style w:type="paragraph" w:customStyle="1" w:styleId="ContractNumber">
    <w:name w:val="ContractNumber"/>
    <w:next w:val="Normal"/>
    <w:qFormat/>
    <w:rsid w:val="001A3402"/>
    <w:rPr>
      <w:b/>
      <w:bCs/>
      <w:sz w:val="24"/>
      <w:szCs w:val="24"/>
    </w:rPr>
  </w:style>
  <w:style w:type="paragraph" w:customStyle="1" w:styleId="PreparedByText">
    <w:name w:val="PreparedByText"/>
    <w:qFormat/>
    <w:rsid w:val="001A3402"/>
    <w:rPr>
      <w:bCs/>
      <w:sz w:val="24"/>
      <w:szCs w:val="24"/>
    </w:rPr>
  </w:style>
  <w:style w:type="paragraph" w:customStyle="1" w:styleId="Investigators">
    <w:name w:val="Investigators"/>
    <w:qFormat/>
    <w:rsid w:val="001A3402"/>
    <w:rPr>
      <w:bCs/>
      <w:sz w:val="24"/>
      <w:szCs w:val="24"/>
    </w:rPr>
  </w:style>
  <w:style w:type="paragraph" w:customStyle="1" w:styleId="PublicationNumberDate">
    <w:name w:val="PublicationNumberDate"/>
    <w:qFormat/>
    <w:rsid w:val="001A3402"/>
    <w:rPr>
      <w:b/>
      <w:bCs/>
      <w:sz w:val="24"/>
      <w:szCs w:val="24"/>
    </w:rPr>
  </w:style>
  <w:style w:type="paragraph" w:customStyle="1" w:styleId="SuggestedCitation">
    <w:name w:val="SuggestedCitation"/>
    <w:qFormat/>
    <w:rsid w:val="001A3402"/>
    <w:rPr>
      <w:bCs/>
      <w:sz w:val="24"/>
      <w:szCs w:val="24"/>
    </w:rPr>
  </w:style>
  <w:style w:type="paragraph" w:customStyle="1" w:styleId="Contents">
    <w:name w:val="Contents"/>
    <w:qFormat/>
    <w:rsid w:val="001A3402"/>
    <w:pPr>
      <w:keepNext/>
      <w:jc w:val="center"/>
    </w:pPr>
    <w:rPr>
      <w:rFonts w:ascii="Arial" w:eastAsia="Calibri" w:hAnsi="Arial" w:cs="Arial"/>
      <w:b/>
      <w:sz w:val="36"/>
      <w:szCs w:val="32"/>
    </w:rPr>
  </w:style>
  <w:style w:type="paragraph" w:customStyle="1" w:styleId="ContentsSubhead">
    <w:name w:val="ContentsSubhead"/>
    <w:qFormat/>
    <w:rsid w:val="001A3402"/>
    <w:pPr>
      <w:keepNext/>
      <w:spacing w:before="240"/>
    </w:pPr>
    <w:rPr>
      <w:b/>
      <w:bCs/>
      <w:sz w:val="24"/>
      <w:szCs w:val="28"/>
    </w:rPr>
  </w:style>
  <w:style w:type="paragraph" w:customStyle="1" w:styleId="Level4Heading">
    <w:name w:val="Level4Heading"/>
    <w:qFormat/>
    <w:rsid w:val="001A3402"/>
    <w:pPr>
      <w:keepNext/>
      <w:spacing w:before="240"/>
      <w:outlineLvl w:val="4"/>
    </w:pPr>
    <w:rPr>
      <w:b/>
      <w:bCs/>
      <w:sz w:val="28"/>
      <w:szCs w:val="24"/>
    </w:rPr>
  </w:style>
  <w:style w:type="paragraph" w:customStyle="1" w:styleId="TableColumnHead">
    <w:name w:val="TableColumnHead"/>
    <w:qFormat/>
    <w:rsid w:val="001A3402"/>
    <w:pPr>
      <w:jc w:val="center"/>
    </w:pPr>
    <w:rPr>
      <w:rFonts w:ascii="Arial" w:eastAsia="Calibri" w:hAnsi="Arial" w:cs="Arial"/>
      <w:b/>
      <w:bCs/>
      <w:sz w:val="18"/>
      <w:szCs w:val="18"/>
    </w:rPr>
  </w:style>
  <w:style w:type="paragraph" w:customStyle="1" w:styleId="TableSubhead">
    <w:name w:val="TableSubhead"/>
    <w:qFormat/>
    <w:rsid w:val="001A3402"/>
    <w:rPr>
      <w:rFonts w:ascii="Arial" w:eastAsia="Calibri" w:hAnsi="Arial" w:cs="Arial"/>
      <w:b/>
      <w:i/>
      <w:sz w:val="18"/>
      <w:szCs w:val="18"/>
    </w:rPr>
  </w:style>
  <w:style w:type="paragraph" w:customStyle="1" w:styleId="Level6Heading">
    <w:name w:val="Level6Heading"/>
    <w:qFormat/>
    <w:rsid w:val="001A3402"/>
    <w:pPr>
      <w:keepNext/>
      <w:spacing w:before="240"/>
      <w:outlineLvl w:val="6"/>
    </w:pPr>
    <w:rPr>
      <w:b/>
      <w:bCs/>
      <w:sz w:val="24"/>
      <w:szCs w:val="24"/>
    </w:rPr>
  </w:style>
  <w:style w:type="paragraph" w:customStyle="1" w:styleId="Level7Heading">
    <w:name w:val="Level7Heading"/>
    <w:qFormat/>
    <w:rsid w:val="001A3402"/>
    <w:pPr>
      <w:keepNext/>
    </w:pPr>
    <w:rPr>
      <w:rFonts w:eastAsia="Calibri"/>
      <w:b/>
      <w:color w:val="000000"/>
      <w:sz w:val="24"/>
      <w:szCs w:val="24"/>
    </w:rPr>
  </w:style>
  <w:style w:type="paragraph" w:customStyle="1" w:styleId="Level8Heading">
    <w:name w:val="Level8Heading"/>
    <w:qFormat/>
    <w:rsid w:val="001A3402"/>
    <w:pPr>
      <w:keepNext/>
    </w:pPr>
    <w:rPr>
      <w:bCs/>
      <w:i/>
      <w:sz w:val="24"/>
      <w:szCs w:val="24"/>
    </w:rPr>
  </w:style>
  <w:style w:type="paragraph" w:customStyle="1" w:styleId="Bullet1">
    <w:name w:val="Bullet1"/>
    <w:qFormat/>
    <w:rsid w:val="001A3402"/>
    <w:pPr>
      <w:numPr>
        <w:numId w:val="34"/>
      </w:numPr>
    </w:pPr>
    <w:rPr>
      <w:bCs/>
      <w:sz w:val="24"/>
      <w:szCs w:val="24"/>
    </w:rPr>
  </w:style>
  <w:style w:type="paragraph" w:customStyle="1" w:styleId="Bullet2">
    <w:name w:val="Bullet2"/>
    <w:qFormat/>
    <w:rsid w:val="001A3402"/>
    <w:pPr>
      <w:numPr>
        <w:ilvl w:val="1"/>
        <w:numId w:val="34"/>
      </w:numPr>
    </w:pPr>
    <w:rPr>
      <w:bCs/>
      <w:sz w:val="24"/>
      <w:szCs w:val="24"/>
    </w:rPr>
  </w:style>
  <w:style w:type="paragraph" w:customStyle="1" w:styleId="TableCenteredText">
    <w:name w:val="TableCenteredText"/>
    <w:qFormat/>
    <w:rsid w:val="001A3402"/>
    <w:pPr>
      <w:jc w:val="center"/>
    </w:pPr>
    <w:rPr>
      <w:rFonts w:ascii="Arial" w:eastAsia="Calibri" w:hAnsi="Arial" w:cs="Arial"/>
      <w:sz w:val="18"/>
      <w:szCs w:val="18"/>
    </w:rPr>
  </w:style>
  <w:style w:type="paragraph" w:customStyle="1" w:styleId="TableLeftText">
    <w:name w:val="TableLeftText"/>
    <w:qFormat/>
    <w:rsid w:val="001A3402"/>
    <w:rPr>
      <w:rFonts w:ascii="Arial" w:eastAsia="Calibri" w:hAnsi="Arial" w:cs="Arial"/>
      <w:sz w:val="18"/>
      <w:szCs w:val="18"/>
    </w:rPr>
  </w:style>
  <w:style w:type="paragraph" w:customStyle="1" w:styleId="Studies1">
    <w:name w:val="Studies1"/>
    <w:qFormat/>
    <w:rsid w:val="001A3402"/>
    <w:pPr>
      <w:keepLines/>
      <w:spacing w:before="120" w:after="120"/>
    </w:pPr>
    <w:rPr>
      <w:rFonts w:eastAsia="Calibri" w:cs="Arial"/>
      <w:color w:val="000000"/>
      <w:sz w:val="24"/>
      <w:szCs w:val="32"/>
    </w:rPr>
  </w:style>
  <w:style w:type="paragraph" w:customStyle="1" w:styleId="Studies2">
    <w:name w:val="Studies2"/>
    <w:qFormat/>
    <w:rsid w:val="001A3402"/>
    <w:pPr>
      <w:keepLines/>
      <w:numPr>
        <w:numId w:val="36"/>
      </w:numPr>
      <w:spacing w:before="120" w:after="120"/>
    </w:pPr>
    <w:rPr>
      <w:rFonts w:eastAsia="Times"/>
      <w:color w:val="000000"/>
      <w:sz w:val="24"/>
      <w:szCs w:val="24"/>
    </w:rPr>
  </w:style>
  <w:style w:type="paragraph" w:customStyle="1" w:styleId="NumberedList">
    <w:name w:val="NumberedList"/>
    <w:basedOn w:val="Bullet1"/>
    <w:qFormat/>
    <w:rsid w:val="001A3402"/>
    <w:pPr>
      <w:numPr>
        <w:numId w:val="35"/>
      </w:numPr>
    </w:pPr>
  </w:style>
  <w:style w:type="paragraph" w:customStyle="1" w:styleId="ReportSubtitle">
    <w:name w:val="ReportSubtitle"/>
    <w:qFormat/>
    <w:rsid w:val="001A3402"/>
    <w:rPr>
      <w:rFonts w:ascii="Arial" w:hAnsi="Arial"/>
      <w:b/>
      <w:bCs/>
      <w:sz w:val="24"/>
      <w:szCs w:val="24"/>
    </w:rPr>
  </w:style>
  <w:style w:type="paragraph" w:customStyle="1" w:styleId="FrontMatterSubhead">
    <w:name w:val="FrontMatterSubhead"/>
    <w:qFormat/>
    <w:rsid w:val="001A3402"/>
    <w:pPr>
      <w:keepNext/>
      <w:spacing w:before="120"/>
    </w:pPr>
    <w:rPr>
      <w:rFonts w:ascii="Arial" w:eastAsia="Calibri" w:hAnsi="Arial" w:cs="Arial"/>
      <w:b/>
      <w:sz w:val="24"/>
      <w:szCs w:val="32"/>
    </w:rPr>
  </w:style>
  <w:style w:type="paragraph" w:customStyle="1" w:styleId="ES-Level1Heading">
    <w:name w:val="ES-Level1Heading"/>
    <w:basedOn w:val="Level1Heading"/>
    <w:qFormat/>
    <w:rsid w:val="00BF5438"/>
  </w:style>
  <w:style w:type="paragraph" w:customStyle="1" w:styleId="ES-Level2Heading">
    <w:name w:val="ES-Level2Heading"/>
    <w:basedOn w:val="Level2Heading"/>
    <w:qFormat/>
    <w:rsid w:val="00BF5438"/>
  </w:style>
  <w:style w:type="paragraph" w:customStyle="1" w:styleId="ES-Level3Heading">
    <w:name w:val="ES-Level3Heading"/>
    <w:basedOn w:val="Level3Heading"/>
    <w:qFormat/>
    <w:rsid w:val="00BF5438"/>
    <w:rPr>
      <w:rFonts w:cs="Arial"/>
    </w:rPr>
  </w:style>
  <w:style w:type="paragraph" w:styleId="Caption">
    <w:name w:val="caption"/>
    <w:basedOn w:val="Normal"/>
    <w:next w:val="Normal"/>
    <w:uiPriority w:val="35"/>
    <w:unhideWhenUsed/>
    <w:qFormat/>
    <w:locked/>
    <w:rsid w:val="00BF5438"/>
    <w:rPr>
      <w:b/>
      <w:bCs/>
      <w:color w:val="4F81BD" w:themeColor="accent1"/>
      <w:sz w:val="18"/>
      <w:szCs w:val="18"/>
    </w:rPr>
  </w:style>
  <w:style w:type="paragraph" w:customStyle="1" w:styleId="Tabletitlecontinued">
    <w:name w:val="Table title continued"/>
    <w:basedOn w:val="Tabletitle0"/>
    <w:qFormat/>
    <w:rsid w:val="00F52488"/>
  </w:style>
  <w:style w:type="paragraph" w:customStyle="1" w:styleId="tabletitle1">
    <w:name w:val="tabletitle"/>
    <w:basedOn w:val="Normal"/>
    <w:uiPriority w:val="99"/>
    <w:rsid w:val="00AF63DE"/>
    <w:pPr>
      <w:keepNext/>
      <w:spacing w:before="240"/>
    </w:pPr>
    <w:rPr>
      <w:rFonts w:eastAsia="Calibri"/>
      <w:b/>
      <w:color w:val="000000"/>
      <w:sz w:val="20"/>
    </w:rPr>
  </w:style>
  <w:style w:type="character" w:customStyle="1" w:styleId="Level1HeadingChar">
    <w:name w:val="Level1Heading Char"/>
    <w:link w:val="Level1Heading"/>
    <w:rsid w:val="00F52488"/>
    <w:rPr>
      <w:rFonts w:ascii="Arial" w:hAnsi="Arial"/>
      <w:b/>
      <w:bCs/>
      <w:sz w:val="32"/>
      <w:szCs w:val="24"/>
    </w:rPr>
  </w:style>
  <w:style w:type="character" w:customStyle="1" w:styleId="ParagraphIndentChar">
    <w:name w:val="ParagraphIndent Char"/>
    <w:basedOn w:val="DefaultParagraphFont"/>
    <w:link w:val="ParagraphIndent"/>
    <w:rsid w:val="00F52488"/>
    <w:rPr>
      <w:rFonts w:eastAsia="Calibri"/>
      <w:color w:val="000000"/>
      <w:sz w:val="24"/>
      <w:szCs w:val="24"/>
    </w:rPr>
  </w:style>
  <w:style w:type="table" w:customStyle="1" w:styleId="EPC1">
    <w:name w:val="EPC1"/>
    <w:basedOn w:val="TableNormal"/>
    <w:uiPriority w:val="99"/>
    <w:rsid w:val="00AB02A6"/>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
    <w:name w:val="EPC"/>
    <w:basedOn w:val="TableNormal"/>
    <w:uiPriority w:val="99"/>
    <w:rsid w:val="00B31ED1"/>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tblPr/>
      <w:tcPr>
        <w:tcBorders>
          <w:top w:val="single" w:sz="12" w:space="0" w:color="auto"/>
        </w:tcBorders>
      </w:tcPr>
    </w:tblStylePr>
  </w:style>
  <w:style w:type="character" w:customStyle="1" w:styleId="TableTextChar">
    <w:name w:val="TableText Char"/>
    <w:basedOn w:val="DefaultParagraphFont"/>
    <w:link w:val="TableText2"/>
    <w:rsid w:val="00F52488"/>
    <w:rPr>
      <w:rFonts w:ascii="Arial" w:eastAsia="Calibri" w:hAnsi="Arial" w:cs="Arial"/>
      <w:sz w:val="18"/>
      <w:szCs w:val="18"/>
    </w:rPr>
  </w:style>
  <w:style w:type="paragraph" w:customStyle="1" w:styleId="tabletitlecontinued0">
    <w:name w:val="tabletitle(continued)"/>
    <w:basedOn w:val="tabletitle1"/>
    <w:qFormat/>
    <w:rsid w:val="009D0031"/>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uiPriority w:val="9"/>
    <w:rsid w:val="00A67473"/>
    <w:rPr>
      <w:rFonts w:ascii="Verdana" w:eastAsia="MS Mincho" w:hAnsi="Verdana"/>
      <w:b/>
      <w:sz w:val="24"/>
      <w:szCs w:val="24"/>
    </w:rPr>
  </w:style>
  <w:style w:type="character" w:customStyle="1" w:styleId="Heading3Char">
    <w:name w:val="Heading 3 Char"/>
    <w:basedOn w:val="DefaultParagraphFont"/>
    <w:link w:val="Heading3"/>
    <w:uiPriority w:val="9"/>
    <w:rsid w:val="00A67473"/>
    <w:rPr>
      <w:rFonts w:ascii="Verdana" w:eastAsia="MS Mincho" w:hAnsi="Verdana"/>
      <w:b/>
      <w:i/>
      <w:sz w:val="22"/>
    </w:rPr>
  </w:style>
  <w:style w:type="character" w:customStyle="1" w:styleId="Heading4Char">
    <w:name w:val="Heading 4 Char"/>
    <w:basedOn w:val="DefaultParagraphFont"/>
    <w:link w:val="Heading4"/>
    <w:rsid w:val="00A67473"/>
    <w:rPr>
      <w:rFonts w:ascii="Verdana" w:eastAsia="MS Mincho" w:hAnsi="Verdana" w:cs="Arial"/>
      <w:i/>
      <w:sz w:val="22"/>
    </w:rPr>
  </w:style>
  <w:style w:type="numbering" w:customStyle="1" w:styleId="NoList1">
    <w:name w:val="No List1"/>
    <w:next w:val="NoList"/>
    <w:uiPriority w:val="99"/>
    <w:semiHidden/>
    <w:unhideWhenUsed/>
    <w:rsid w:val="00A67473"/>
  </w:style>
  <w:style w:type="paragraph" w:customStyle="1" w:styleId="MediumGrid1-Accent21">
    <w:name w:val="Medium Grid 1 - Accent 21"/>
    <w:basedOn w:val="Normal"/>
    <w:uiPriority w:val="34"/>
    <w:qFormat/>
    <w:rsid w:val="00F362D9"/>
    <w:pPr>
      <w:ind w:left="720"/>
    </w:pPr>
    <w:rPr>
      <w:rFonts w:ascii="Verdana" w:eastAsia="Calibri" w:hAnsi="Verdana"/>
      <w:sz w:val="20"/>
    </w:rPr>
  </w:style>
  <w:style w:type="paragraph" w:customStyle="1" w:styleId="Bullet-3">
    <w:name w:val="Bullet-3"/>
    <w:basedOn w:val="Normal"/>
    <w:qFormat/>
    <w:rsid w:val="00F362D9"/>
    <w:pPr>
      <w:numPr>
        <w:numId w:val="18"/>
      </w:numPr>
      <w:ind w:left="1440"/>
    </w:pPr>
    <w:rPr>
      <w:rFonts w:eastAsia="Calibri"/>
    </w:rPr>
  </w:style>
  <w:style w:type="paragraph" w:customStyle="1" w:styleId="Style1">
    <w:name w:val="Style1"/>
    <w:basedOn w:val="Normal"/>
    <w:autoRedefine/>
    <w:qFormat/>
    <w:rsid w:val="00F362D9"/>
    <w:rPr>
      <w:rFonts w:ascii="Comic Sans MS" w:eastAsia="Calibri" w:hAnsi="Comic Sans MS"/>
      <w:bCs/>
      <w:iCs/>
      <w:color w:val="1F497D"/>
      <w:sz w:val="20"/>
    </w:rPr>
  </w:style>
  <w:style w:type="paragraph" w:customStyle="1" w:styleId="Bullet-20">
    <w:name w:val="Bullet-2"/>
    <w:basedOn w:val="NoSpacing1"/>
    <w:qFormat/>
    <w:rsid w:val="00A67473"/>
    <w:pPr>
      <w:numPr>
        <w:ilvl w:val="2"/>
        <w:numId w:val="6"/>
      </w:numPr>
    </w:pPr>
    <w:rPr>
      <w:rFonts w:ascii="Arial" w:eastAsia="Times New Roman" w:hAnsi="Arial"/>
      <w:sz w:val="20"/>
      <w:szCs w:val="20"/>
    </w:rPr>
  </w:style>
  <w:style w:type="paragraph" w:customStyle="1" w:styleId="NoSpacing1">
    <w:name w:val="No Spacing1"/>
    <w:uiPriority w:val="1"/>
    <w:qFormat/>
    <w:rsid w:val="00A67473"/>
    <w:rPr>
      <w:rFonts w:ascii="Calibri" w:eastAsia="Calibri" w:hAnsi="Calibri" w:cs="Arial"/>
      <w:sz w:val="22"/>
      <w:szCs w:val="22"/>
    </w:rPr>
  </w:style>
  <w:style w:type="paragraph" w:customStyle="1" w:styleId="Bullet-10">
    <w:name w:val="Bullet-1"/>
    <w:basedOn w:val="NoSpacing1"/>
    <w:qFormat/>
    <w:rsid w:val="00A67473"/>
    <w:pPr>
      <w:numPr>
        <w:numId w:val="7"/>
      </w:numPr>
      <w:spacing w:before="60" w:after="60"/>
      <w:ind w:left="1080"/>
      <w:outlineLvl w:val="1"/>
    </w:pPr>
    <w:rPr>
      <w:rFonts w:ascii="Arial" w:eastAsia="Times New Roman" w:hAnsi="Arial" w:cs="Times New Roman"/>
      <w:szCs w:val="24"/>
    </w:rPr>
  </w:style>
  <w:style w:type="paragraph" w:customStyle="1" w:styleId="HeadingAtext">
    <w:name w:val="Heading A text"/>
    <w:basedOn w:val="Normal"/>
    <w:qFormat/>
    <w:rsid w:val="00F362D9"/>
    <w:pPr>
      <w:spacing w:before="120" w:after="120"/>
      <w:ind w:left="720"/>
    </w:pPr>
    <w:rPr>
      <w:rFonts w:eastAsia="Calibri"/>
      <w:sz w:val="20"/>
    </w:rPr>
  </w:style>
  <w:style w:type="paragraph" w:customStyle="1" w:styleId="Pa6">
    <w:name w:val="Pa6"/>
    <w:basedOn w:val="Normal"/>
    <w:next w:val="Normal"/>
    <w:uiPriority w:val="99"/>
    <w:rsid w:val="00F362D9"/>
    <w:pPr>
      <w:autoSpaceDE w:val="0"/>
      <w:autoSpaceDN w:val="0"/>
      <w:adjustRightInd w:val="0"/>
      <w:spacing w:line="221" w:lineRule="atLeast"/>
    </w:pPr>
    <w:rPr>
      <w:rFonts w:ascii="Avenir 45" w:eastAsia="Calibri" w:hAnsi="Avenir 45"/>
      <w:sz w:val="20"/>
    </w:rPr>
  </w:style>
  <w:style w:type="paragraph" w:customStyle="1" w:styleId="bullet-1">
    <w:name w:val="bullet-1"/>
    <w:basedOn w:val="Normal"/>
    <w:qFormat/>
    <w:rsid w:val="00F362D9"/>
    <w:pPr>
      <w:numPr>
        <w:numId w:val="8"/>
      </w:numPr>
    </w:pPr>
    <w:rPr>
      <w:rFonts w:eastAsia="Calibri"/>
      <w:sz w:val="20"/>
    </w:rPr>
  </w:style>
  <w:style w:type="paragraph" w:customStyle="1" w:styleId="bullet-2">
    <w:name w:val="bullet-2"/>
    <w:basedOn w:val="Normal"/>
    <w:qFormat/>
    <w:rsid w:val="00F362D9"/>
    <w:pPr>
      <w:numPr>
        <w:ilvl w:val="1"/>
        <w:numId w:val="8"/>
      </w:numPr>
      <w:spacing w:before="120" w:after="120"/>
    </w:pPr>
    <w:rPr>
      <w:rFonts w:eastAsia="Calibri"/>
      <w:sz w:val="20"/>
    </w:rPr>
  </w:style>
  <w:style w:type="character" w:customStyle="1" w:styleId="A7">
    <w:name w:val="A7"/>
    <w:uiPriority w:val="99"/>
    <w:rsid w:val="00A67473"/>
    <w:rPr>
      <w:rFonts w:cs="Minion Pro"/>
      <w:color w:val="000000"/>
      <w:sz w:val="18"/>
      <w:szCs w:val="18"/>
      <w:u w:val="single"/>
    </w:rPr>
  </w:style>
  <w:style w:type="paragraph" w:customStyle="1" w:styleId="Pa11">
    <w:name w:val="Pa11"/>
    <w:basedOn w:val="Default"/>
    <w:next w:val="Default"/>
    <w:uiPriority w:val="99"/>
    <w:rsid w:val="00A67473"/>
    <w:pPr>
      <w:autoSpaceDE w:val="0"/>
      <w:autoSpaceDN w:val="0"/>
      <w:adjustRightInd w:val="0"/>
      <w:spacing w:line="181" w:lineRule="atLeast"/>
    </w:pPr>
    <w:rPr>
      <w:rFonts w:eastAsia="Times New Roman" w:cs="Arial"/>
      <w:color w:val="auto"/>
      <w:szCs w:val="24"/>
    </w:rPr>
  </w:style>
  <w:style w:type="paragraph" w:customStyle="1" w:styleId="ColorfulList-Accent11">
    <w:name w:val="Colorful List - Accent 11"/>
    <w:basedOn w:val="Normal"/>
    <w:uiPriority w:val="34"/>
    <w:qFormat/>
    <w:rsid w:val="00F362D9"/>
    <w:pPr>
      <w:spacing w:after="240"/>
      <w:ind w:left="720" w:hanging="720"/>
    </w:pPr>
    <w:rPr>
      <w:rFonts w:eastAsia="Calibri"/>
      <w:sz w:val="20"/>
    </w:rPr>
  </w:style>
  <w:style w:type="paragraph" w:customStyle="1" w:styleId="Textbold">
    <w:name w:val="Text bold"/>
    <w:basedOn w:val="Normal"/>
    <w:link w:val="TextboldChar"/>
    <w:rsid w:val="00F362D9"/>
    <w:pPr>
      <w:tabs>
        <w:tab w:val="left" w:pos="6720"/>
      </w:tabs>
      <w:spacing w:before="120" w:after="120"/>
    </w:pPr>
    <w:rPr>
      <w:rFonts w:eastAsia="Calibri"/>
      <w:b/>
      <w:sz w:val="20"/>
    </w:rPr>
  </w:style>
  <w:style w:type="character" w:customStyle="1" w:styleId="TextboldChar">
    <w:name w:val="Text bold Char"/>
    <w:link w:val="Textbold"/>
    <w:locked/>
    <w:rsid w:val="00A67473"/>
    <w:rPr>
      <w:rFonts w:eastAsia="Calibri"/>
      <w:b/>
      <w:szCs w:val="24"/>
    </w:rPr>
  </w:style>
  <w:style w:type="paragraph" w:customStyle="1" w:styleId="ColorfulShading-Accent11">
    <w:name w:val="Colorful Shading - Accent 11"/>
    <w:hidden/>
    <w:uiPriority w:val="99"/>
    <w:semiHidden/>
    <w:rsid w:val="00A67473"/>
    <w:rPr>
      <w:rFonts w:ascii="Calibri" w:eastAsia="Calibri" w:hAnsi="Calibri" w:cs="Arial"/>
      <w:sz w:val="22"/>
      <w:szCs w:val="22"/>
    </w:rPr>
  </w:style>
  <w:style w:type="character" w:customStyle="1" w:styleId="A9">
    <w:name w:val="A9"/>
    <w:uiPriority w:val="99"/>
    <w:rsid w:val="00A67473"/>
    <w:rPr>
      <w:rFonts w:cs="ITC Cheltenham Std Book"/>
      <w:color w:val="000000"/>
      <w:sz w:val="10"/>
      <w:szCs w:val="10"/>
    </w:rPr>
  </w:style>
  <w:style w:type="paragraph" w:customStyle="1" w:styleId="Tablebullet1">
    <w:name w:val="Table bullet 1"/>
    <w:basedOn w:val="Normal"/>
    <w:uiPriority w:val="99"/>
    <w:rsid w:val="00F362D9"/>
    <w:pPr>
      <w:framePr w:hSpace="180" w:wrap="around" w:vAnchor="page" w:hAnchor="margin" w:x="-972" w:y="1081"/>
      <w:numPr>
        <w:numId w:val="9"/>
      </w:numPr>
      <w:tabs>
        <w:tab w:val="clear" w:pos="144"/>
        <w:tab w:val="left" w:pos="187"/>
      </w:tabs>
      <w:spacing w:after="120"/>
      <w:ind w:left="187" w:hanging="187"/>
    </w:pPr>
    <w:rPr>
      <w:rFonts w:eastAsia="Calibri"/>
      <w:sz w:val="20"/>
      <w:szCs w:val="16"/>
    </w:rPr>
  </w:style>
  <w:style w:type="paragraph" w:customStyle="1" w:styleId="FootnoteText1">
    <w:name w:val="Footnote Text1"/>
    <w:basedOn w:val="FootnoteText"/>
    <w:uiPriority w:val="99"/>
    <w:qFormat/>
    <w:rsid w:val="00F362D9"/>
    <w:rPr>
      <w:rFonts w:eastAsia="Calibri"/>
    </w:rPr>
  </w:style>
  <w:style w:type="paragraph" w:customStyle="1" w:styleId="BodyText">
    <w:name w:val="BodyText"/>
    <w:basedOn w:val="Normal"/>
    <w:link w:val="BodyTextChar"/>
    <w:rsid w:val="00F362D9"/>
    <w:pPr>
      <w:spacing w:after="120"/>
    </w:pPr>
    <w:rPr>
      <w:rFonts w:eastAsia="Calibri"/>
      <w:sz w:val="20"/>
    </w:rPr>
  </w:style>
  <w:style w:type="character" w:customStyle="1" w:styleId="BodyTextChar">
    <w:name w:val="BodyText Char"/>
    <w:link w:val="BodyText"/>
    <w:rsid w:val="00A67473"/>
    <w:rPr>
      <w:rFonts w:eastAsia="Calibri"/>
      <w:szCs w:val="24"/>
    </w:rPr>
  </w:style>
  <w:style w:type="paragraph" w:customStyle="1" w:styleId="TitlePageReportNumber">
    <w:name w:val="Title Page Report Number"/>
    <w:basedOn w:val="Normal"/>
    <w:rsid w:val="00F362D9"/>
    <w:rPr>
      <w:rFonts w:eastAsia="Times"/>
      <w:b/>
      <w:sz w:val="28"/>
    </w:rPr>
  </w:style>
  <w:style w:type="paragraph" w:customStyle="1" w:styleId="TableTitleContinued1">
    <w:name w:val="TableTitleContinued"/>
    <w:basedOn w:val="TableTitle"/>
    <w:qFormat/>
    <w:rsid w:val="00A67473"/>
  </w:style>
  <w:style w:type="paragraph" w:customStyle="1" w:styleId="bullet1-blank">
    <w:name w:val="bullet1-blank"/>
    <w:basedOn w:val="ColorfulList-Accent11"/>
    <w:qFormat/>
    <w:rsid w:val="00A67473"/>
    <w:pPr>
      <w:spacing w:after="0"/>
      <w:ind w:hanging="360"/>
    </w:pPr>
    <w:rPr>
      <w:rFonts w:ascii="Times New Roman" w:hAnsi="Times New Roman"/>
      <w:sz w:val="24"/>
    </w:rPr>
  </w:style>
  <w:style w:type="paragraph" w:customStyle="1" w:styleId="bullet2-blank">
    <w:name w:val="bullet2-blank"/>
    <w:basedOn w:val="Text0"/>
    <w:qFormat/>
    <w:rsid w:val="00F362D9"/>
    <w:pPr>
      <w:suppressAutoHyphens/>
      <w:autoSpaceDN w:val="0"/>
      <w:spacing w:before="0" w:after="0"/>
      <w:ind w:left="1080" w:hanging="360"/>
      <w:textAlignment w:val="baseline"/>
    </w:pPr>
    <w:rPr>
      <w:rFonts w:eastAsia="Calibri"/>
      <w:sz w:val="20"/>
    </w:rPr>
  </w:style>
  <w:style w:type="paragraph" w:customStyle="1" w:styleId="bullet3-blank">
    <w:name w:val="bullet3-blank"/>
    <w:basedOn w:val="Bullet-3"/>
    <w:qFormat/>
    <w:rsid w:val="00A67473"/>
    <w:pPr>
      <w:numPr>
        <w:numId w:val="0"/>
      </w:numPr>
      <w:ind w:left="1440" w:hanging="360"/>
    </w:pPr>
  </w:style>
  <w:style w:type="character" w:customStyle="1" w:styleId="bodytext0">
    <w:name w:val="bodytext"/>
    <w:basedOn w:val="DefaultParagraphFont"/>
    <w:rsid w:val="00A67473"/>
  </w:style>
  <w:style w:type="paragraph" w:customStyle="1" w:styleId="Heading3underlined">
    <w:name w:val="Heading 3 underlined"/>
    <w:basedOn w:val="Normal"/>
    <w:qFormat/>
    <w:rsid w:val="00F362D9"/>
    <w:pPr>
      <w:keepNext/>
      <w:autoSpaceDE w:val="0"/>
      <w:autoSpaceDN w:val="0"/>
      <w:adjustRightInd w:val="0"/>
      <w:spacing w:before="120"/>
    </w:pPr>
    <w:rPr>
      <w:rFonts w:eastAsia="Calibri"/>
      <w:color w:val="000000"/>
      <w:sz w:val="20"/>
      <w:u w:val="single"/>
    </w:rPr>
  </w:style>
  <w:style w:type="character" w:customStyle="1" w:styleId="pagetitle">
    <w:name w:val="pagetitle"/>
    <w:basedOn w:val="DefaultParagraphFont"/>
    <w:rsid w:val="00A67473"/>
  </w:style>
  <w:style w:type="paragraph" w:customStyle="1" w:styleId="Shadedheader-noshade">
    <w:name w:val="Shaded header - no shade"/>
    <w:basedOn w:val="Normal"/>
    <w:qFormat/>
    <w:rsid w:val="00F362D9"/>
    <w:pPr>
      <w:keepNext/>
      <w:spacing w:before="103"/>
    </w:pPr>
    <w:rPr>
      <w:rFonts w:eastAsia="Calibri"/>
      <w:b/>
      <w:bCs/>
      <w:sz w:val="20"/>
    </w:rPr>
  </w:style>
  <w:style w:type="paragraph" w:customStyle="1" w:styleId="kqstem">
    <w:name w:val="kqstem"/>
    <w:basedOn w:val="Normal"/>
    <w:rsid w:val="00F362D9"/>
    <w:pPr>
      <w:shd w:val="clear" w:color="auto" w:fill="FFFFFF"/>
      <w:spacing w:before="120"/>
      <w:ind w:left="360" w:hanging="360"/>
    </w:pPr>
    <w:rPr>
      <w:rFonts w:eastAsia="Calibri"/>
      <w:sz w:val="20"/>
    </w:rPr>
  </w:style>
  <w:style w:type="paragraph" w:customStyle="1" w:styleId="Textbullet2">
    <w:name w:val="Text bullet 2"/>
    <w:basedOn w:val="Normal"/>
    <w:qFormat/>
    <w:rsid w:val="00F362D9"/>
    <w:pPr>
      <w:numPr>
        <w:numId w:val="11"/>
      </w:numPr>
      <w:ind w:left="1440"/>
    </w:pPr>
    <w:rPr>
      <w:rFonts w:eastAsia="Calibri"/>
      <w:sz w:val="20"/>
    </w:rPr>
  </w:style>
  <w:style w:type="paragraph" w:customStyle="1" w:styleId="StyleTextbullet2LatinBodyCSArial95pt1">
    <w:name w:val="Style Text bullet 2 + (Latin) +Body CS (Arial) 9.5 pt1"/>
    <w:basedOn w:val="Textbullet2"/>
    <w:rsid w:val="00F362D9"/>
    <w:pPr>
      <w:numPr>
        <w:numId w:val="10"/>
      </w:numPr>
      <w:spacing w:before="120" w:after="120" w:line="360" w:lineRule="exact"/>
      <w:ind w:left="965" w:hanging="187"/>
    </w:pPr>
    <w:rPr>
      <w:rFonts w:eastAsia="Times New Roman"/>
      <w:sz w:val="19"/>
    </w:rPr>
  </w:style>
  <w:style w:type="numbering" w:customStyle="1" w:styleId="NoList11">
    <w:name w:val="No List11"/>
    <w:next w:val="NoList"/>
    <w:uiPriority w:val="99"/>
    <w:semiHidden/>
    <w:unhideWhenUsed/>
    <w:rsid w:val="00A67473"/>
  </w:style>
  <w:style w:type="table" w:customStyle="1" w:styleId="AHRQ11">
    <w:name w:val="AHRQ11"/>
    <w:basedOn w:val="TableGrid"/>
    <w:rsid w:val="00A674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bottom"/>
      </w:tcPr>
    </w:tblStylePr>
  </w:style>
  <w:style w:type="character" w:customStyle="1" w:styleId="fthighlight">
    <w:name w:val="ft_highlight"/>
    <w:rsid w:val="00A67473"/>
  </w:style>
  <w:style w:type="paragraph" w:customStyle="1" w:styleId="Tabletextheaderrow">
    <w:name w:val="Table text header row"/>
    <w:basedOn w:val="Normal"/>
    <w:qFormat/>
    <w:rsid w:val="00F362D9"/>
    <w:rPr>
      <w:b/>
      <w:bCs/>
      <w:sz w:val="18"/>
      <w:szCs w:val="18"/>
    </w:rPr>
  </w:style>
  <w:style w:type="paragraph" w:styleId="NoSpacing">
    <w:name w:val="No Spacing"/>
    <w:aliases w:val="EPC heading 2 second level"/>
    <w:uiPriority w:val="1"/>
    <w:qFormat/>
    <w:rsid w:val="00A67473"/>
    <w:rPr>
      <w:rFonts w:ascii="Times" w:hAnsi="Times"/>
      <w:sz w:val="24"/>
    </w:rPr>
  </w:style>
  <w:style w:type="paragraph" w:styleId="BodyText1">
    <w:name w:val="Body Text"/>
    <w:basedOn w:val="Normal"/>
    <w:link w:val="BodyTextChar0"/>
    <w:locked/>
    <w:rsid w:val="00F362D9"/>
    <w:rPr>
      <w:rFonts w:eastAsia="MS Mincho"/>
      <w:snapToGrid w:val="0"/>
    </w:rPr>
  </w:style>
  <w:style w:type="character" w:customStyle="1" w:styleId="BodyTextChar0">
    <w:name w:val="Body Text Char"/>
    <w:basedOn w:val="DefaultParagraphFont"/>
    <w:link w:val="BodyText1"/>
    <w:rsid w:val="00A67473"/>
    <w:rPr>
      <w:rFonts w:eastAsia="MS Mincho"/>
      <w:snapToGrid w:val="0"/>
      <w:sz w:val="24"/>
    </w:rPr>
  </w:style>
  <w:style w:type="character" w:styleId="PageNumber0">
    <w:name w:val="page number"/>
    <w:locked/>
    <w:rsid w:val="00A67473"/>
    <w:rPr>
      <w:rFonts w:ascii="Times New Roman" w:hAnsi="Times New Roman"/>
      <w:b w:val="0"/>
      <w:sz w:val="24"/>
    </w:rPr>
  </w:style>
  <w:style w:type="character" w:customStyle="1" w:styleId="BodyTextFirstIndentChar">
    <w:name w:val="Body Text First Indent Char"/>
    <w:link w:val="BodyTextFirstIndent"/>
    <w:uiPriority w:val="99"/>
    <w:rsid w:val="00A67473"/>
    <w:rPr>
      <w:rFonts w:ascii="Times" w:hAnsi="Times"/>
      <w:sz w:val="24"/>
      <w:szCs w:val="24"/>
    </w:rPr>
  </w:style>
  <w:style w:type="paragraph" w:styleId="BodyTextFirstIndent">
    <w:name w:val="Body Text First Indent"/>
    <w:basedOn w:val="BodyText1"/>
    <w:link w:val="BodyTextFirstIndentChar"/>
    <w:uiPriority w:val="99"/>
    <w:unhideWhenUsed/>
    <w:locked/>
    <w:rsid w:val="00A67473"/>
    <w:pPr>
      <w:ind w:firstLine="210"/>
    </w:pPr>
    <w:rPr>
      <w:rFonts w:eastAsia="Times New Roman"/>
      <w:snapToGrid/>
      <w:szCs w:val="24"/>
    </w:rPr>
  </w:style>
  <w:style w:type="character" w:customStyle="1" w:styleId="BodyTextFirstIndentChar1">
    <w:name w:val="Body Text First Indent Char1"/>
    <w:basedOn w:val="BodyTextChar0"/>
    <w:uiPriority w:val="99"/>
    <w:rsid w:val="00A67473"/>
    <w:rPr>
      <w:rFonts w:eastAsia="MS Mincho"/>
      <w:snapToGrid w:val="0"/>
      <w:sz w:val="24"/>
    </w:rPr>
  </w:style>
  <w:style w:type="paragraph" w:customStyle="1" w:styleId="Bullet-1-blank">
    <w:name w:val="Bullet-1-blank"/>
    <w:basedOn w:val="Bullet-10"/>
    <w:qFormat/>
    <w:rsid w:val="00A67473"/>
    <w:pPr>
      <w:numPr>
        <w:numId w:val="0"/>
      </w:numPr>
      <w:ind w:left="720" w:hanging="360"/>
    </w:pPr>
    <w:rPr>
      <w:rFonts w:ascii="Times New Roman" w:hAnsi="Times New Roman"/>
      <w:sz w:val="24"/>
    </w:rPr>
  </w:style>
  <w:style w:type="character" w:customStyle="1" w:styleId="apple-style-span">
    <w:name w:val="apple-style-span"/>
    <w:rsid w:val="00A67473"/>
  </w:style>
  <w:style w:type="paragraph" w:customStyle="1" w:styleId="Tablebullets">
    <w:name w:val="Table bullets"/>
    <w:basedOn w:val="Tabletext"/>
    <w:qFormat/>
    <w:rsid w:val="00F362D9"/>
    <w:pPr>
      <w:numPr>
        <w:numId w:val="12"/>
      </w:numPr>
      <w:spacing w:before="0" w:after="0"/>
    </w:pPr>
  </w:style>
  <w:style w:type="paragraph" w:customStyle="1" w:styleId="StylePlainTextArial14ptBoldGray-50">
    <w:name w:val="Style Plain Text + Arial 14 pt Bold Gray-50%"/>
    <w:basedOn w:val="Normal"/>
    <w:rsid w:val="00F362D9"/>
    <w:pPr>
      <w:spacing w:after="240"/>
    </w:pPr>
    <w:rPr>
      <w:rFonts w:ascii="Verdana" w:hAnsi="Verdana" w:cs="Courier New"/>
      <w:b/>
      <w:bCs/>
      <w:color w:val="808080"/>
      <w:sz w:val="32"/>
    </w:rPr>
  </w:style>
  <w:style w:type="character" w:styleId="Strong">
    <w:name w:val="Strong"/>
    <w:uiPriority w:val="22"/>
    <w:qFormat/>
    <w:locked/>
    <w:rsid w:val="00A67473"/>
    <w:rPr>
      <w:b/>
      <w:bCs/>
    </w:rPr>
  </w:style>
  <w:style w:type="paragraph" w:customStyle="1" w:styleId="title10">
    <w:name w:val="title1"/>
    <w:basedOn w:val="Normal"/>
    <w:rsid w:val="00F362D9"/>
    <w:rPr>
      <w:sz w:val="29"/>
      <w:szCs w:val="29"/>
    </w:rPr>
  </w:style>
  <w:style w:type="paragraph" w:customStyle="1" w:styleId="desc2">
    <w:name w:val="desc2"/>
    <w:basedOn w:val="Normal"/>
    <w:rsid w:val="00F362D9"/>
    <w:pPr>
      <w:spacing w:before="100" w:beforeAutospacing="1" w:after="100" w:afterAutospacing="1"/>
    </w:pPr>
    <w:rPr>
      <w:sz w:val="28"/>
      <w:szCs w:val="28"/>
    </w:rPr>
  </w:style>
  <w:style w:type="paragraph" w:customStyle="1" w:styleId="details1">
    <w:name w:val="details1"/>
    <w:basedOn w:val="Normal"/>
    <w:rsid w:val="00F362D9"/>
    <w:pPr>
      <w:spacing w:before="100" w:beforeAutospacing="1" w:after="100" w:afterAutospacing="1"/>
    </w:pPr>
  </w:style>
  <w:style w:type="character" w:customStyle="1" w:styleId="highlight">
    <w:name w:val="highlight"/>
    <w:rsid w:val="00A67473"/>
  </w:style>
  <w:style w:type="paragraph" w:customStyle="1" w:styleId="Heading31">
    <w:name w:val="Heading 31"/>
    <w:basedOn w:val="Normal"/>
    <w:next w:val="Normal"/>
    <w:uiPriority w:val="9"/>
    <w:semiHidden/>
    <w:unhideWhenUsed/>
    <w:qFormat/>
    <w:rsid w:val="00F362D9"/>
    <w:pPr>
      <w:keepNext/>
      <w:keepLines/>
      <w:spacing w:before="200"/>
      <w:outlineLvl w:val="2"/>
    </w:pPr>
    <w:rPr>
      <w:rFonts w:ascii="Cambria" w:hAnsi="Cambria"/>
      <w:bCs/>
      <w:color w:val="4F81BD"/>
      <w:sz w:val="36"/>
    </w:rPr>
  </w:style>
  <w:style w:type="numbering" w:customStyle="1" w:styleId="NoList111">
    <w:name w:val="No List111"/>
    <w:next w:val="NoList"/>
    <w:uiPriority w:val="99"/>
    <w:semiHidden/>
    <w:unhideWhenUsed/>
    <w:rsid w:val="00A67473"/>
  </w:style>
  <w:style w:type="character" w:customStyle="1" w:styleId="BodyTextChar1">
    <w:name w:val="Body Text Char1"/>
    <w:uiPriority w:val="99"/>
    <w:semiHidden/>
    <w:rsid w:val="00A67473"/>
    <w:rPr>
      <w:sz w:val="22"/>
      <w:szCs w:val="22"/>
    </w:rPr>
  </w:style>
  <w:style w:type="paragraph" w:customStyle="1" w:styleId="ListParagraph1">
    <w:name w:val="List Paragraph1"/>
    <w:basedOn w:val="Normal"/>
    <w:next w:val="ListParagraph"/>
    <w:uiPriority w:val="34"/>
    <w:qFormat/>
    <w:rsid w:val="00F362D9"/>
    <w:pPr>
      <w:ind w:left="720"/>
      <w:contextualSpacing/>
    </w:pPr>
    <w:rPr>
      <w:rFonts w:eastAsia="Calibri"/>
      <w:b/>
      <w:sz w:val="36"/>
    </w:rPr>
  </w:style>
  <w:style w:type="character" w:customStyle="1" w:styleId="EPCHeading1Char">
    <w:name w:val="EPC Heading 1 Char"/>
    <w:link w:val="EPCHeading1"/>
    <w:locked/>
    <w:rsid w:val="00A67473"/>
    <w:rPr>
      <w:rFonts w:ascii="Arial" w:hAnsi="Arial"/>
      <w:b/>
      <w:i/>
      <w:iCs/>
      <w:caps/>
      <w:sz w:val="26"/>
      <w:szCs w:val="28"/>
    </w:rPr>
  </w:style>
  <w:style w:type="paragraph" w:customStyle="1" w:styleId="EPCHeading1">
    <w:name w:val="EPC Heading 1"/>
    <w:basedOn w:val="Heading1"/>
    <w:link w:val="EPCHeading1Char"/>
    <w:autoRedefine/>
    <w:qFormat/>
    <w:rsid w:val="00F362D9"/>
    <w:pPr>
      <w:keepNext w:val="0"/>
      <w:tabs>
        <w:tab w:val="num" w:pos="1080"/>
      </w:tabs>
      <w:spacing w:after="240"/>
      <w:ind w:left="1080" w:hanging="720"/>
      <w:jc w:val="center"/>
    </w:pPr>
    <w:rPr>
      <w:rFonts w:ascii="Arial" w:hAnsi="Arial"/>
      <w:bCs w:val="0"/>
      <w:i/>
      <w:iCs/>
      <w:caps/>
      <w:kern w:val="0"/>
      <w:sz w:val="26"/>
      <w:szCs w:val="28"/>
    </w:rPr>
  </w:style>
  <w:style w:type="character" w:customStyle="1" w:styleId="EPCHeading2Char">
    <w:name w:val="EPC Heading 2 Char"/>
    <w:link w:val="EPCHeading2"/>
    <w:locked/>
    <w:rsid w:val="00A67473"/>
    <w:rPr>
      <w:rFonts w:ascii="Arial" w:hAnsi="Arial"/>
      <w:b/>
      <w:bCs/>
      <w:i/>
      <w:iCs/>
      <w:sz w:val="28"/>
      <w:szCs w:val="28"/>
    </w:rPr>
  </w:style>
  <w:style w:type="paragraph" w:customStyle="1" w:styleId="EPCHeading2">
    <w:name w:val="EPC Heading 2"/>
    <w:basedOn w:val="NoSpacing"/>
    <w:link w:val="EPCHeading2Char"/>
    <w:autoRedefine/>
    <w:qFormat/>
    <w:rsid w:val="00A67473"/>
    <w:pPr>
      <w:spacing w:before="240" w:after="240"/>
    </w:pPr>
    <w:rPr>
      <w:rFonts w:ascii="Arial" w:hAnsi="Arial"/>
      <w:b/>
      <w:bCs/>
      <w:i/>
      <w:iCs/>
      <w:sz w:val="28"/>
      <w:szCs w:val="28"/>
    </w:rPr>
  </w:style>
  <w:style w:type="paragraph" w:customStyle="1" w:styleId="Level1">
    <w:name w:val="Level 1"/>
    <w:basedOn w:val="Normal"/>
    <w:qFormat/>
    <w:rsid w:val="00F362D9"/>
    <w:pPr>
      <w:tabs>
        <w:tab w:val="right" w:leader="dot" w:pos="9360"/>
      </w:tabs>
      <w:autoSpaceDE w:val="0"/>
      <w:autoSpaceDN w:val="0"/>
      <w:adjustRightInd w:val="0"/>
      <w:ind w:left="90" w:hanging="90"/>
    </w:pPr>
    <w:rPr>
      <w:rFonts w:ascii="Times-Roman" w:eastAsia="Calibri" w:hAnsi="Times-Roman" w:cs="Times-Roman"/>
    </w:rPr>
  </w:style>
  <w:style w:type="character" w:customStyle="1" w:styleId="sourceChar">
    <w:name w:val="source Char"/>
    <w:link w:val="source"/>
    <w:locked/>
    <w:rsid w:val="00A67473"/>
    <w:rPr>
      <w:rFonts w:ascii="Times" w:eastAsia="Times" w:hAnsi="Times" w:cs="Times"/>
      <w:sz w:val="18"/>
      <w:szCs w:val="21"/>
    </w:rPr>
  </w:style>
  <w:style w:type="paragraph" w:customStyle="1" w:styleId="source">
    <w:name w:val="source"/>
    <w:link w:val="sourceChar"/>
    <w:qFormat/>
    <w:rsid w:val="00A67473"/>
    <w:pPr>
      <w:spacing w:before="120" w:after="120"/>
    </w:pPr>
    <w:rPr>
      <w:rFonts w:ascii="Times" w:eastAsia="Times" w:hAnsi="Times" w:cs="Times"/>
      <w:sz w:val="18"/>
      <w:szCs w:val="21"/>
    </w:rPr>
  </w:style>
  <w:style w:type="character" w:customStyle="1" w:styleId="TableTitleChar">
    <w:name w:val="Table Title Char"/>
    <w:link w:val="TableTitle2"/>
    <w:locked/>
    <w:rsid w:val="00A67473"/>
    <w:rPr>
      <w:rFonts w:ascii="Arial" w:eastAsia="Times" w:hAnsi="Arial"/>
      <w:b/>
    </w:rPr>
  </w:style>
  <w:style w:type="paragraph" w:customStyle="1" w:styleId="TableTitle2">
    <w:name w:val="Table Title"/>
    <w:basedOn w:val="Normal"/>
    <w:link w:val="TableTitleChar"/>
    <w:rsid w:val="00F362D9"/>
    <w:pPr>
      <w:keepNext/>
      <w:snapToGrid w:val="0"/>
      <w:spacing w:before="120"/>
      <w:ind w:left="1440" w:hanging="1440"/>
    </w:pPr>
    <w:rPr>
      <w:rFonts w:eastAsia="Times"/>
      <w:b/>
      <w:sz w:val="20"/>
    </w:rPr>
  </w:style>
  <w:style w:type="paragraph" w:customStyle="1" w:styleId="Heading40">
    <w:name w:val="Heading  4"/>
    <w:basedOn w:val="Heading3"/>
    <w:next w:val="Normal"/>
    <w:rsid w:val="00A67473"/>
    <w:pPr>
      <w:spacing w:before="200" w:after="0"/>
    </w:pPr>
    <w:rPr>
      <w:rFonts w:ascii="Cambria" w:eastAsia="Times New Roman" w:hAnsi="Cambria"/>
      <w:b w:val="0"/>
      <w:bCs/>
      <w:color w:val="4F81BD"/>
      <w:sz w:val="36"/>
      <w:szCs w:val="24"/>
    </w:rPr>
  </w:style>
  <w:style w:type="paragraph" w:customStyle="1" w:styleId="instructionsbullets">
    <w:name w:val="instructions bullets"/>
    <w:basedOn w:val="Normal"/>
    <w:rsid w:val="00F362D9"/>
    <w:pPr>
      <w:shd w:val="clear" w:color="auto" w:fill="FFFFFF"/>
      <w:tabs>
        <w:tab w:val="num" w:pos="720"/>
      </w:tabs>
      <w:spacing w:before="120" w:after="120"/>
      <w:ind w:left="770" w:hanging="360"/>
      <w:contextualSpacing/>
    </w:pPr>
    <w:rPr>
      <w:sz w:val="20"/>
    </w:rPr>
  </w:style>
  <w:style w:type="paragraph" w:customStyle="1" w:styleId="ChapterHead">
    <w:name w:val="ChapterHead"/>
    <w:basedOn w:val="Normal"/>
    <w:qFormat/>
    <w:rsid w:val="00F362D9"/>
    <w:pPr>
      <w:spacing w:after="240"/>
      <w:jc w:val="center"/>
    </w:pPr>
    <w:rPr>
      <w:rFonts w:eastAsia="Calibri"/>
      <w:b/>
      <w:sz w:val="36"/>
      <w:szCs w:val="36"/>
    </w:rPr>
  </w:style>
  <w:style w:type="paragraph" w:customStyle="1" w:styleId="TableandFigureHeading">
    <w:name w:val="Table and Figure Heading"/>
    <w:basedOn w:val="Normal"/>
    <w:autoRedefine/>
    <w:rsid w:val="00F362D9"/>
    <w:pPr>
      <w:tabs>
        <w:tab w:val="left" w:leader="dot" w:pos="8820"/>
      </w:tabs>
      <w:spacing w:after="60"/>
    </w:pPr>
    <w:rPr>
      <w:b/>
      <w:bCs/>
      <w:iCs/>
      <w:sz w:val="18"/>
      <w:szCs w:val="18"/>
    </w:rPr>
  </w:style>
  <w:style w:type="paragraph" w:customStyle="1" w:styleId="TableofContents2">
    <w:name w:val="Table of Contents 2"/>
    <w:basedOn w:val="Normal"/>
    <w:rsid w:val="00F362D9"/>
    <w:pPr>
      <w:tabs>
        <w:tab w:val="left" w:pos="990"/>
        <w:tab w:val="left" w:leader="dot" w:pos="8856"/>
      </w:tabs>
      <w:ind w:left="990" w:right="-360" w:hanging="540"/>
    </w:pPr>
    <w:rPr>
      <w:bCs/>
      <w:iCs/>
      <w:sz w:val="20"/>
    </w:rPr>
  </w:style>
  <w:style w:type="character" w:customStyle="1" w:styleId="R-IndentChar">
    <w:name w:val="R-Indent Char"/>
    <w:link w:val="R-Indent"/>
    <w:locked/>
    <w:rsid w:val="00A67473"/>
  </w:style>
  <w:style w:type="paragraph" w:customStyle="1" w:styleId="R-Indent">
    <w:name w:val="R-Indent"/>
    <w:basedOn w:val="Normal"/>
    <w:link w:val="R-IndentChar"/>
    <w:rsid w:val="00F362D9"/>
    <w:pPr>
      <w:spacing w:after="360"/>
      <w:ind w:left="450" w:hanging="450"/>
    </w:pPr>
    <w:rPr>
      <w:sz w:val="20"/>
    </w:rPr>
  </w:style>
  <w:style w:type="paragraph" w:customStyle="1" w:styleId="NOTE">
    <w:name w:val="NOTE:"/>
    <w:basedOn w:val="Style1"/>
    <w:qFormat/>
    <w:rsid w:val="00A67473"/>
    <w:pPr>
      <w:spacing w:before="120" w:after="120"/>
    </w:pPr>
    <w:rPr>
      <w:rFonts w:ascii="Arial" w:hAnsi="Arial"/>
      <w:bCs w:val="0"/>
      <w:iCs w:val="0"/>
      <w:color w:val="auto"/>
      <w:sz w:val="18"/>
      <w:szCs w:val="18"/>
    </w:rPr>
  </w:style>
  <w:style w:type="paragraph" w:customStyle="1" w:styleId="TableTextHeading">
    <w:name w:val="TableTextHeading"/>
    <w:basedOn w:val="TableText2"/>
    <w:qFormat/>
    <w:rsid w:val="00A67473"/>
    <w:pPr>
      <w:autoSpaceDE w:val="0"/>
      <w:autoSpaceDN w:val="0"/>
      <w:adjustRightInd w:val="0"/>
      <w:spacing w:before="60"/>
    </w:pPr>
    <w:rPr>
      <w:b/>
    </w:rPr>
  </w:style>
  <w:style w:type="paragraph" w:customStyle="1" w:styleId="Level2">
    <w:name w:val="Level 2"/>
    <w:basedOn w:val="Normal"/>
    <w:qFormat/>
    <w:rsid w:val="00F362D9"/>
    <w:pPr>
      <w:tabs>
        <w:tab w:val="right" w:leader="dot" w:pos="9360"/>
      </w:tabs>
      <w:autoSpaceDE w:val="0"/>
      <w:autoSpaceDN w:val="0"/>
      <w:adjustRightInd w:val="0"/>
      <w:ind w:left="360"/>
    </w:pPr>
    <w:rPr>
      <w:rFonts w:ascii="Times-Roman" w:eastAsia="Calibri" w:hAnsi="Times-Roman" w:cs="Times-Roman"/>
    </w:rPr>
  </w:style>
  <w:style w:type="paragraph" w:customStyle="1" w:styleId="bullets-blank">
    <w:name w:val="bullets-blank"/>
    <w:basedOn w:val="Normal"/>
    <w:uiPriority w:val="99"/>
    <w:rsid w:val="00F362D9"/>
    <w:pPr>
      <w:tabs>
        <w:tab w:val="num" w:pos="-1224"/>
      </w:tabs>
      <w:spacing w:before="60" w:after="60"/>
      <w:ind w:left="648" w:hanging="288"/>
    </w:pPr>
    <w:rPr>
      <w:szCs w:val="18"/>
    </w:rPr>
  </w:style>
  <w:style w:type="character" w:customStyle="1" w:styleId="SourceChar0">
    <w:name w:val="Source Char"/>
    <w:link w:val="Source0"/>
    <w:locked/>
    <w:rsid w:val="00A67473"/>
    <w:rPr>
      <w:sz w:val="16"/>
      <w:szCs w:val="16"/>
    </w:rPr>
  </w:style>
  <w:style w:type="paragraph" w:customStyle="1" w:styleId="Source0">
    <w:name w:val="Source"/>
    <w:link w:val="SourceChar0"/>
    <w:qFormat/>
    <w:rsid w:val="00A67473"/>
    <w:pPr>
      <w:spacing w:before="120" w:after="240"/>
    </w:pPr>
    <w:rPr>
      <w:sz w:val="16"/>
      <w:szCs w:val="16"/>
    </w:rPr>
  </w:style>
  <w:style w:type="character" w:customStyle="1" w:styleId="TableTitlecontinuedChar">
    <w:name w:val="Table Title (continued) Char"/>
    <w:link w:val="TableTitlecontinued2"/>
    <w:locked/>
    <w:rsid w:val="00A67473"/>
    <w:rPr>
      <w:rFonts w:ascii="Arial Bold" w:eastAsia="Arial" w:hAnsi="Arial Bold"/>
      <w:b/>
      <w:snapToGrid w:val="0"/>
      <w:szCs w:val="18"/>
    </w:rPr>
  </w:style>
  <w:style w:type="paragraph" w:customStyle="1" w:styleId="TableTitlecontinued2">
    <w:name w:val="Table Title (continued)"/>
    <w:basedOn w:val="Normal"/>
    <w:link w:val="TableTitlecontinuedChar"/>
    <w:rsid w:val="00F362D9"/>
    <w:pPr>
      <w:ind w:left="1440" w:hanging="1440"/>
    </w:pPr>
    <w:rPr>
      <w:rFonts w:ascii="Arial Bold" w:eastAsia="Arial" w:hAnsi="Arial Bold"/>
      <w:b/>
      <w:snapToGrid w:val="0"/>
      <w:sz w:val="20"/>
      <w:szCs w:val="18"/>
    </w:rPr>
  </w:style>
  <w:style w:type="character" w:customStyle="1" w:styleId="TableText-paraspaceChar">
    <w:name w:val="Table Text - para space Char"/>
    <w:link w:val="TableText-paraspace"/>
    <w:locked/>
    <w:rsid w:val="00A67473"/>
    <w:rPr>
      <w:rFonts w:ascii="Arial" w:eastAsia="Times" w:hAnsi="Arial"/>
      <w:sz w:val="18"/>
    </w:rPr>
  </w:style>
  <w:style w:type="paragraph" w:customStyle="1" w:styleId="TableText-paraspace">
    <w:name w:val="Table Text - para space"/>
    <w:basedOn w:val="Normal"/>
    <w:link w:val="TableText-paraspaceChar"/>
    <w:rsid w:val="00F362D9"/>
    <w:pPr>
      <w:spacing w:before="120"/>
    </w:pPr>
    <w:rPr>
      <w:rFonts w:eastAsia="Times"/>
      <w:sz w:val="18"/>
    </w:rPr>
  </w:style>
  <w:style w:type="paragraph" w:customStyle="1" w:styleId="FigureTitle0">
    <w:name w:val="Figure Title"/>
    <w:rsid w:val="00A67473"/>
    <w:pPr>
      <w:keepNext/>
      <w:spacing w:before="120" w:after="120"/>
    </w:pPr>
    <w:rPr>
      <w:rFonts w:ascii="Arial Bold" w:hAnsi="Arial Bold"/>
      <w:b/>
      <w:sz w:val="18"/>
      <w:szCs w:val="18"/>
    </w:rPr>
  </w:style>
  <w:style w:type="character" w:styleId="BookTitle">
    <w:name w:val="Book Title"/>
    <w:uiPriority w:val="33"/>
    <w:qFormat/>
    <w:rsid w:val="00A67473"/>
    <w:rPr>
      <w:b/>
      <w:bCs/>
      <w:smallCaps/>
      <w:spacing w:val="5"/>
    </w:rPr>
  </w:style>
  <w:style w:type="character" w:customStyle="1" w:styleId="f">
    <w:name w:val="f"/>
    <w:rsid w:val="00A67473"/>
  </w:style>
  <w:style w:type="table" w:customStyle="1" w:styleId="TableGrid2">
    <w:name w:val="Table Grid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6747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nhideWhenUsed/>
    <w:qFormat/>
    <w:rsid w:val="00F362D9"/>
    <w:rPr>
      <w:b/>
      <w:bCs/>
      <w:color w:val="4F81BD"/>
      <w:sz w:val="18"/>
      <w:szCs w:val="18"/>
    </w:rPr>
  </w:style>
  <w:style w:type="paragraph" w:customStyle="1" w:styleId="ExhibitTitle">
    <w:name w:val="Exhibit Title"/>
    <w:qFormat/>
    <w:rsid w:val="00A67473"/>
    <w:pPr>
      <w:spacing w:before="120" w:after="120"/>
    </w:pPr>
    <w:rPr>
      <w:rFonts w:ascii="Arial" w:hAnsi="Arial" w:cs="Arial"/>
      <w:b/>
      <w:sz w:val="22"/>
      <w:szCs w:val="22"/>
    </w:rPr>
  </w:style>
  <w:style w:type="paragraph" w:customStyle="1" w:styleId="BodyBullet">
    <w:name w:val="Body Bullet"/>
    <w:basedOn w:val="Normal"/>
    <w:rsid w:val="00F362D9"/>
    <w:pPr>
      <w:numPr>
        <w:numId w:val="13"/>
      </w:numPr>
    </w:pPr>
  </w:style>
  <w:style w:type="paragraph" w:customStyle="1" w:styleId="biblio">
    <w:name w:val="biblio"/>
    <w:basedOn w:val="Normal"/>
    <w:rsid w:val="00F362D9"/>
    <w:pPr>
      <w:keepLines/>
      <w:spacing w:after="120"/>
      <w:ind w:left="720" w:hanging="720"/>
    </w:pPr>
    <w:rPr>
      <w:sz w:val="20"/>
    </w:rPr>
  </w:style>
  <w:style w:type="paragraph" w:styleId="BodyText3">
    <w:name w:val="Body Text 3"/>
    <w:basedOn w:val="Normal"/>
    <w:link w:val="BodyText3Char"/>
    <w:locked/>
    <w:rsid w:val="00F362D9"/>
    <w:rPr>
      <w:rFonts w:ascii="Verdana" w:hAnsi="Verdana"/>
      <w:sz w:val="28"/>
    </w:rPr>
  </w:style>
  <w:style w:type="character" w:customStyle="1" w:styleId="BodyText3Char">
    <w:name w:val="Body Text 3 Char"/>
    <w:basedOn w:val="DefaultParagraphFont"/>
    <w:link w:val="BodyText3"/>
    <w:rsid w:val="00A67473"/>
    <w:rPr>
      <w:rFonts w:ascii="Verdana" w:hAnsi="Verdana"/>
      <w:sz w:val="28"/>
      <w:szCs w:val="24"/>
    </w:rPr>
  </w:style>
  <w:style w:type="paragraph" w:styleId="BodyTextIndent3">
    <w:name w:val="Body Text Indent 3"/>
    <w:basedOn w:val="Normal"/>
    <w:link w:val="BodyTextIndent3Char"/>
    <w:locked/>
    <w:rsid w:val="00F362D9"/>
    <w:pPr>
      <w:spacing w:after="120"/>
      <w:ind w:left="360"/>
    </w:pPr>
    <w:rPr>
      <w:sz w:val="16"/>
      <w:szCs w:val="16"/>
    </w:rPr>
  </w:style>
  <w:style w:type="character" w:customStyle="1" w:styleId="BodyTextIndent3Char">
    <w:name w:val="Body Text Indent 3 Char"/>
    <w:basedOn w:val="DefaultParagraphFont"/>
    <w:link w:val="BodyTextIndent3"/>
    <w:rsid w:val="00A67473"/>
    <w:rPr>
      <w:sz w:val="16"/>
      <w:szCs w:val="16"/>
    </w:rPr>
  </w:style>
  <w:style w:type="character" w:customStyle="1" w:styleId="ac1">
    <w:name w:val="ac1"/>
    <w:rsid w:val="00A67473"/>
  </w:style>
  <w:style w:type="character" w:customStyle="1" w:styleId="st1">
    <w:name w:val="st1"/>
    <w:rsid w:val="00A67473"/>
  </w:style>
  <w:style w:type="character" w:customStyle="1" w:styleId="Heading3Char1">
    <w:name w:val="Heading 3 Char1"/>
    <w:uiPriority w:val="9"/>
    <w:semiHidden/>
    <w:rsid w:val="00A67473"/>
    <w:rPr>
      <w:rFonts w:ascii="Cambria" w:eastAsia="Times New Roman" w:hAnsi="Cambria" w:cs="Times New Roman"/>
      <w:b/>
      <w:bCs/>
      <w:color w:val="4F81BD"/>
    </w:rPr>
  </w:style>
  <w:style w:type="paragraph" w:styleId="TableofFigures">
    <w:name w:val="table of figures"/>
    <w:basedOn w:val="Normal"/>
    <w:next w:val="Normal"/>
    <w:uiPriority w:val="99"/>
    <w:locked/>
    <w:rsid w:val="00F362D9"/>
    <w:pPr>
      <w:tabs>
        <w:tab w:val="right" w:leader="dot" w:pos="9360"/>
      </w:tabs>
      <w:spacing w:before="80" w:after="80"/>
      <w:ind w:left="720" w:right="720" w:hanging="720"/>
    </w:pPr>
    <w:rPr>
      <w:rFonts w:ascii="Verdana" w:hAnsi="Verdana"/>
      <w:noProof/>
      <w:sz w:val="20"/>
    </w:rPr>
  </w:style>
  <w:style w:type="paragraph" w:customStyle="1" w:styleId="TableTitlecontinued3">
    <w:name w:val="TableTitle (continued)"/>
    <w:basedOn w:val="TableTitle"/>
    <w:qFormat/>
    <w:rsid w:val="00A67473"/>
  </w:style>
  <w:style w:type="paragraph" w:styleId="PlainText">
    <w:name w:val="Plain Text"/>
    <w:basedOn w:val="Normal"/>
    <w:link w:val="PlainTextChar"/>
    <w:uiPriority w:val="99"/>
    <w:unhideWhenUsed/>
    <w:locked/>
    <w:rsid w:val="00F362D9"/>
    <w:rPr>
      <w:rFonts w:ascii="Calibri" w:eastAsia="Calibri" w:hAnsi="Calibri"/>
      <w:sz w:val="20"/>
    </w:rPr>
  </w:style>
  <w:style w:type="character" w:customStyle="1" w:styleId="PlainTextChar">
    <w:name w:val="Plain Text Char"/>
    <w:basedOn w:val="DefaultParagraphFont"/>
    <w:link w:val="PlainText"/>
    <w:uiPriority w:val="99"/>
    <w:rsid w:val="00A67473"/>
    <w:rPr>
      <w:rFonts w:ascii="Calibri" w:eastAsia="Calibri" w:hAnsi="Calibri"/>
      <w:szCs w:val="22"/>
    </w:rPr>
  </w:style>
  <w:style w:type="numbering" w:customStyle="1" w:styleId="NoList1111">
    <w:name w:val="No List1111"/>
    <w:next w:val="NoList"/>
    <w:uiPriority w:val="99"/>
    <w:semiHidden/>
    <w:unhideWhenUsed/>
    <w:rsid w:val="00A67473"/>
  </w:style>
  <w:style w:type="numbering" w:customStyle="1" w:styleId="NoList11111">
    <w:name w:val="No List11111"/>
    <w:next w:val="NoList"/>
    <w:uiPriority w:val="99"/>
    <w:semiHidden/>
    <w:unhideWhenUsed/>
    <w:rsid w:val="00A67473"/>
  </w:style>
  <w:style w:type="table" w:customStyle="1" w:styleId="AHRQ111">
    <w:name w:val="AHRQ111"/>
    <w:basedOn w:val="TableGrid"/>
    <w:rsid w:val="00A67473"/>
    <w:tblPr/>
  </w:style>
  <w:style w:type="character" w:customStyle="1" w:styleId="Heading3Char2">
    <w:name w:val="Heading 3 Char2"/>
    <w:uiPriority w:val="9"/>
    <w:semiHidden/>
    <w:rsid w:val="00A67473"/>
    <w:rPr>
      <w:rFonts w:ascii="Cambria" w:eastAsia="Times New Roman" w:hAnsi="Cambria" w:cs="Times New Roman"/>
      <w:b/>
      <w:bCs/>
      <w:color w:val="4F81BD"/>
    </w:rPr>
  </w:style>
  <w:style w:type="paragraph" w:styleId="TOC3">
    <w:name w:val="toc 3"/>
    <w:basedOn w:val="Normal"/>
    <w:next w:val="Normal"/>
    <w:autoRedefine/>
    <w:uiPriority w:val="39"/>
    <w:locked/>
    <w:rsid w:val="00275D6B"/>
    <w:pPr>
      <w:tabs>
        <w:tab w:val="right" w:leader="dot" w:pos="9360"/>
      </w:tabs>
      <w:ind w:left="1080" w:right="432" w:hanging="360"/>
    </w:pPr>
    <w:rPr>
      <w:rFonts w:ascii="Times New Roman" w:hAnsi="Times New Roman"/>
      <w:noProof/>
    </w:rPr>
  </w:style>
  <w:style w:type="paragraph" w:customStyle="1" w:styleId="Covers">
    <w:name w:val="Covers"/>
    <w:basedOn w:val="Normal"/>
    <w:uiPriority w:val="99"/>
    <w:semiHidden/>
    <w:rsid w:val="00F362D9"/>
    <w:pPr>
      <w:jc w:val="right"/>
    </w:pPr>
    <w:rPr>
      <w:b/>
      <w:sz w:val="36"/>
    </w:rPr>
  </w:style>
  <w:style w:type="character" w:styleId="HTMLCite">
    <w:name w:val="HTML Cite"/>
    <w:uiPriority w:val="99"/>
    <w:semiHidden/>
    <w:unhideWhenUsed/>
    <w:locked/>
    <w:rsid w:val="00A67473"/>
    <w:rPr>
      <w:i/>
      <w:iCs/>
    </w:rPr>
  </w:style>
  <w:style w:type="paragraph" w:customStyle="1" w:styleId="reference0">
    <w:name w:val="reference"/>
    <w:basedOn w:val="Bullet-20"/>
    <w:qFormat/>
    <w:rsid w:val="00A67473"/>
    <w:pPr>
      <w:numPr>
        <w:ilvl w:val="0"/>
        <w:numId w:val="0"/>
      </w:numPr>
      <w:ind w:left="720" w:hanging="720"/>
      <w:outlineLvl w:val="1"/>
    </w:pPr>
    <w:rPr>
      <w:rFonts w:ascii="Times New Roman" w:hAnsi="Times New Roman" w:cs="Times New Roman"/>
      <w:szCs w:val="24"/>
    </w:rPr>
  </w:style>
  <w:style w:type="paragraph" w:customStyle="1" w:styleId="AutoCorrect">
    <w:name w:val="AutoCorrect"/>
    <w:rsid w:val="00A67473"/>
    <w:pPr>
      <w:spacing w:after="200" w:line="276" w:lineRule="auto"/>
    </w:pPr>
    <w:rPr>
      <w:rFonts w:ascii="Calibri" w:hAnsi="Calibri" w:cs="Arial"/>
      <w:sz w:val="22"/>
      <w:szCs w:val="22"/>
    </w:rPr>
  </w:style>
  <w:style w:type="character" w:customStyle="1" w:styleId="ft">
    <w:name w:val="ft"/>
    <w:rsid w:val="00A67473"/>
  </w:style>
  <w:style w:type="paragraph" w:customStyle="1" w:styleId="TableTextIndent">
    <w:name w:val="TableTextIndent"/>
    <w:basedOn w:val="TableLeftText"/>
    <w:qFormat/>
    <w:rsid w:val="00A67473"/>
    <w:pPr>
      <w:ind w:left="187"/>
    </w:pPr>
    <w:rPr>
      <w:rFonts w:eastAsia="Times New Roman"/>
    </w:rPr>
  </w:style>
  <w:style w:type="character" w:customStyle="1" w:styleId="st">
    <w:name w:val="st"/>
    <w:rsid w:val="00A67473"/>
  </w:style>
  <w:style w:type="paragraph" w:customStyle="1" w:styleId="TableTitleContinued4">
    <w:name w:val="TableTitle Continued"/>
    <w:basedOn w:val="TableTitle"/>
    <w:qFormat/>
    <w:rsid w:val="00A67473"/>
  </w:style>
  <w:style w:type="table" w:customStyle="1" w:styleId="LightShading1">
    <w:name w:val="Light Shading1"/>
    <w:aliases w:val="Manuscript"/>
    <w:basedOn w:val="TableNormal"/>
    <w:uiPriority w:val="60"/>
    <w:rsid w:val="00A67473"/>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locked/>
    <w:rsid w:val="00A67473"/>
  </w:style>
  <w:style w:type="paragraph" w:customStyle="1" w:styleId="Bullet-2-blank">
    <w:name w:val="Bullet-2-blank"/>
    <w:basedOn w:val="Bullet2"/>
    <w:qFormat/>
    <w:rsid w:val="00A67473"/>
    <w:pPr>
      <w:numPr>
        <w:ilvl w:val="0"/>
        <w:numId w:val="0"/>
      </w:numPr>
      <w:ind w:left="1080" w:hanging="360"/>
    </w:pPr>
  </w:style>
  <w:style w:type="numbering" w:customStyle="1" w:styleId="NoList111111">
    <w:name w:val="No List111111"/>
    <w:next w:val="NoList"/>
    <w:uiPriority w:val="99"/>
    <w:semiHidden/>
    <w:unhideWhenUsed/>
    <w:rsid w:val="00A67473"/>
  </w:style>
  <w:style w:type="paragraph" w:customStyle="1" w:styleId="a0">
    <w:name w:val="+"/>
    <w:basedOn w:val="Normal"/>
    <w:qFormat/>
    <w:rsid w:val="00F362D9"/>
    <w:pPr>
      <w:numPr>
        <w:numId w:val="15"/>
      </w:numPr>
    </w:pPr>
    <w:rPr>
      <w:sz w:val="18"/>
      <w:szCs w:val="18"/>
    </w:rPr>
  </w:style>
  <w:style w:type="paragraph" w:customStyle="1" w:styleId="a">
    <w:name w:val="="/>
    <w:basedOn w:val="a0"/>
    <w:qFormat/>
    <w:rsid w:val="00A67473"/>
    <w:pPr>
      <w:numPr>
        <w:numId w:val="16"/>
      </w:numPr>
      <w:ind w:left="342" w:hanging="342"/>
    </w:pPr>
    <w:rPr>
      <w:color w:val="000000"/>
    </w:rPr>
  </w:style>
  <w:style w:type="paragraph" w:customStyle="1" w:styleId="-">
    <w:name w:val="-"/>
    <w:basedOn w:val="Normal"/>
    <w:qFormat/>
    <w:rsid w:val="00F362D9"/>
    <w:pPr>
      <w:numPr>
        <w:numId w:val="17"/>
      </w:numPr>
      <w:ind w:left="342" w:hanging="270"/>
    </w:pPr>
    <w:rPr>
      <w:sz w:val="18"/>
      <w:szCs w:val="18"/>
    </w:rPr>
  </w:style>
  <w:style w:type="paragraph" w:customStyle="1" w:styleId="TableBullet3">
    <w:name w:val="TableBullet="/>
    <w:basedOn w:val="a"/>
    <w:qFormat/>
    <w:rsid w:val="00A67473"/>
    <w:pPr>
      <w:numPr>
        <w:numId w:val="0"/>
      </w:numPr>
      <w:ind w:left="342" w:hanging="342"/>
    </w:pPr>
  </w:style>
  <w:style w:type="paragraph" w:customStyle="1" w:styleId="TableBullet">
    <w:name w:val="TableBullet+"/>
    <w:basedOn w:val="a0"/>
    <w:qFormat/>
    <w:rsid w:val="00A67473"/>
    <w:pPr>
      <w:numPr>
        <w:numId w:val="14"/>
      </w:numPr>
    </w:pPr>
  </w:style>
  <w:style w:type="table" w:customStyle="1" w:styleId="LightGrid-Accent11">
    <w:name w:val="Light Grid - Accent 11"/>
    <w:basedOn w:val="TableNormal"/>
    <w:uiPriority w:val="62"/>
    <w:rsid w:val="00A67473"/>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2">
    <w:name w:val="Title2"/>
    <w:basedOn w:val="Normal"/>
    <w:qFormat/>
    <w:rsid w:val="00F362D9"/>
    <w:pPr>
      <w:spacing w:before="100" w:beforeAutospacing="1" w:after="100" w:afterAutospacing="1"/>
    </w:pPr>
  </w:style>
  <w:style w:type="paragraph" w:customStyle="1" w:styleId="AbstractText">
    <w:name w:val="AbstractText"/>
    <w:basedOn w:val="NormalWeb"/>
    <w:qFormat/>
    <w:rsid w:val="00F362D9"/>
  </w:style>
  <w:style w:type="paragraph" w:styleId="TOC5">
    <w:name w:val="toc 5"/>
    <w:basedOn w:val="Normal"/>
    <w:next w:val="Normal"/>
    <w:autoRedefine/>
    <w:uiPriority w:val="39"/>
    <w:unhideWhenUsed/>
    <w:locked/>
    <w:rsid w:val="00F362D9"/>
    <w:pPr>
      <w:tabs>
        <w:tab w:val="right" w:leader="dot" w:pos="9350"/>
      </w:tabs>
      <w:ind w:right="450"/>
    </w:pPr>
    <w:rPr>
      <w:noProof/>
    </w:rPr>
  </w:style>
  <w:style w:type="paragraph" w:styleId="TOC4">
    <w:name w:val="toc 4"/>
    <w:basedOn w:val="Normal"/>
    <w:next w:val="Normal"/>
    <w:autoRedefine/>
    <w:uiPriority w:val="39"/>
    <w:unhideWhenUsed/>
    <w:locked/>
    <w:rsid w:val="00F362D9"/>
    <w:pPr>
      <w:spacing w:after="100"/>
      <w:ind w:left="660"/>
    </w:pPr>
    <w:rPr>
      <w:rFonts w:ascii="Calibri" w:hAnsi="Calibri"/>
      <w:sz w:val="20"/>
    </w:rPr>
  </w:style>
  <w:style w:type="paragraph" w:styleId="TOC6">
    <w:name w:val="toc 6"/>
    <w:basedOn w:val="Normal"/>
    <w:next w:val="Normal"/>
    <w:autoRedefine/>
    <w:uiPriority w:val="39"/>
    <w:unhideWhenUsed/>
    <w:locked/>
    <w:rsid w:val="00F362D9"/>
    <w:pPr>
      <w:spacing w:after="100"/>
      <w:ind w:left="1100"/>
    </w:pPr>
    <w:rPr>
      <w:rFonts w:ascii="Calibri" w:hAnsi="Calibri"/>
      <w:sz w:val="20"/>
    </w:rPr>
  </w:style>
  <w:style w:type="paragraph" w:styleId="TOC7">
    <w:name w:val="toc 7"/>
    <w:basedOn w:val="Normal"/>
    <w:next w:val="Normal"/>
    <w:autoRedefine/>
    <w:uiPriority w:val="39"/>
    <w:unhideWhenUsed/>
    <w:locked/>
    <w:rsid w:val="00F362D9"/>
    <w:pPr>
      <w:spacing w:after="100"/>
      <w:ind w:left="1320"/>
    </w:pPr>
    <w:rPr>
      <w:rFonts w:ascii="Calibri" w:hAnsi="Calibri"/>
      <w:sz w:val="20"/>
    </w:rPr>
  </w:style>
  <w:style w:type="paragraph" w:styleId="TOC8">
    <w:name w:val="toc 8"/>
    <w:basedOn w:val="Normal"/>
    <w:next w:val="Normal"/>
    <w:autoRedefine/>
    <w:uiPriority w:val="39"/>
    <w:unhideWhenUsed/>
    <w:locked/>
    <w:rsid w:val="00F362D9"/>
    <w:pPr>
      <w:spacing w:after="100"/>
      <w:ind w:left="1540"/>
    </w:pPr>
    <w:rPr>
      <w:rFonts w:ascii="Calibri" w:hAnsi="Calibri"/>
      <w:sz w:val="20"/>
    </w:rPr>
  </w:style>
  <w:style w:type="paragraph" w:styleId="TOC9">
    <w:name w:val="toc 9"/>
    <w:basedOn w:val="Normal"/>
    <w:next w:val="Normal"/>
    <w:autoRedefine/>
    <w:uiPriority w:val="39"/>
    <w:unhideWhenUsed/>
    <w:locked/>
    <w:rsid w:val="00F362D9"/>
    <w:pPr>
      <w:spacing w:after="100"/>
      <w:ind w:left="1760"/>
    </w:pPr>
    <w:rPr>
      <w:rFonts w:ascii="Calibri" w:hAnsi="Calibri"/>
      <w:sz w:val="20"/>
    </w:rPr>
  </w:style>
  <w:style w:type="paragraph" w:customStyle="1" w:styleId="paragraphindent0">
    <w:name w:val="paragraphindent"/>
    <w:basedOn w:val="Normal"/>
    <w:rsid w:val="00F362D9"/>
    <w:rPr>
      <w:rFonts w:eastAsia="Calibri"/>
    </w:rPr>
  </w:style>
  <w:style w:type="paragraph" w:customStyle="1" w:styleId="NOTEText">
    <w:name w:val="NOTE: Text"/>
    <w:basedOn w:val="NOTE"/>
    <w:qFormat/>
    <w:rsid w:val="00A67473"/>
    <w:pPr>
      <w:ind w:firstLine="720"/>
    </w:pPr>
    <w:rPr>
      <w:rFonts w:eastAsia="Times New Roman"/>
      <w:sz w:val="20"/>
    </w:rPr>
  </w:style>
  <w:style w:type="paragraph" w:customStyle="1" w:styleId="tabletext3">
    <w:name w:val="tabletext"/>
    <w:basedOn w:val="Normal"/>
    <w:rsid w:val="00DF2F7A"/>
    <w:rPr>
      <w:sz w:val="18"/>
    </w:rPr>
  </w:style>
  <w:style w:type="paragraph" w:customStyle="1" w:styleId="tablebullets-2">
    <w:name w:val="table bullets-2"/>
    <w:basedOn w:val="Normal"/>
    <w:qFormat/>
    <w:rsid w:val="00F362D9"/>
    <w:pPr>
      <w:widowControl w:val="0"/>
      <w:numPr>
        <w:numId w:val="19"/>
      </w:numPr>
      <w:suppressAutoHyphens/>
      <w:autoSpaceDN w:val="0"/>
      <w:textAlignment w:val="baseline"/>
    </w:pPr>
    <w:rPr>
      <w:sz w:val="18"/>
      <w:szCs w:val="18"/>
      <w:lang w:bidi="en-US"/>
    </w:rPr>
  </w:style>
  <w:style w:type="paragraph" w:customStyle="1" w:styleId="Tabletextbold">
    <w:name w:val="Table text bold"/>
    <w:basedOn w:val="Tabletext"/>
    <w:qFormat/>
    <w:rsid w:val="00F362D9"/>
    <w:pPr>
      <w:spacing w:before="120" w:after="0"/>
    </w:pPr>
    <w:rPr>
      <w:b/>
      <w:iCs/>
      <w:color w:val="000000"/>
      <w:szCs w:val="24"/>
    </w:rPr>
  </w:style>
  <w:style w:type="paragraph" w:customStyle="1" w:styleId="tablebullets0">
    <w:name w:val="table bullets"/>
    <w:basedOn w:val="Normal"/>
    <w:qFormat/>
    <w:rsid w:val="00F362D9"/>
    <w:pPr>
      <w:suppressAutoHyphens/>
      <w:autoSpaceDN w:val="0"/>
      <w:textAlignment w:val="baseline"/>
    </w:pPr>
    <w:rPr>
      <w:rFonts w:eastAsia="Calibri"/>
      <w:sz w:val="18"/>
      <w:szCs w:val="18"/>
      <w:lang w:bidi="en-US"/>
    </w:rPr>
  </w:style>
  <w:style w:type="paragraph" w:styleId="Bibliography">
    <w:name w:val="Bibliography"/>
    <w:basedOn w:val="Normal"/>
    <w:next w:val="Normal"/>
    <w:uiPriority w:val="37"/>
    <w:unhideWhenUsed/>
    <w:rsid w:val="00F362D9"/>
    <w:rPr>
      <w:rFonts w:ascii="Verdana" w:eastAsia="Calibri" w:hAnsi="Verdana"/>
      <w:sz w:val="20"/>
    </w:rPr>
  </w:style>
  <w:style w:type="paragraph" w:customStyle="1" w:styleId="Tablebullet2">
    <w:name w:val="Table bullet"/>
    <w:basedOn w:val="Tabletext"/>
    <w:qFormat/>
    <w:rsid w:val="00F362D9"/>
    <w:pPr>
      <w:numPr>
        <w:numId w:val="20"/>
      </w:numPr>
      <w:spacing w:before="0" w:after="0"/>
      <w:ind w:left="187" w:hanging="187"/>
    </w:pPr>
    <w:rPr>
      <w:rFonts w:eastAsia="Calibri"/>
    </w:rPr>
  </w:style>
  <w:style w:type="paragraph" w:customStyle="1" w:styleId="TableText-with-para">
    <w:name w:val="TableText-with-para"/>
    <w:basedOn w:val="Tabletext"/>
    <w:qFormat/>
    <w:rsid w:val="00F362D9"/>
    <w:pPr>
      <w:tabs>
        <w:tab w:val="left" w:pos="0"/>
      </w:tabs>
      <w:spacing w:before="120" w:after="0"/>
    </w:pPr>
    <w:rPr>
      <w:rFonts w:eastAsia="Calibri"/>
    </w:rPr>
  </w:style>
  <w:style w:type="paragraph" w:customStyle="1" w:styleId="TableHeaderRow">
    <w:name w:val="TableHeaderRow"/>
    <w:basedOn w:val="Normal"/>
    <w:qFormat/>
    <w:rsid w:val="00F65235"/>
    <w:rPr>
      <w:rFonts w:ascii="Arial Bold" w:eastAsia="Calibri" w:hAnsi="Arial Bold"/>
      <w:b/>
      <w:sz w:val="18"/>
      <w:szCs w:val="18"/>
    </w:rPr>
  </w:style>
  <w:style w:type="paragraph" w:customStyle="1" w:styleId="Pa0">
    <w:name w:val="Pa0"/>
    <w:basedOn w:val="Normal"/>
    <w:next w:val="Normal"/>
    <w:uiPriority w:val="99"/>
    <w:rsid w:val="00F362D9"/>
    <w:pPr>
      <w:autoSpaceDE w:val="0"/>
      <w:autoSpaceDN w:val="0"/>
      <w:adjustRightInd w:val="0"/>
      <w:spacing w:line="241" w:lineRule="atLeast"/>
    </w:pPr>
    <w:rPr>
      <w:rFonts w:ascii="ANJYQG+AGaramondPro-Regular" w:eastAsia="Calibri" w:hAnsi="ANJYQG+AGaramondPro-Regular"/>
      <w:sz w:val="20"/>
    </w:rPr>
  </w:style>
  <w:style w:type="paragraph" w:customStyle="1" w:styleId="AHRQLevel4">
    <w:name w:val="AHRQLevel4"/>
    <w:basedOn w:val="BodyText"/>
    <w:link w:val="AHRQLevel4Char"/>
    <w:qFormat/>
    <w:rsid w:val="00A67473"/>
    <w:pPr>
      <w:tabs>
        <w:tab w:val="left" w:pos="720"/>
      </w:tabs>
      <w:spacing w:before="240" w:after="0"/>
    </w:pPr>
    <w:rPr>
      <w:rFonts w:eastAsia="Times New Roman"/>
      <w:b/>
      <w:bCs/>
      <w:sz w:val="28"/>
      <w:szCs w:val="28"/>
    </w:rPr>
  </w:style>
  <w:style w:type="character" w:customStyle="1" w:styleId="AHRQLevel4Char">
    <w:name w:val="AHRQLevel4 Char"/>
    <w:link w:val="AHRQLevel4"/>
    <w:rsid w:val="00A67473"/>
    <w:rPr>
      <w:b/>
      <w:bCs/>
      <w:sz w:val="28"/>
      <w:szCs w:val="28"/>
    </w:rPr>
  </w:style>
  <w:style w:type="paragraph" w:customStyle="1" w:styleId="TableBoldItalText">
    <w:name w:val="TableBoldItalText"/>
    <w:basedOn w:val="TableBoldText"/>
    <w:qFormat/>
    <w:rsid w:val="00A67473"/>
    <w:rPr>
      <w:i/>
    </w:rPr>
  </w:style>
  <w:style w:type="table" w:customStyle="1" w:styleId="ElegantRM">
    <w:name w:val="Elegant RM"/>
    <w:basedOn w:val="TableElegant"/>
    <w:rsid w:val="00A67473"/>
    <w:tblPr/>
    <w:tcPr>
      <w:shd w:val="clear" w:color="auto" w:fill="auto"/>
    </w:tcPr>
    <w:tblStylePr w:type="firstRow">
      <w:rPr>
        <w:caps/>
        <w:color w:val="auto"/>
      </w:rPr>
    </w:tblStylePr>
  </w:style>
  <w:style w:type="table" w:styleId="TableElegant">
    <w:name w:val="Table Elegant"/>
    <w:basedOn w:val="TableNormal"/>
    <w:uiPriority w:val="99"/>
    <w:semiHidden/>
    <w:unhideWhenUsed/>
    <w:locked/>
    <w:rsid w:val="00A67473"/>
    <w:rPr>
      <w:rFonts w:ascii="Calibri" w:hAnsi="Calibri" w:cs="Arial"/>
      <w:sz w:val="24"/>
      <w:szCs w:val="24"/>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customStyle="1" w:styleId="Footer2">
    <w:name w:val="Footer2"/>
    <w:basedOn w:val="FootnoteText"/>
    <w:qFormat/>
    <w:rsid w:val="00F362D9"/>
    <w:rPr>
      <w:rFonts w:eastAsia="Calibri"/>
    </w:rPr>
  </w:style>
  <w:style w:type="paragraph" w:styleId="DocumentMap">
    <w:name w:val="Document Map"/>
    <w:basedOn w:val="Normal"/>
    <w:link w:val="DocumentMapChar"/>
    <w:uiPriority w:val="99"/>
    <w:semiHidden/>
    <w:unhideWhenUsed/>
    <w:locked/>
    <w:rsid w:val="00F362D9"/>
    <w:rPr>
      <w:rFonts w:ascii="Tahoma" w:hAnsi="Tahoma"/>
      <w:sz w:val="16"/>
      <w:szCs w:val="16"/>
    </w:rPr>
  </w:style>
  <w:style w:type="character" w:customStyle="1" w:styleId="DocumentMapChar">
    <w:name w:val="Document Map Char"/>
    <w:basedOn w:val="DefaultParagraphFont"/>
    <w:link w:val="DocumentMap"/>
    <w:uiPriority w:val="99"/>
    <w:semiHidden/>
    <w:rsid w:val="00A67473"/>
    <w:rPr>
      <w:rFonts w:ascii="Tahoma" w:hAnsi="Tahoma"/>
      <w:sz w:val="16"/>
      <w:szCs w:val="16"/>
    </w:rPr>
  </w:style>
  <w:style w:type="paragraph" w:styleId="MacroText">
    <w:name w:val="macro"/>
    <w:link w:val="MacroTextChar"/>
    <w:uiPriority w:val="99"/>
    <w:unhideWhenUsed/>
    <w:locked/>
    <w:rsid w:val="00A674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uiPriority w:val="99"/>
    <w:rsid w:val="00A67473"/>
    <w:rPr>
      <w:rFonts w:ascii="Courier New" w:eastAsia="Calibri" w:hAnsi="Courier New" w:cs="Courier New"/>
    </w:rPr>
  </w:style>
  <w:style w:type="paragraph" w:styleId="BlockText">
    <w:name w:val="Block Text"/>
    <w:basedOn w:val="Normal"/>
    <w:uiPriority w:val="99"/>
    <w:unhideWhenUsed/>
    <w:locked/>
    <w:rsid w:val="00F362D9"/>
    <w:pPr>
      <w:spacing w:after="120"/>
      <w:ind w:left="1440" w:right="1440"/>
    </w:pPr>
    <w:rPr>
      <w:rFonts w:ascii="Verdana" w:eastAsia="Calibri" w:hAnsi="Verdana"/>
      <w:sz w:val="20"/>
    </w:rPr>
  </w:style>
  <w:style w:type="paragraph" w:styleId="ListBullet">
    <w:name w:val="List Bullet"/>
    <w:basedOn w:val="Normal"/>
    <w:locked/>
    <w:rsid w:val="00F362D9"/>
    <w:pPr>
      <w:numPr>
        <w:numId w:val="21"/>
      </w:numPr>
    </w:pPr>
    <w:rPr>
      <w:rFonts w:ascii="Verdana" w:eastAsia="MS Mincho" w:hAnsi="Verdana"/>
      <w:sz w:val="20"/>
    </w:rPr>
  </w:style>
  <w:style w:type="paragraph" w:styleId="ListBullet2">
    <w:name w:val="List Bullet 2"/>
    <w:basedOn w:val="Normal"/>
    <w:locked/>
    <w:rsid w:val="00F362D9"/>
    <w:pPr>
      <w:numPr>
        <w:numId w:val="22"/>
      </w:numPr>
      <w:spacing w:after="120"/>
    </w:pPr>
    <w:rPr>
      <w:rFonts w:ascii="Verdana" w:eastAsia="MS Mincho" w:hAnsi="Verdana"/>
      <w:sz w:val="20"/>
    </w:rPr>
  </w:style>
  <w:style w:type="paragraph" w:styleId="ListBullet3">
    <w:name w:val="List Bullet 3"/>
    <w:basedOn w:val="Normal"/>
    <w:locked/>
    <w:rsid w:val="00F362D9"/>
    <w:pPr>
      <w:numPr>
        <w:numId w:val="23"/>
      </w:numPr>
      <w:spacing w:after="120"/>
    </w:pPr>
    <w:rPr>
      <w:rFonts w:ascii="Verdana" w:eastAsia="MS Mincho" w:hAnsi="Verdana"/>
      <w:sz w:val="20"/>
    </w:rPr>
  </w:style>
  <w:style w:type="paragraph" w:styleId="ListContinue">
    <w:name w:val="List Continue"/>
    <w:basedOn w:val="Normal"/>
    <w:locked/>
    <w:rsid w:val="00F362D9"/>
    <w:pPr>
      <w:spacing w:after="120"/>
      <w:ind w:left="360"/>
    </w:pPr>
    <w:rPr>
      <w:rFonts w:ascii="Verdana" w:eastAsia="MS Mincho" w:hAnsi="Verdana"/>
      <w:sz w:val="20"/>
    </w:rPr>
  </w:style>
  <w:style w:type="paragraph" w:styleId="ListNumber">
    <w:name w:val="List Number"/>
    <w:basedOn w:val="Normal"/>
    <w:locked/>
    <w:rsid w:val="00F362D9"/>
    <w:pPr>
      <w:tabs>
        <w:tab w:val="num" w:pos="360"/>
      </w:tabs>
      <w:ind w:left="720" w:hanging="360"/>
    </w:pPr>
    <w:rPr>
      <w:rFonts w:ascii="Verdana" w:eastAsia="MS Mincho" w:hAnsi="Verdana"/>
      <w:sz w:val="20"/>
    </w:rPr>
  </w:style>
  <w:style w:type="paragraph" w:customStyle="1" w:styleId="Source1">
    <w:name w:val="Source1"/>
    <w:basedOn w:val="Normal"/>
    <w:rsid w:val="00F362D9"/>
    <w:pPr>
      <w:keepLines/>
      <w:spacing w:before="120" w:after="400"/>
      <w:ind w:left="187" w:hanging="187"/>
    </w:pPr>
    <w:rPr>
      <w:rFonts w:ascii="Verdana" w:eastAsia="MS Mincho" w:hAnsi="Verdana"/>
      <w:sz w:val="18"/>
    </w:rPr>
  </w:style>
  <w:style w:type="paragraph" w:customStyle="1" w:styleId="TableBulletLM">
    <w:name w:val="Table Bullet LM"/>
    <w:basedOn w:val="ListBullet"/>
    <w:qFormat/>
    <w:rsid w:val="00A67473"/>
    <w:pPr>
      <w:numPr>
        <w:numId w:val="0"/>
      </w:numPr>
      <w:spacing w:before="60" w:after="60" w:line="200" w:lineRule="exact"/>
    </w:pPr>
    <w:rPr>
      <w:sz w:val="18"/>
      <w:szCs w:val="18"/>
    </w:rPr>
  </w:style>
  <w:style w:type="paragraph" w:customStyle="1" w:styleId="TableBulletInd">
    <w:name w:val="Table Bullet Ind"/>
    <w:basedOn w:val="TableBulletLM"/>
    <w:qFormat/>
    <w:rsid w:val="00A67473"/>
  </w:style>
  <w:style w:type="paragraph" w:customStyle="1" w:styleId="TableHeaders">
    <w:name w:val="Table Headers"/>
    <w:qFormat/>
    <w:rsid w:val="00A67473"/>
    <w:pPr>
      <w:spacing w:before="80" w:after="80"/>
      <w:jc w:val="center"/>
    </w:pPr>
    <w:rPr>
      <w:rFonts w:ascii="Verdana" w:hAnsi="Verdana"/>
      <w:b/>
      <w:sz w:val="18"/>
    </w:rPr>
  </w:style>
  <w:style w:type="paragraph" w:customStyle="1" w:styleId="TableTextDec">
    <w:name w:val="Table Text Dec"/>
    <w:basedOn w:val="Normal"/>
    <w:qFormat/>
    <w:rsid w:val="00F362D9"/>
    <w:pPr>
      <w:tabs>
        <w:tab w:val="decimal" w:pos="1015"/>
      </w:tabs>
      <w:spacing w:before="60" w:after="60"/>
    </w:pPr>
    <w:rPr>
      <w:rFonts w:ascii="Verdana" w:eastAsia="MS Mincho" w:hAnsi="Verdana"/>
      <w:sz w:val="18"/>
      <w:szCs w:val="18"/>
    </w:rPr>
  </w:style>
  <w:style w:type="paragraph" w:customStyle="1" w:styleId="TableTextIndent1">
    <w:name w:val="Table Text Indent1"/>
    <w:basedOn w:val="TableText1"/>
    <w:qFormat/>
    <w:rsid w:val="00A67473"/>
    <w:pPr>
      <w:spacing w:before="60" w:after="60"/>
      <w:ind w:left="245"/>
    </w:pPr>
    <w:rPr>
      <w:rFonts w:ascii="Verdana" w:eastAsia="MS Mincho" w:hAnsi="Verdana"/>
      <w:szCs w:val="20"/>
    </w:rPr>
  </w:style>
  <w:style w:type="paragraph" w:customStyle="1" w:styleId="TableTextHeaders">
    <w:name w:val="TableTextHeaders"/>
    <w:basedOn w:val="Normal"/>
    <w:qFormat/>
    <w:rsid w:val="00F362D9"/>
    <w:rPr>
      <w:rFonts w:eastAsia="Calibri"/>
      <w:b/>
      <w:color w:val="000000" w:themeColor="text1"/>
      <w:sz w:val="18"/>
    </w:rPr>
  </w:style>
  <w:style w:type="character" w:customStyle="1" w:styleId="A1">
    <w:name w:val="A1"/>
    <w:uiPriority w:val="99"/>
    <w:rsid w:val="00A67473"/>
    <w:rPr>
      <w:rFonts w:ascii="Optima LT Std" w:hAnsi="Optima LT Std" w:cs="Optima LT Std" w:hint="default"/>
      <w:color w:val="000000"/>
      <w:sz w:val="36"/>
      <w:szCs w:val="36"/>
    </w:rPr>
  </w:style>
  <w:style w:type="paragraph" w:customStyle="1" w:styleId="AbstractText0">
    <w:name w:val="Abstract Text"/>
    <w:basedOn w:val="Normal"/>
    <w:uiPriority w:val="99"/>
    <w:rsid w:val="00F362D9"/>
    <w:pPr>
      <w:spacing w:after="120"/>
    </w:pPr>
    <w:rPr>
      <w:bCs/>
    </w:rPr>
  </w:style>
  <w:style w:type="paragraph" w:customStyle="1" w:styleId="ES-ChapterHeading">
    <w:name w:val="ES-ChapterHeading"/>
    <w:basedOn w:val="Normal"/>
    <w:qFormat/>
    <w:rsid w:val="00F362D9"/>
    <w:pPr>
      <w:keepNext/>
      <w:spacing w:before="240" w:after="60"/>
      <w:jc w:val="center"/>
      <w:outlineLvl w:val="0"/>
    </w:pPr>
    <w:rPr>
      <w:b/>
      <w:bCs/>
      <w:sz w:val="36"/>
    </w:rPr>
  </w:style>
  <w:style w:type="paragraph" w:customStyle="1" w:styleId="bullet-blank">
    <w:name w:val="bullet-blank"/>
    <w:basedOn w:val="Normal"/>
    <w:qFormat/>
    <w:rsid w:val="00F362D9"/>
    <w:pPr>
      <w:ind w:left="720" w:hanging="360"/>
    </w:pPr>
  </w:style>
  <w:style w:type="paragraph" w:customStyle="1" w:styleId="TableTitle-Continued">
    <w:name w:val="TableTitle-Continued_"/>
    <w:basedOn w:val="TableTitle"/>
    <w:qFormat/>
    <w:rsid w:val="00A67473"/>
  </w:style>
  <w:style w:type="paragraph" w:customStyle="1" w:styleId="Heading2BoldRight">
    <w:name w:val="Heading 2 Bold Right"/>
    <w:basedOn w:val="Normal"/>
    <w:rsid w:val="00F362D9"/>
    <w:pPr>
      <w:tabs>
        <w:tab w:val="left" w:pos="6720"/>
      </w:tabs>
      <w:spacing w:before="120"/>
      <w:jc w:val="right"/>
    </w:pPr>
    <w:rPr>
      <w:rFonts w:eastAsia="Calibri"/>
      <w:b/>
      <w:sz w:val="20"/>
    </w:rPr>
  </w:style>
  <w:style w:type="paragraph" w:customStyle="1" w:styleId="TableBullet20">
    <w:name w:val="TableBullet2"/>
    <w:basedOn w:val="TableBullet0"/>
    <w:qFormat/>
    <w:rsid w:val="00A67473"/>
    <w:pPr>
      <w:numPr>
        <w:numId w:val="24"/>
      </w:numPr>
    </w:pPr>
    <w:rPr>
      <w:rFonts w:eastAsia="Times New Roman"/>
      <w:color w:val="000000"/>
      <w:szCs w:val="18"/>
    </w:rPr>
  </w:style>
  <w:style w:type="numbering" w:customStyle="1" w:styleId="NoList1111111">
    <w:name w:val="No List1111111"/>
    <w:next w:val="NoList"/>
    <w:uiPriority w:val="99"/>
    <w:semiHidden/>
    <w:unhideWhenUsed/>
    <w:rsid w:val="00A67473"/>
  </w:style>
  <w:style w:type="character" w:customStyle="1" w:styleId="HeaderChar1">
    <w:name w:val="Header Char1"/>
    <w:basedOn w:val="DefaultParagraphFont"/>
    <w:uiPriority w:val="99"/>
    <w:semiHidden/>
    <w:rsid w:val="00A67473"/>
    <w:rPr>
      <w:sz w:val="22"/>
      <w:szCs w:val="22"/>
    </w:rPr>
  </w:style>
  <w:style w:type="table" w:customStyle="1" w:styleId="AHRQ12">
    <w:name w:val="AHRQ12"/>
    <w:basedOn w:val="TableGrid"/>
    <w:rsid w:val="00DF2F7A"/>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center"/>
      </w:tcPr>
    </w:tblStylePr>
  </w:style>
  <w:style w:type="table" w:customStyle="1" w:styleId="AHRQ13">
    <w:name w:val="AHRQ13"/>
    <w:basedOn w:val="TableGrid"/>
    <w:rsid w:val="00A674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bottom"/>
      </w:tcPr>
    </w:tblStylePr>
  </w:style>
  <w:style w:type="table" w:customStyle="1" w:styleId="TableGrid44">
    <w:name w:val="Table Grid44"/>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rsid w:val="00EA50E9"/>
  </w:style>
  <w:style w:type="character" w:customStyle="1" w:styleId="maintitle">
    <w:name w:val="maintitle"/>
    <w:basedOn w:val="DefaultParagraphFont"/>
    <w:rsid w:val="00A31060"/>
  </w:style>
  <w:style w:type="paragraph" w:customStyle="1" w:styleId="articledetails">
    <w:name w:val="articledetails"/>
    <w:basedOn w:val="Normal"/>
    <w:rsid w:val="00A31060"/>
    <w:pPr>
      <w:spacing w:before="100" w:beforeAutospacing="1" w:after="100" w:afterAutospacing="1"/>
    </w:pPr>
    <w:rPr>
      <w:rFonts w:ascii="Times New Roman" w:hAnsi="Times New Roman"/>
      <w:szCs w:val="24"/>
    </w:rPr>
  </w:style>
  <w:style w:type="character" w:customStyle="1" w:styleId="copypaste2">
    <w:name w:val="copypaste2"/>
    <w:basedOn w:val="DefaultParagraphFont"/>
    <w:rsid w:val="001277A2"/>
  </w:style>
  <w:style w:type="paragraph" w:customStyle="1" w:styleId="Heading21">
    <w:name w:val="Heading 21"/>
    <w:basedOn w:val="Normal"/>
    <w:next w:val="Normal"/>
    <w:uiPriority w:val="9"/>
    <w:semiHidden/>
    <w:unhideWhenUsed/>
    <w:rsid w:val="000830E2"/>
    <w:pPr>
      <w:keepNext/>
      <w:keepLines/>
      <w:spacing w:before="200"/>
      <w:outlineLvl w:val="1"/>
    </w:pPr>
    <w:rPr>
      <w:rFonts w:ascii="Cambria" w:hAnsi="Cambria"/>
      <w:b/>
      <w:bCs/>
      <w:color w:val="4F81BD"/>
      <w:sz w:val="26"/>
      <w:szCs w:val="26"/>
    </w:rPr>
  </w:style>
  <w:style w:type="character" w:customStyle="1" w:styleId="Hyperlink1">
    <w:name w:val="Hyperlink1"/>
    <w:basedOn w:val="DefaultParagraphFont"/>
    <w:uiPriority w:val="99"/>
    <w:unhideWhenUsed/>
    <w:rsid w:val="000830E2"/>
    <w:rPr>
      <w:color w:val="0000FF"/>
      <w:u w:val="single"/>
    </w:rPr>
  </w:style>
  <w:style w:type="paragraph" w:customStyle="1" w:styleId="List1">
    <w:name w:val="List1"/>
    <w:basedOn w:val="Normal"/>
    <w:next w:val="List"/>
    <w:rsid w:val="000830E2"/>
    <w:pPr>
      <w:spacing w:after="200" w:line="276" w:lineRule="auto"/>
      <w:ind w:left="360" w:hanging="360"/>
      <w:contextualSpacing/>
    </w:pPr>
    <w:rPr>
      <w:rFonts w:ascii="Calibri" w:hAnsi="Calibri" w:cs="Arial"/>
    </w:rPr>
  </w:style>
  <w:style w:type="character" w:customStyle="1" w:styleId="FollowedHyperlink1">
    <w:name w:val="FollowedHyperlink1"/>
    <w:basedOn w:val="DefaultParagraphFont"/>
    <w:rsid w:val="000830E2"/>
    <w:rPr>
      <w:color w:val="800080"/>
      <w:u w:val="single"/>
    </w:rPr>
  </w:style>
  <w:style w:type="table" w:customStyle="1" w:styleId="EPC11">
    <w:name w:val="EPC11"/>
    <w:basedOn w:val="TableNormal"/>
    <w:uiPriority w:val="99"/>
    <w:rsid w:val="000830E2"/>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0830E2"/>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0830E2"/>
    <w:rPr>
      <w:sz w:val="20"/>
      <w:szCs w:val="20"/>
    </w:rPr>
  </w:style>
  <w:style w:type="character" w:customStyle="1" w:styleId="TitleChar1">
    <w:name w:val="Title Char1"/>
    <w:basedOn w:val="DefaultParagraphFont"/>
    <w:uiPriority w:val="10"/>
    <w:rsid w:val="000830E2"/>
    <w:rPr>
      <w:rFonts w:asciiTheme="majorHAnsi" w:eastAsiaTheme="majorEastAsia" w:hAnsiTheme="majorHAnsi" w:cstheme="majorBidi"/>
      <w:spacing w:val="-10"/>
      <w:kern w:val="28"/>
      <w:sz w:val="56"/>
      <w:szCs w:val="56"/>
    </w:rPr>
  </w:style>
  <w:style w:type="paragraph" w:customStyle="1" w:styleId="AppChapterHeading">
    <w:name w:val="AppChapterHeading"/>
    <w:basedOn w:val="ChapterHeading"/>
    <w:qFormat/>
    <w:rsid w:val="00B84EDF"/>
  </w:style>
  <w:style w:type="paragraph" w:customStyle="1" w:styleId="AppTableTitle">
    <w:name w:val="AppTableTitle"/>
    <w:basedOn w:val="TableTitle"/>
    <w:qFormat/>
    <w:rsid w:val="00B84EDF"/>
  </w:style>
  <w:style w:type="paragraph" w:customStyle="1" w:styleId="Abbreviations">
    <w:name w:val="Abbreviations"/>
    <w:basedOn w:val="ParagraphNoIndent"/>
    <w:qFormat/>
    <w:rsid w:val="00B84EDF"/>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84038492">
      <w:bodyDiv w:val="1"/>
      <w:marLeft w:val="0"/>
      <w:marRight w:val="0"/>
      <w:marTop w:val="0"/>
      <w:marBottom w:val="0"/>
      <w:divBdr>
        <w:top w:val="none" w:sz="0" w:space="0" w:color="auto"/>
        <w:left w:val="none" w:sz="0" w:space="0" w:color="auto"/>
        <w:bottom w:val="none" w:sz="0" w:space="0" w:color="auto"/>
        <w:right w:val="none" w:sz="0" w:space="0" w:color="auto"/>
      </w:divBdr>
      <w:divsChild>
        <w:div w:id="1422094751">
          <w:marLeft w:val="0"/>
          <w:marRight w:val="1"/>
          <w:marTop w:val="0"/>
          <w:marBottom w:val="0"/>
          <w:divBdr>
            <w:top w:val="none" w:sz="0" w:space="0" w:color="auto"/>
            <w:left w:val="none" w:sz="0" w:space="0" w:color="auto"/>
            <w:bottom w:val="none" w:sz="0" w:space="0" w:color="auto"/>
            <w:right w:val="none" w:sz="0" w:space="0" w:color="auto"/>
          </w:divBdr>
          <w:divsChild>
            <w:div w:id="793405326">
              <w:marLeft w:val="0"/>
              <w:marRight w:val="0"/>
              <w:marTop w:val="0"/>
              <w:marBottom w:val="0"/>
              <w:divBdr>
                <w:top w:val="none" w:sz="0" w:space="0" w:color="auto"/>
                <w:left w:val="none" w:sz="0" w:space="0" w:color="auto"/>
                <w:bottom w:val="none" w:sz="0" w:space="0" w:color="auto"/>
                <w:right w:val="none" w:sz="0" w:space="0" w:color="auto"/>
              </w:divBdr>
              <w:divsChild>
                <w:div w:id="1645885889">
                  <w:marLeft w:val="0"/>
                  <w:marRight w:val="1"/>
                  <w:marTop w:val="0"/>
                  <w:marBottom w:val="0"/>
                  <w:divBdr>
                    <w:top w:val="none" w:sz="0" w:space="0" w:color="auto"/>
                    <w:left w:val="none" w:sz="0" w:space="0" w:color="auto"/>
                    <w:bottom w:val="none" w:sz="0" w:space="0" w:color="auto"/>
                    <w:right w:val="none" w:sz="0" w:space="0" w:color="auto"/>
                  </w:divBdr>
                  <w:divsChild>
                    <w:div w:id="742070223">
                      <w:marLeft w:val="0"/>
                      <w:marRight w:val="0"/>
                      <w:marTop w:val="0"/>
                      <w:marBottom w:val="0"/>
                      <w:divBdr>
                        <w:top w:val="none" w:sz="0" w:space="0" w:color="auto"/>
                        <w:left w:val="none" w:sz="0" w:space="0" w:color="auto"/>
                        <w:bottom w:val="none" w:sz="0" w:space="0" w:color="auto"/>
                        <w:right w:val="none" w:sz="0" w:space="0" w:color="auto"/>
                      </w:divBdr>
                      <w:divsChild>
                        <w:div w:id="1704204908">
                          <w:marLeft w:val="0"/>
                          <w:marRight w:val="0"/>
                          <w:marTop w:val="0"/>
                          <w:marBottom w:val="0"/>
                          <w:divBdr>
                            <w:top w:val="none" w:sz="0" w:space="0" w:color="auto"/>
                            <w:left w:val="none" w:sz="0" w:space="0" w:color="auto"/>
                            <w:bottom w:val="none" w:sz="0" w:space="0" w:color="auto"/>
                            <w:right w:val="none" w:sz="0" w:space="0" w:color="auto"/>
                          </w:divBdr>
                          <w:divsChild>
                            <w:div w:id="1969966365">
                              <w:marLeft w:val="0"/>
                              <w:marRight w:val="0"/>
                              <w:marTop w:val="120"/>
                              <w:marBottom w:val="360"/>
                              <w:divBdr>
                                <w:top w:val="none" w:sz="0" w:space="0" w:color="auto"/>
                                <w:left w:val="none" w:sz="0" w:space="0" w:color="auto"/>
                                <w:bottom w:val="none" w:sz="0" w:space="0" w:color="auto"/>
                                <w:right w:val="none" w:sz="0" w:space="0" w:color="auto"/>
                              </w:divBdr>
                              <w:divsChild>
                                <w:div w:id="403376869">
                                  <w:marLeft w:val="420"/>
                                  <w:marRight w:val="0"/>
                                  <w:marTop w:val="0"/>
                                  <w:marBottom w:val="0"/>
                                  <w:divBdr>
                                    <w:top w:val="none" w:sz="0" w:space="0" w:color="auto"/>
                                    <w:left w:val="none" w:sz="0" w:space="0" w:color="auto"/>
                                    <w:bottom w:val="none" w:sz="0" w:space="0" w:color="auto"/>
                                    <w:right w:val="none" w:sz="0" w:space="0" w:color="auto"/>
                                  </w:divBdr>
                                  <w:divsChild>
                                    <w:div w:id="46926916">
                                      <w:marLeft w:val="0"/>
                                      <w:marRight w:val="0"/>
                                      <w:marTop w:val="0"/>
                                      <w:marBottom w:val="0"/>
                                      <w:divBdr>
                                        <w:top w:val="none" w:sz="0" w:space="0" w:color="auto"/>
                                        <w:left w:val="none" w:sz="0" w:space="0" w:color="auto"/>
                                        <w:bottom w:val="none" w:sz="0" w:space="0" w:color="auto"/>
                                        <w:right w:val="none" w:sz="0" w:space="0" w:color="auto"/>
                                      </w:divBdr>
                                      <w:divsChild>
                                        <w:div w:id="29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265616">
      <w:bodyDiv w:val="1"/>
      <w:marLeft w:val="0"/>
      <w:marRight w:val="0"/>
      <w:marTop w:val="0"/>
      <w:marBottom w:val="0"/>
      <w:divBdr>
        <w:top w:val="none" w:sz="0" w:space="0" w:color="auto"/>
        <w:left w:val="none" w:sz="0" w:space="0" w:color="auto"/>
        <w:bottom w:val="none" w:sz="0" w:space="0" w:color="auto"/>
        <w:right w:val="none" w:sz="0" w:space="0" w:color="auto"/>
      </w:divBdr>
    </w:div>
    <w:div w:id="245388016">
      <w:bodyDiv w:val="1"/>
      <w:marLeft w:val="0"/>
      <w:marRight w:val="0"/>
      <w:marTop w:val="0"/>
      <w:marBottom w:val="0"/>
      <w:divBdr>
        <w:top w:val="none" w:sz="0" w:space="0" w:color="auto"/>
        <w:left w:val="none" w:sz="0" w:space="0" w:color="auto"/>
        <w:bottom w:val="none" w:sz="0" w:space="0" w:color="auto"/>
        <w:right w:val="none" w:sz="0" w:space="0" w:color="auto"/>
      </w:divBdr>
    </w:div>
    <w:div w:id="298462310">
      <w:bodyDiv w:val="1"/>
      <w:marLeft w:val="0"/>
      <w:marRight w:val="0"/>
      <w:marTop w:val="0"/>
      <w:marBottom w:val="0"/>
      <w:divBdr>
        <w:top w:val="none" w:sz="0" w:space="0" w:color="auto"/>
        <w:left w:val="none" w:sz="0" w:space="0" w:color="auto"/>
        <w:bottom w:val="none" w:sz="0" w:space="0" w:color="auto"/>
        <w:right w:val="none" w:sz="0" w:space="0" w:color="auto"/>
      </w:divBdr>
    </w:div>
    <w:div w:id="545024336">
      <w:bodyDiv w:val="1"/>
      <w:marLeft w:val="0"/>
      <w:marRight w:val="0"/>
      <w:marTop w:val="0"/>
      <w:marBottom w:val="0"/>
      <w:divBdr>
        <w:top w:val="none" w:sz="0" w:space="0" w:color="auto"/>
        <w:left w:val="none" w:sz="0" w:space="0" w:color="auto"/>
        <w:bottom w:val="none" w:sz="0" w:space="0" w:color="auto"/>
        <w:right w:val="none" w:sz="0" w:space="0" w:color="auto"/>
      </w:divBdr>
    </w:div>
    <w:div w:id="569509286">
      <w:bodyDiv w:val="1"/>
      <w:marLeft w:val="0"/>
      <w:marRight w:val="0"/>
      <w:marTop w:val="0"/>
      <w:marBottom w:val="0"/>
      <w:divBdr>
        <w:top w:val="none" w:sz="0" w:space="0" w:color="auto"/>
        <w:left w:val="none" w:sz="0" w:space="0" w:color="auto"/>
        <w:bottom w:val="none" w:sz="0" w:space="0" w:color="auto"/>
        <w:right w:val="none" w:sz="0" w:space="0" w:color="auto"/>
      </w:divBdr>
    </w:div>
    <w:div w:id="588345569">
      <w:bodyDiv w:val="1"/>
      <w:marLeft w:val="0"/>
      <w:marRight w:val="0"/>
      <w:marTop w:val="0"/>
      <w:marBottom w:val="0"/>
      <w:divBdr>
        <w:top w:val="none" w:sz="0" w:space="0" w:color="auto"/>
        <w:left w:val="none" w:sz="0" w:space="0" w:color="auto"/>
        <w:bottom w:val="none" w:sz="0" w:space="0" w:color="auto"/>
        <w:right w:val="none" w:sz="0" w:space="0" w:color="auto"/>
      </w:divBdr>
    </w:div>
    <w:div w:id="605578859">
      <w:bodyDiv w:val="1"/>
      <w:marLeft w:val="0"/>
      <w:marRight w:val="0"/>
      <w:marTop w:val="0"/>
      <w:marBottom w:val="0"/>
      <w:divBdr>
        <w:top w:val="none" w:sz="0" w:space="0" w:color="auto"/>
        <w:left w:val="none" w:sz="0" w:space="0" w:color="auto"/>
        <w:bottom w:val="none" w:sz="0" w:space="0" w:color="auto"/>
        <w:right w:val="none" w:sz="0" w:space="0" w:color="auto"/>
      </w:divBdr>
    </w:div>
    <w:div w:id="696659466">
      <w:bodyDiv w:val="1"/>
      <w:marLeft w:val="0"/>
      <w:marRight w:val="0"/>
      <w:marTop w:val="0"/>
      <w:marBottom w:val="0"/>
      <w:divBdr>
        <w:top w:val="none" w:sz="0" w:space="0" w:color="auto"/>
        <w:left w:val="none" w:sz="0" w:space="0" w:color="auto"/>
        <w:bottom w:val="none" w:sz="0" w:space="0" w:color="auto"/>
        <w:right w:val="none" w:sz="0" w:space="0" w:color="auto"/>
      </w:divBdr>
    </w:div>
    <w:div w:id="726800191">
      <w:bodyDiv w:val="1"/>
      <w:marLeft w:val="0"/>
      <w:marRight w:val="0"/>
      <w:marTop w:val="0"/>
      <w:marBottom w:val="0"/>
      <w:divBdr>
        <w:top w:val="none" w:sz="0" w:space="0" w:color="auto"/>
        <w:left w:val="none" w:sz="0" w:space="0" w:color="auto"/>
        <w:bottom w:val="none" w:sz="0" w:space="0" w:color="auto"/>
        <w:right w:val="none" w:sz="0" w:space="0" w:color="auto"/>
      </w:divBdr>
    </w:div>
    <w:div w:id="745347787">
      <w:bodyDiv w:val="1"/>
      <w:marLeft w:val="0"/>
      <w:marRight w:val="0"/>
      <w:marTop w:val="0"/>
      <w:marBottom w:val="0"/>
      <w:divBdr>
        <w:top w:val="none" w:sz="0" w:space="0" w:color="auto"/>
        <w:left w:val="none" w:sz="0" w:space="0" w:color="auto"/>
        <w:bottom w:val="none" w:sz="0" w:space="0" w:color="auto"/>
        <w:right w:val="none" w:sz="0" w:space="0" w:color="auto"/>
      </w:divBdr>
    </w:div>
    <w:div w:id="927422892">
      <w:bodyDiv w:val="1"/>
      <w:marLeft w:val="0"/>
      <w:marRight w:val="0"/>
      <w:marTop w:val="0"/>
      <w:marBottom w:val="0"/>
      <w:divBdr>
        <w:top w:val="none" w:sz="0" w:space="0" w:color="auto"/>
        <w:left w:val="none" w:sz="0" w:space="0" w:color="auto"/>
        <w:bottom w:val="none" w:sz="0" w:space="0" w:color="auto"/>
        <w:right w:val="none" w:sz="0" w:space="0" w:color="auto"/>
      </w:divBdr>
    </w:div>
    <w:div w:id="992149637">
      <w:bodyDiv w:val="1"/>
      <w:marLeft w:val="0"/>
      <w:marRight w:val="0"/>
      <w:marTop w:val="0"/>
      <w:marBottom w:val="0"/>
      <w:divBdr>
        <w:top w:val="none" w:sz="0" w:space="0" w:color="auto"/>
        <w:left w:val="none" w:sz="0" w:space="0" w:color="auto"/>
        <w:bottom w:val="none" w:sz="0" w:space="0" w:color="auto"/>
        <w:right w:val="none" w:sz="0" w:space="0" w:color="auto"/>
      </w:divBdr>
      <w:divsChild>
        <w:div w:id="1412506648">
          <w:marLeft w:val="0"/>
          <w:marRight w:val="1"/>
          <w:marTop w:val="0"/>
          <w:marBottom w:val="0"/>
          <w:divBdr>
            <w:top w:val="none" w:sz="0" w:space="0" w:color="auto"/>
            <w:left w:val="none" w:sz="0" w:space="0" w:color="auto"/>
            <w:bottom w:val="none" w:sz="0" w:space="0" w:color="auto"/>
            <w:right w:val="none" w:sz="0" w:space="0" w:color="auto"/>
          </w:divBdr>
          <w:divsChild>
            <w:div w:id="1915778846">
              <w:marLeft w:val="0"/>
              <w:marRight w:val="0"/>
              <w:marTop w:val="0"/>
              <w:marBottom w:val="0"/>
              <w:divBdr>
                <w:top w:val="none" w:sz="0" w:space="0" w:color="auto"/>
                <w:left w:val="none" w:sz="0" w:space="0" w:color="auto"/>
                <w:bottom w:val="none" w:sz="0" w:space="0" w:color="auto"/>
                <w:right w:val="none" w:sz="0" w:space="0" w:color="auto"/>
              </w:divBdr>
              <w:divsChild>
                <w:div w:id="1810587764">
                  <w:marLeft w:val="0"/>
                  <w:marRight w:val="1"/>
                  <w:marTop w:val="0"/>
                  <w:marBottom w:val="0"/>
                  <w:divBdr>
                    <w:top w:val="none" w:sz="0" w:space="0" w:color="auto"/>
                    <w:left w:val="none" w:sz="0" w:space="0" w:color="auto"/>
                    <w:bottom w:val="none" w:sz="0" w:space="0" w:color="auto"/>
                    <w:right w:val="none" w:sz="0" w:space="0" w:color="auto"/>
                  </w:divBdr>
                  <w:divsChild>
                    <w:div w:id="1109620877">
                      <w:marLeft w:val="0"/>
                      <w:marRight w:val="0"/>
                      <w:marTop w:val="0"/>
                      <w:marBottom w:val="0"/>
                      <w:divBdr>
                        <w:top w:val="none" w:sz="0" w:space="0" w:color="auto"/>
                        <w:left w:val="none" w:sz="0" w:space="0" w:color="auto"/>
                        <w:bottom w:val="none" w:sz="0" w:space="0" w:color="auto"/>
                        <w:right w:val="none" w:sz="0" w:space="0" w:color="auto"/>
                      </w:divBdr>
                      <w:divsChild>
                        <w:div w:id="70809328">
                          <w:marLeft w:val="0"/>
                          <w:marRight w:val="0"/>
                          <w:marTop w:val="0"/>
                          <w:marBottom w:val="0"/>
                          <w:divBdr>
                            <w:top w:val="none" w:sz="0" w:space="0" w:color="auto"/>
                            <w:left w:val="none" w:sz="0" w:space="0" w:color="auto"/>
                            <w:bottom w:val="none" w:sz="0" w:space="0" w:color="auto"/>
                            <w:right w:val="none" w:sz="0" w:space="0" w:color="auto"/>
                          </w:divBdr>
                          <w:divsChild>
                            <w:div w:id="1723554495">
                              <w:marLeft w:val="0"/>
                              <w:marRight w:val="0"/>
                              <w:marTop w:val="0"/>
                              <w:marBottom w:val="0"/>
                              <w:divBdr>
                                <w:top w:val="none" w:sz="0" w:space="0" w:color="auto"/>
                                <w:left w:val="none" w:sz="0" w:space="0" w:color="auto"/>
                                <w:bottom w:val="none" w:sz="0" w:space="0" w:color="auto"/>
                                <w:right w:val="none" w:sz="0" w:space="0" w:color="auto"/>
                              </w:divBdr>
                            </w:div>
                          </w:divsChild>
                        </w:div>
                        <w:div w:id="1953977161">
                          <w:marLeft w:val="0"/>
                          <w:marRight w:val="0"/>
                          <w:marTop w:val="0"/>
                          <w:marBottom w:val="0"/>
                          <w:divBdr>
                            <w:top w:val="none" w:sz="0" w:space="0" w:color="auto"/>
                            <w:left w:val="none" w:sz="0" w:space="0" w:color="auto"/>
                            <w:bottom w:val="none" w:sz="0" w:space="0" w:color="auto"/>
                            <w:right w:val="none" w:sz="0" w:space="0" w:color="auto"/>
                          </w:divBdr>
                          <w:divsChild>
                            <w:div w:id="577981275">
                              <w:marLeft w:val="0"/>
                              <w:marRight w:val="0"/>
                              <w:marTop w:val="120"/>
                              <w:marBottom w:val="360"/>
                              <w:divBdr>
                                <w:top w:val="none" w:sz="0" w:space="0" w:color="auto"/>
                                <w:left w:val="none" w:sz="0" w:space="0" w:color="auto"/>
                                <w:bottom w:val="none" w:sz="0" w:space="0" w:color="auto"/>
                                <w:right w:val="none" w:sz="0" w:space="0" w:color="auto"/>
                              </w:divBdr>
                              <w:divsChild>
                                <w:div w:id="117768722">
                                  <w:marLeft w:val="0"/>
                                  <w:marRight w:val="0"/>
                                  <w:marTop w:val="0"/>
                                  <w:marBottom w:val="0"/>
                                  <w:divBdr>
                                    <w:top w:val="none" w:sz="0" w:space="0" w:color="auto"/>
                                    <w:left w:val="none" w:sz="0" w:space="0" w:color="auto"/>
                                    <w:bottom w:val="none" w:sz="0" w:space="0" w:color="auto"/>
                                    <w:right w:val="none" w:sz="0" w:space="0" w:color="auto"/>
                                  </w:divBdr>
                                </w:div>
                                <w:div w:id="16888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8953">
      <w:bodyDiv w:val="1"/>
      <w:marLeft w:val="0"/>
      <w:marRight w:val="0"/>
      <w:marTop w:val="0"/>
      <w:marBottom w:val="0"/>
      <w:divBdr>
        <w:top w:val="none" w:sz="0" w:space="0" w:color="auto"/>
        <w:left w:val="none" w:sz="0" w:space="0" w:color="auto"/>
        <w:bottom w:val="none" w:sz="0" w:space="0" w:color="auto"/>
        <w:right w:val="none" w:sz="0" w:space="0" w:color="auto"/>
      </w:divBdr>
    </w:div>
    <w:div w:id="1014303312">
      <w:bodyDiv w:val="1"/>
      <w:marLeft w:val="0"/>
      <w:marRight w:val="0"/>
      <w:marTop w:val="0"/>
      <w:marBottom w:val="0"/>
      <w:divBdr>
        <w:top w:val="none" w:sz="0" w:space="0" w:color="auto"/>
        <w:left w:val="none" w:sz="0" w:space="0" w:color="auto"/>
        <w:bottom w:val="none" w:sz="0" w:space="0" w:color="auto"/>
        <w:right w:val="none" w:sz="0" w:space="0" w:color="auto"/>
      </w:divBdr>
    </w:div>
    <w:div w:id="1154101596">
      <w:bodyDiv w:val="1"/>
      <w:marLeft w:val="0"/>
      <w:marRight w:val="0"/>
      <w:marTop w:val="0"/>
      <w:marBottom w:val="0"/>
      <w:divBdr>
        <w:top w:val="none" w:sz="0" w:space="0" w:color="auto"/>
        <w:left w:val="none" w:sz="0" w:space="0" w:color="auto"/>
        <w:bottom w:val="none" w:sz="0" w:space="0" w:color="auto"/>
        <w:right w:val="none" w:sz="0" w:space="0" w:color="auto"/>
      </w:divBdr>
    </w:div>
    <w:div w:id="1346445114">
      <w:bodyDiv w:val="1"/>
      <w:marLeft w:val="0"/>
      <w:marRight w:val="0"/>
      <w:marTop w:val="0"/>
      <w:marBottom w:val="0"/>
      <w:divBdr>
        <w:top w:val="none" w:sz="0" w:space="0" w:color="auto"/>
        <w:left w:val="none" w:sz="0" w:space="0" w:color="auto"/>
        <w:bottom w:val="none" w:sz="0" w:space="0" w:color="auto"/>
        <w:right w:val="none" w:sz="0" w:space="0" w:color="auto"/>
      </w:divBdr>
      <w:divsChild>
        <w:div w:id="458374280">
          <w:marLeft w:val="0"/>
          <w:marRight w:val="1"/>
          <w:marTop w:val="0"/>
          <w:marBottom w:val="0"/>
          <w:divBdr>
            <w:top w:val="none" w:sz="0" w:space="0" w:color="auto"/>
            <w:left w:val="none" w:sz="0" w:space="0" w:color="auto"/>
            <w:bottom w:val="none" w:sz="0" w:space="0" w:color="auto"/>
            <w:right w:val="none" w:sz="0" w:space="0" w:color="auto"/>
          </w:divBdr>
          <w:divsChild>
            <w:div w:id="1147623484">
              <w:marLeft w:val="0"/>
              <w:marRight w:val="0"/>
              <w:marTop w:val="0"/>
              <w:marBottom w:val="0"/>
              <w:divBdr>
                <w:top w:val="none" w:sz="0" w:space="0" w:color="auto"/>
                <w:left w:val="none" w:sz="0" w:space="0" w:color="auto"/>
                <w:bottom w:val="none" w:sz="0" w:space="0" w:color="auto"/>
                <w:right w:val="none" w:sz="0" w:space="0" w:color="auto"/>
              </w:divBdr>
              <w:divsChild>
                <w:div w:id="1431731637">
                  <w:marLeft w:val="0"/>
                  <w:marRight w:val="1"/>
                  <w:marTop w:val="0"/>
                  <w:marBottom w:val="0"/>
                  <w:divBdr>
                    <w:top w:val="none" w:sz="0" w:space="0" w:color="auto"/>
                    <w:left w:val="none" w:sz="0" w:space="0" w:color="auto"/>
                    <w:bottom w:val="none" w:sz="0" w:space="0" w:color="auto"/>
                    <w:right w:val="none" w:sz="0" w:space="0" w:color="auto"/>
                  </w:divBdr>
                  <w:divsChild>
                    <w:div w:id="1835149717">
                      <w:marLeft w:val="0"/>
                      <w:marRight w:val="0"/>
                      <w:marTop w:val="0"/>
                      <w:marBottom w:val="0"/>
                      <w:divBdr>
                        <w:top w:val="none" w:sz="0" w:space="0" w:color="auto"/>
                        <w:left w:val="none" w:sz="0" w:space="0" w:color="auto"/>
                        <w:bottom w:val="none" w:sz="0" w:space="0" w:color="auto"/>
                        <w:right w:val="none" w:sz="0" w:space="0" w:color="auto"/>
                      </w:divBdr>
                      <w:divsChild>
                        <w:div w:id="236404143">
                          <w:marLeft w:val="0"/>
                          <w:marRight w:val="0"/>
                          <w:marTop w:val="0"/>
                          <w:marBottom w:val="0"/>
                          <w:divBdr>
                            <w:top w:val="none" w:sz="0" w:space="0" w:color="auto"/>
                            <w:left w:val="none" w:sz="0" w:space="0" w:color="auto"/>
                            <w:bottom w:val="none" w:sz="0" w:space="0" w:color="auto"/>
                            <w:right w:val="none" w:sz="0" w:space="0" w:color="auto"/>
                          </w:divBdr>
                          <w:divsChild>
                            <w:div w:id="1753621487">
                              <w:marLeft w:val="0"/>
                              <w:marRight w:val="0"/>
                              <w:marTop w:val="120"/>
                              <w:marBottom w:val="360"/>
                              <w:divBdr>
                                <w:top w:val="none" w:sz="0" w:space="0" w:color="auto"/>
                                <w:left w:val="none" w:sz="0" w:space="0" w:color="auto"/>
                                <w:bottom w:val="none" w:sz="0" w:space="0" w:color="auto"/>
                                <w:right w:val="none" w:sz="0" w:space="0" w:color="auto"/>
                              </w:divBdr>
                              <w:divsChild>
                                <w:div w:id="50422513">
                                  <w:marLeft w:val="0"/>
                                  <w:marRight w:val="0"/>
                                  <w:marTop w:val="0"/>
                                  <w:marBottom w:val="0"/>
                                  <w:divBdr>
                                    <w:top w:val="none" w:sz="0" w:space="0" w:color="auto"/>
                                    <w:left w:val="none" w:sz="0" w:space="0" w:color="auto"/>
                                    <w:bottom w:val="none" w:sz="0" w:space="0" w:color="auto"/>
                                    <w:right w:val="none" w:sz="0" w:space="0" w:color="auto"/>
                                  </w:divBdr>
                                </w:div>
                                <w:div w:id="13175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594807">
      <w:bodyDiv w:val="1"/>
      <w:marLeft w:val="0"/>
      <w:marRight w:val="0"/>
      <w:marTop w:val="0"/>
      <w:marBottom w:val="0"/>
      <w:divBdr>
        <w:top w:val="none" w:sz="0" w:space="0" w:color="auto"/>
        <w:left w:val="none" w:sz="0" w:space="0" w:color="auto"/>
        <w:bottom w:val="none" w:sz="0" w:space="0" w:color="auto"/>
        <w:right w:val="none" w:sz="0" w:space="0" w:color="auto"/>
      </w:divBdr>
    </w:div>
    <w:div w:id="1536847844">
      <w:bodyDiv w:val="1"/>
      <w:marLeft w:val="0"/>
      <w:marRight w:val="0"/>
      <w:marTop w:val="0"/>
      <w:marBottom w:val="0"/>
      <w:divBdr>
        <w:top w:val="none" w:sz="0" w:space="0" w:color="auto"/>
        <w:left w:val="none" w:sz="0" w:space="0" w:color="auto"/>
        <w:bottom w:val="none" w:sz="0" w:space="0" w:color="auto"/>
        <w:right w:val="none" w:sz="0" w:space="0" w:color="auto"/>
      </w:divBdr>
      <w:divsChild>
        <w:div w:id="1840583523">
          <w:marLeft w:val="0"/>
          <w:marRight w:val="1"/>
          <w:marTop w:val="0"/>
          <w:marBottom w:val="0"/>
          <w:divBdr>
            <w:top w:val="none" w:sz="0" w:space="0" w:color="auto"/>
            <w:left w:val="none" w:sz="0" w:space="0" w:color="auto"/>
            <w:bottom w:val="none" w:sz="0" w:space="0" w:color="auto"/>
            <w:right w:val="none" w:sz="0" w:space="0" w:color="auto"/>
          </w:divBdr>
          <w:divsChild>
            <w:div w:id="1750544380">
              <w:marLeft w:val="0"/>
              <w:marRight w:val="0"/>
              <w:marTop w:val="0"/>
              <w:marBottom w:val="0"/>
              <w:divBdr>
                <w:top w:val="none" w:sz="0" w:space="0" w:color="auto"/>
                <w:left w:val="none" w:sz="0" w:space="0" w:color="auto"/>
                <w:bottom w:val="none" w:sz="0" w:space="0" w:color="auto"/>
                <w:right w:val="none" w:sz="0" w:space="0" w:color="auto"/>
              </w:divBdr>
              <w:divsChild>
                <w:div w:id="941687991">
                  <w:marLeft w:val="0"/>
                  <w:marRight w:val="1"/>
                  <w:marTop w:val="0"/>
                  <w:marBottom w:val="0"/>
                  <w:divBdr>
                    <w:top w:val="none" w:sz="0" w:space="0" w:color="auto"/>
                    <w:left w:val="none" w:sz="0" w:space="0" w:color="auto"/>
                    <w:bottom w:val="none" w:sz="0" w:space="0" w:color="auto"/>
                    <w:right w:val="none" w:sz="0" w:space="0" w:color="auto"/>
                  </w:divBdr>
                  <w:divsChild>
                    <w:div w:id="1395741363">
                      <w:marLeft w:val="0"/>
                      <w:marRight w:val="0"/>
                      <w:marTop w:val="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71894289">
                              <w:marLeft w:val="0"/>
                              <w:marRight w:val="0"/>
                              <w:marTop w:val="0"/>
                              <w:marBottom w:val="0"/>
                              <w:divBdr>
                                <w:top w:val="none" w:sz="0" w:space="0" w:color="auto"/>
                                <w:left w:val="none" w:sz="0" w:space="0" w:color="auto"/>
                                <w:bottom w:val="none" w:sz="0" w:space="0" w:color="auto"/>
                                <w:right w:val="none" w:sz="0" w:space="0" w:color="auto"/>
                              </w:divBdr>
                            </w:div>
                          </w:divsChild>
                        </w:div>
                        <w:div w:id="420684835">
                          <w:marLeft w:val="0"/>
                          <w:marRight w:val="0"/>
                          <w:marTop w:val="0"/>
                          <w:marBottom w:val="0"/>
                          <w:divBdr>
                            <w:top w:val="none" w:sz="0" w:space="0" w:color="auto"/>
                            <w:left w:val="none" w:sz="0" w:space="0" w:color="auto"/>
                            <w:bottom w:val="none" w:sz="0" w:space="0" w:color="auto"/>
                            <w:right w:val="none" w:sz="0" w:space="0" w:color="auto"/>
                          </w:divBdr>
                          <w:divsChild>
                            <w:div w:id="1607883636">
                              <w:marLeft w:val="0"/>
                              <w:marRight w:val="0"/>
                              <w:marTop w:val="120"/>
                              <w:marBottom w:val="360"/>
                              <w:divBdr>
                                <w:top w:val="none" w:sz="0" w:space="0" w:color="auto"/>
                                <w:left w:val="none" w:sz="0" w:space="0" w:color="auto"/>
                                <w:bottom w:val="none" w:sz="0" w:space="0" w:color="auto"/>
                                <w:right w:val="none" w:sz="0" w:space="0" w:color="auto"/>
                              </w:divBdr>
                              <w:divsChild>
                                <w:div w:id="1955550108">
                                  <w:marLeft w:val="0"/>
                                  <w:marRight w:val="0"/>
                                  <w:marTop w:val="0"/>
                                  <w:marBottom w:val="0"/>
                                  <w:divBdr>
                                    <w:top w:val="none" w:sz="0" w:space="0" w:color="auto"/>
                                    <w:left w:val="none" w:sz="0" w:space="0" w:color="auto"/>
                                    <w:bottom w:val="none" w:sz="0" w:space="0" w:color="auto"/>
                                    <w:right w:val="none" w:sz="0" w:space="0" w:color="auto"/>
                                  </w:divBdr>
                                </w:div>
                                <w:div w:id="5478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247883">
      <w:bodyDiv w:val="1"/>
      <w:marLeft w:val="0"/>
      <w:marRight w:val="0"/>
      <w:marTop w:val="0"/>
      <w:marBottom w:val="0"/>
      <w:divBdr>
        <w:top w:val="none" w:sz="0" w:space="0" w:color="auto"/>
        <w:left w:val="none" w:sz="0" w:space="0" w:color="auto"/>
        <w:bottom w:val="none" w:sz="0" w:space="0" w:color="auto"/>
        <w:right w:val="none" w:sz="0" w:space="0" w:color="auto"/>
      </w:divBdr>
      <w:divsChild>
        <w:div w:id="1258248894">
          <w:marLeft w:val="0"/>
          <w:marRight w:val="1"/>
          <w:marTop w:val="0"/>
          <w:marBottom w:val="0"/>
          <w:divBdr>
            <w:top w:val="none" w:sz="0" w:space="0" w:color="auto"/>
            <w:left w:val="none" w:sz="0" w:space="0" w:color="auto"/>
            <w:bottom w:val="none" w:sz="0" w:space="0" w:color="auto"/>
            <w:right w:val="none" w:sz="0" w:space="0" w:color="auto"/>
          </w:divBdr>
          <w:divsChild>
            <w:div w:id="2076198522">
              <w:marLeft w:val="0"/>
              <w:marRight w:val="0"/>
              <w:marTop w:val="0"/>
              <w:marBottom w:val="0"/>
              <w:divBdr>
                <w:top w:val="none" w:sz="0" w:space="0" w:color="auto"/>
                <w:left w:val="none" w:sz="0" w:space="0" w:color="auto"/>
                <w:bottom w:val="none" w:sz="0" w:space="0" w:color="auto"/>
                <w:right w:val="none" w:sz="0" w:space="0" w:color="auto"/>
              </w:divBdr>
              <w:divsChild>
                <w:div w:id="658773747">
                  <w:marLeft w:val="0"/>
                  <w:marRight w:val="1"/>
                  <w:marTop w:val="0"/>
                  <w:marBottom w:val="0"/>
                  <w:divBdr>
                    <w:top w:val="none" w:sz="0" w:space="0" w:color="auto"/>
                    <w:left w:val="none" w:sz="0" w:space="0" w:color="auto"/>
                    <w:bottom w:val="none" w:sz="0" w:space="0" w:color="auto"/>
                    <w:right w:val="none" w:sz="0" w:space="0" w:color="auto"/>
                  </w:divBdr>
                  <w:divsChild>
                    <w:div w:id="633951345">
                      <w:marLeft w:val="0"/>
                      <w:marRight w:val="0"/>
                      <w:marTop w:val="0"/>
                      <w:marBottom w:val="0"/>
                      <w:divBdr>
                        <w:top w:val="none" w:sz="0" w:space="0" w:color="auto"/>
                        <w:left w:val="none" w:sz="0" w:space="0" w:color="auto"/>
                        <w:bottom w:val="none" w:sz="0" w:space="0" w:color="auto"/>
                        <w:right w:val="none" w:sz="0" w:space="0" w:color="auto"/>
                      </w:divBdr>
                      <w:divsChild>
                        <w:div w:id="399906925">
                          <w:marLeft w:val="0"/>
                          <w:marRight w:val="0"/>
                          <w:marTop w:val="0"/>
                          <w:marBottom w:val="0"/>
                          <w:divBdr>
                            <w:top w:val="none" w:sz="0" w:space="0" w:color="auto"/>
                            <w:left w:val="none" w:sz="0" w:space="0" w:color="auto"/>
                            <w:bottom w:val="none" w:sz="0" w:space="0" w:color="auto"/>
                            <w:right w:val="none" w:sz="0" w:space="0" w:color="auto"/>
                          </w:divBdr>
                          <w:divsChild>
                            <w:div w:id="1193878741">
                              <w:marLeft w:val="0"/>
                              <w:marRight w:val="0"/>
                              <w:marTop w:val="120"/>
                              <w:marBottom w:val="360"/>
                              <w:divBdr>
                                <w:top w:val="none" w:sz="0" w:space="0" w:color="auto"/>
                                <w:left w:val="none" w:sz="0" w:space="0" w:color="auto"/>
                                <w:bottom w:val="none" w:sz="0" w:space="0" w:color="auto"/>
                                <w:right w:val="none" w:sz="0" w:space="0" w:color="auto"/>
                              </w:divBdr>
                              <w:divsChild>
                                <w:div w:id="587226555">
                                  <w:marLeft w:val="0"/>
                                  <w:marRight w:val="0"/>
                                  <w:marTop w:val="0"/>
                                  <w:marBottom w:val="0"/>
                                  <w:divBdr>
                                    <w:top w:val="none" w:sz="0" w:space="0" w:color="auto"/>
                                    <w:left w:val="none" w:sz="0" w:space="0" w:color="auto"/>
                                    <w:bottom w:val="none" w:sz="0" w:space="0" w:color="auto"/>
                                    <w:right w:val="none" w:sz="0" w:space="0" w:color="auto"/>
                                  </w:divBdr>
                                </w:div>
                                <w:div w:id="20055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068954">
      <w:bodyDiv w:val="1"/>
      <w:marLeft w:val="0"/>
      <w:marRight w:val="0"/>
      <w:marTop w:val="0"/>
      <w:marBottom w:val="0"/>
      <w:divBdr>
        <w:top w:val="none" w:sz="0" w:space="0" w:color="auto"/>
        <w:left w:val="none" w:sz="0" w:space="0" w:color="auto"/>
        <w:bottom w:val="none" w:sz="0" w:space="0" w:color="auto"/>
        <w:right w:val="none" w:sz="0" w:space="0" w:color="auto"/>
      </w:divBdr>
      <w:divsChild>
        <w:div w:id="1606576148">
          <w:marLeft w:val="0"/>
          <w:marRight w:val="1"/>
          <w:marTop w:val="0"/>
          <w:marBottom w:val="0"/>
          <w:divBdr>
            <w:top w:val="none" w:sz="0" w:space="0" w:color="auto"/>
            <w:left w:val="none" w:sz="0" w:space="0" w:color="auto"/>
            <w:bottom w:val="none" w:sz="0" w:space="0" w:color="auto"/>
            <w:right w:val="none" w:sz="0" w:space="0" w:color="auto"/>
          </w:divBdr>
          <w:divsChild>
            <w:div w:id="52194471">
              <w:marLeft w:val="0"/>
              <w:marRight w:val="0"/>
              <w:marTop w:val="0"/>
              <w:marBottom w:val="0"/>
              <w:divBdr>
                <w:top w:val="none" w:sz="0" w:space="0" w:color="auto"/>
                <w:left w:val="none" w:sz="0" w:space="0" w:color="auto"/>
                <w:bottom w:val="none" w:sz="0" w:space="0" w:color="auto"/>
                <w:right w:val="none" w:sz="0" w:space="0" w:color="auto"/>
              </w:divBdr>
              <w:divsChild>
                <w:div w:id="1890846787">
                  <w:marLeft w:val="0"/>
                  <w:marRight w:val="1"/>
                  <w:marTop w:val="0"/>
                  <w:marBottom w:val="0"/>
                  <w:divBdr>
                    <w:top w:val="none" w:sz="0" w:space="0" w:color="auto"/>
                    <w:left w:val="none" w:sz="0" w:space="0" w:color="auto"/>
                    <w:bottom w:val="none" w:sz="0" w:space="0" w:color="auto"/>
                    <w:right w:val="none" w:sz="0" w:space="0" w:color="auto"/>
                  </w:divBdr>
                  <w:divsChild>
                    <w:div w:id="721246197">
                      <w:marLeft w:val="0"/>
                      <w:marRight w:val="0"/>
                      <w:marTop w:val="0"/>
                      <w:marBottom w:val="0"/>
                      <w:divBdr>
                        <w:top w:val="none" w:sz="0" w:space="0" w:color="auto"/>
                        <w:left w:val="none" w:sz="0" w:space="0" w:color="auto"/>
                        <w:bottom w:val="none" w:sz="0" w:space="0" w:color="auto"/>
                        <w:right w:val="none" w:sz="0" w:space="0" w:color="auto"/>
                      </w:divBdr>
                      <w:divsChild>
                        <w:div w:id="898709506">
                          <w:marLeft w:val="0"/>
                          <w:marRight w:val="0"/>
                          <w:marTop w:val="0"/>
                          <w:marBottom w:val="0"/>
                          <w:divBdr>
                            <w:top w:val="none" w:sz="0" w:space="0" w:color="auto"/>
                            <w:left w:val="none" w:sz="0" w:space="0" w:color="auto"/>
                            <w:bottom w:val="none" w:sz="0" w:space="0" w:color="auto"/>
                            <w:right w:val="none" w:sz="0" w:space="0" w:color="auto"/>
                          </w:divBdr>
                          <w:divsChild>
                            <w:div w:id="1005859064">
                              <w:marLeft w:val="0"/>
                              <w:marRight w:val="0"/>
                              <w:marTop w:val="120"/>
                              <w:marBottom w:val="360"/>
                              <w:divBdr>
                                <w:top w:val="none" w:sz="0" w:space="0" w:color="auto"/>
                                <w:left w:val="none" w:sz="0" w:space="0" w:color="auto"/>
                                <w:bottom w:val="none" w:sz="0" w:space="0" w:color="auto"/>
                                <w:right w:val="none" w:sz="0" w:space="0" w:color="auto"/>
                              </w:divBdr>
                              <w:divsChild>
                                <w:div w:id="1250309657">
                                  <w:marLeft w:val="0"/>
                                  <w:marRight w:val="0"/>
                                  <w:marTop w:val="0"/>
                                  <w:marBottom w:val="0"/>
                                  <w:divBdr>
                                    <w:top w:val="none" w:sz="0" w:space="0" w:color="auto"/>
                                    <w:left w:val="none" w:sz="0" w:space="0" w:color="auto"/>
                                    <w:bottom w:val="none" w:sz="0" w:space="0" w:color="auto"/>
                                    <w:right w:val="none" w:sz="0" w:space="0" w:color="auto"/>
                                  </w:divBdr>
                                </w:div>
                                <w:div w:id="21036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05609">
      <w:bodyDiv w:val="1"/>
      <w:marLeft w:val="0"/>
      <w:marRight w:val="0"/>
      <w:marTop w:val="0"/>
      <w:marBottom w:val="0"/>
      <w:divBdr>
        <w:top w:val="none" w:sz="0" w:space="0" w:color="auto"/>
        <w:left w:val="none" w:sz="0" w:space="0" w:color="auto"/>
        <w:bottom w:val="none" w:sz="0" w:space="0" w:color="auto"/>
        <w:right w:val="none" w:sz="0" w:space="0" w:color="auto"/>
      </w:divBdr>
      <w:divsChild>
        <w:div w:id="18093567">
          <w:marLeft w:val="0"/>
          <w:marRight w:val="0"/>
          <w:marTop w:val="0"/>
          <w:marBottom w:val="0"/>
          <w:divBdr>
            <w:top w:val="none" w:sz="0" w:space="0" w:color="auto"/>
            <w:left w:val="none" w:sz="0" w:space="0" w:color="auto"/>
            <w:bottom w:val="none" w:sz="0" w:space="0" w:color="auto"/>
            <w:right w:val="none" w:sz="0" w:space="0" w:color="auto"/>
          </w:divBdr>
          <w:divsChild>
            <w:div w:id="264461899">
              <w:marLeft w:val="0"/>
              <w:marRight w:val="0"/>
              <w:marTop w:val="0"/>
              <w:marBottom w:val="0"/>
              <w:divBdr>
                <w:top w:val="none" w:sz="0" w:space="0" w:color="auto"/>
                <w:left w:val="none" w:sz="0" w:space="0" w:color="auto"/>
                <w:bottom w:val="none" w:sz="0" w:space="0" w:color="auto"/>
                <w:right w:val="none" w:sz="0" w:space="0" w:color="auto"/>
              </w:divBdr>
              <w:divsChild>
                <w:div w:id="1606496937">
                  <w:marLeft w:val="0"/>
                  <w:marRight w:val="0"/>
                  <w:marTop w:val="0"/>
                  <w:marBottom w:val="0"/>
                  <w:divBdr>
                    <w:top w:val="none" w:sz="0" w:space="0" w:color="auto"/>
                    <w:left w:val="none" w:sz="0" w:space="0" w:color="auto"/>
                    <w:bottom w:val="none" w:sz="0" w:space="0" w:color="auto"/>
                    <w:right w:val="none" w:sz="0" w:space="0" w:color="auto"/>
                  </w:divBdr>
                  <w:divsChild>
                    <w:div w:id="1120759238">
                      <w:marLeft w:val="0"/>
                      <w:marRight w:val="0"/>
                      <w:marTop w:val="0"/>
                      <w:marBottom w:val="0"/>
                      <w:divBdr>
                        <w:top w:val="none" w:sz="0" w:space="0" w:color="auto"/>
                        <w:left w:val="none" w:sz="0" w:space="0" w:color="auto"/>
                        <w:bottom w:val="none" w:sz="0" w:space="0" w:color="auto"/>
                        <w:right w:val="none" w:sz="0" w:space="0" w:color="auto"/>
                      </w:divBdr>
                      <w:divsChild>
                        <w:div w:id="749038885">
                          <w:marLeft w:val="0"/>
                          <w:marRight w:val="0"/>
                          <w:marTop w:val="0"/>
                          <w:marBottom w:val="0"/>
                          <w:divBdr>
                            <w:top w:val="none" w:sz="0" w:space="0" w:color="auto"/>
                            <w:left w:val="none" w:sz="0" w:space="0" w:color="auto"/>
                            <w:bottom w:val="none" w:sz="0" w:space="0" w:color="auto"/>
                            <w:right w:val="none" w:sz="0" w:space="0" w:color="auto"/>
                          </w:divBdr>
                          <w:divsChild>
                            <w:div w:id="1358627915">
                              <w:marLeft w:val="0"/>
                              <w:marRight w:val="0"/>
                              <w:marTop w:val="0"/>
                              <w:marBottom w:val="0"/>
                              <w:divBdr>
                                <w:top w:val="none" w:sz="0" w:space="0" w:color="auto"/>
                                <w:left w:val="none" w:sz="0" w:space="0" w:color="auto"/>
                                <w:bottom w:val="none" w:sz="0" w:space="0" w:color="auto"/>
                                <w:right w:val="none" w:sz="0" w:space="0" w:color="auto"/>
                              </w:divBdr>
                              <w:divsChild>
                                <w:div w:id="943263440">
                                  <w:marLeft w:val="0"/>
                                  <w:marRight w:val="0"/>
                                  <w:marTop w:val="0"/>
                                  <w:marBottom w:val="0"/>
                                  <w:divBdr>
                                    <w:top w:val="none" w:sz="0" w:space="0" w:color="auto"/>
                                    <w:left w:val="none" w:sz="0" w:space="0" w:color="auto"/>
                                    <w:bottom w:val="none" w:sz="0" w:space="0" w:color="auto"/>
                                    <w:right w:val="none" w:sz="0" w:space="0" w:color="auto"/>
                                  </w:divBdr>
                                  <w:divsChild>
                                    <w:div w:id="304087718">
                                      <w:marLeft w:val="0"/>
                                      <w:marRight w:val="0"/>
                                      <w:marTop w:val="0"/>
                                      <w:marBottom w:val="0"/>
                                      <w:divBdr>
                                        <w:top w:val="none" w:sz="0" w:space="0" w:color="auto"/>
                                        <w:left w:val="none" w:sz="0" w:space="0" w:color="auto"/>
                                        <w:bottom w:val="none" w:sz="0" w:space="0" w:color="auto"/>
                                        <w:right w:val="none" w:sz="0" w:space="0" w:color="auto"/>
                                      </w:divBdr>
                                    </w:div>
                                    <w:div w:id="2556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750650">
      <w:bodyDiv w:val="1"/>
      <w:marLeft w:val="0"/>
      <w:marRight w:val="0"/>
      <w:marTop w:val="0"/>
      <w:marBottom w:val="0"/>
      <w:divBdr>
        <w:top w:val="none" w:sz="0" w:space="0" w:color="auto"/>
        <w:left w:val="none" w:sz="0" w:space="0" w:color="auto"/>
        <w:bottom w:val="none" w:sz="0" w:space="0" w:color="auto"/>
        <w:right w:val="none" w:sz="0" w:space="0" w:color="auto"/>
      </w:divBdr>
    </w:div>
    <w:div w:id="1872569666">
      <w:bodyDiv w:val="1"/>
      <w:marLeft w:val="0"/>
      <w:marRight w:val="0"/>
      <w:marTop w:val="0"/>
      <w:marBottom w:val="0"/>
      <w:divBdr>
        <w:top w:val="none" w:sz="0" w:space="0" w:color="auto"/>
        <w:left w:val="none" w:sz="0" w:space="0" w:color="auto"/>
        <w:bottom w:val="none" w:sz="0" w:space="0" w:color="auto"/>
        <w:right w:val="none" w:sz="0" w:space="0" w:color="auto"/>
      </w:divBdr>
      <w:divsChild>
        <w:div w:id="1603343875">
          <w:marLeft w:val="0"/>
          <w:marRight w:val="1"/>
          <w:marTop w:val="0"/>
          <w:marBottom w:val="0"/>
          <w:divBdr>
            <w:top w:val="none" w:sz="0" w:space="0" w:color="auto"/>
            <w:left w:val="none" w:sz="0" w:space="0" w:color="auto"/>
            <w:bottom w:val="none" w:sz="0" w:space="0" w:color="auto"/>
            <w:right w:val="none" w:sz="0" w:space="0" w:color="auto"/>
          </w:divBdr>
          <w:divsChild>
            <w:div w:id="1104571048">
              <w:marLeft w:val="0"/>
              <w:marRight w:val="0"/>
              <w:marTop w:val="0"/>
              <w:marBottom w:val="0"/>
              <w:divBdr>
                <w:top w:val="none" w:sz="0" w:space="0" w:color="auto"/>
                <w:left w:val="none" w:sz="0" w:space="0" w:color="auto"/>
                <w:bottom w:val="none" w:sz="0" w:space="0" w:color="auto"/>
                <w:right w:val="none" w:sz="0" w:space="0" w:color="auto"/>
              </w:divBdr>
              <w:divsChild>
                <w:div w:id="672757606">
                  <w:marLeft w:val="0"/>
                  <w:marRight w:val="1"/>
                  <w:marTop w:val="0"/>
                  <w:marBottom w:val="0"/>
                  <w:divBdr>
                    <w:top w:val="none" w:sz="0" w:space="0" w:color="auto"/>
                    <w:left w:val="none" w:sz="0" w:space="0" w:color="auto"/>
                    <w:bottom w:val="none" w:sz="0" w:space="0" w:color="auto"/>
                    <w:right w:val="none" w:sz="0" w:space="0" w:color="auto"/>
                  </w:divBdr>
                  <w:divsChild>
                    <w:div w:id="1170607256">
                      <w:marLeft w:val="0"/>
                      <w:marRight w:val="0"/>
                      <w:marTop w:val="0"/>
                      <w:marBottom w:val="0"/>
                      <w:divBdr>
                        <w:top w:val="none" w:sz="0" w:space="0" w:color="auto"/>
                        <w:left w:val="none" w:sz="0" w:space="0" w:color="auto"/>
                        <w:bottom w:val="none" w:sz="0" w:space="0" w:color="auto"/>
                        <w:right w:val="none" w:sz="0" w:space="0" w:color="auto"/>
                      </w:divBdr>
                      <w:divsChild>
                        <w:div w:id="2001614361">
                          <w:marLeft w:val="0"/>
                          <w:marRight w:val="0"/>
                          <w:marTop w:val="0"/>
                          <w:marBottom w:val="0"/>
                          <w:divBdr>
                            <w:top w:val="none" w:sz="0" w:space="0" w:color="auto"/>
                            <w:left w:val="none" w:sz="0" w:space="0" w:color="auto"/>
                            <w:bottom w:val="none" w:sz="0" w:space="0" w:color="auto"/>
                            <w:right w:val="none" w:sz="0" w:space="0" w:color="auto"/>
                          </w:divBdr>
                          <w:divsChild>
                            <w:div w:id="727998911">
                              <w:marLeft w:val="0"/>
                              <w:marRight w:val="0"/>
                              <w:marTop w:val="0"/>
                              <w:marBottom w:val="0"/>
                              <w:divBdr>
                                <w:top w:val="none" w:sz="0" w:space="0" w:color="auto"/>
                                <w:left w:val="none" w:sz="0" w:space="0" w:color="auto"/>
                                <w:bottom w:val="none" w:sz="0" w:space="0" w:color="auto"/>
                                <w:right w:val="none" w:sz="0" w:space="0" w:color="auto"/>
                              </w:divBdr>
                            </w:div>
                          </w:divsChild>
                        </w:div>
                        <w:div w:id="1959069158">
                          <w:marLeft w:val="0"/>
                          <w:marRight w:val="0"/>
                          <w:marTop w:val="0"/>
                          <w:marBottom w:val="0"/>
                          <w:divBdr>
                            <w:top w:val="none" w:sz="0" w:space="0" w:color="auto"/>
                            <w:left w:val="none" w:sz="0" w:space="0" w:color="auto"/>
                            <w:bottom w:val="none" w:sz="0" w:space="0" w:color="auto"/>
                            <w:right w:val="none" w:sz="0" w:space="0" w:color="auto"/>
                          </w:divBdr>
                          <w:divsChild>
                            <w:div w:id="1462920495">
                              <w:marLeft w:val="0"/>
                              <w:marRight w:val="0"/>
                              <w:marTop w:val="120"/>
                              <w:marBottom w:val="360"/>
                              <w:divBdr>
                                <w:top w:val="none" w:sz="0" w:space="0" w:color="auto"/>
                                <w:left w:val="none" w:sz="0" w:space="0" w:color="auto"/>
                                <w:bottom w:val="none" w:sz="0" w:space="0" w:color="auto"/>
                                <w:right w:val="none" w:sz="0" w:space="0" w:color="auto"/>
                              </w:divBdr>
                              <w:divsChild>
                                <w:div w:id="1951164867">
                                  <w:marLeft w:val="0"/>
                                  <w:marRight w:val="0"/>
                                  <w:marTop w:val="0"/>
                                  <w:marBottom w:val="0"/>
                                  <w:divBdr>
                                    <w:top w:val="none" w:sz="0" w:space="0" w:color="auto"/>
                                    <w:left w:val="none" w:sz="0" w:space="0" w:color="auto"/>
                                    <w:bottom w:val="none" w:sz="0" w:space="0" w:color="auto"/>
                                    <w:right w:val="none" w:sz="0" w:space="0" w:color="auto"/>
                                  </w:divBdr>
                                </w:div>
                                <w:div w:id="19260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70707">
      <w:bodyDiv w:val="1"/>
      <w:marLeft w:val="0"/>
      <w:marRight w:val="0"/>
      <w:marTop w:val="0"/>
      <w:marBottom w:val="0"/>
      <w:divBdr>
        <w:top w:val="none" w:sz="0" w:space="0" w:color="auto"/>
        <w:left w:val="none" w:sz="0" w:space="0" w:color="auto"/>
        <w:bottom w:val="none" w:sz="0" w:space="0" w:color="auto"/>
        <w:right w:val="none" w:sz="0" w:space="0" w:color="auto"/>
      </w:divBdr>
      <w:divsChild>
        <w:div w:id="671183739">
          <w:marLeft w:val="0"/>
          <w:marRight w:val="0"/>
          <w:marTop w:val="0"/>
          <w:marBottom w:val="0"/>
          <w:divBdr>
            <w:top w:val="none" w:sz="0" w:space="0" w:color="auto"/>
            <w:left w:val="none" w:sz="0" w:space="0" w:color="auto"/>
            <w:bottom w:val="none" w:sz="0" w:space="0" w:color="auto"/>
            <w:right w:val="none" w:sz="0" w:space="0" w:color="auto"/>
          </w:divBdr>
          <w:divsChild>
            <w:div w:id="800925690">
              <w:marLeft w:val="0"/>
              <w:marRight w:val="0"/>
              <w:marTop w:val="0"/>
              <w:marBottom w:val="0"/>
              <w:divBdr>
                <w:top w:val="none" w:sz="0" w:space="0" w:color="auto"/>
                <w:left w:val="none" w:sz="0" w:space="0" w:color="auto"/>
                <w:bottom w:val="none" w:sz="0" w:space="0" w:color="auto"/>
                <w:right w:val="none" w:sz="0" w:space="0" w:color="auto"/>
              </w:divBdr>
              <w:divsChild>
                <w:div w:id="838274250">
                  <w:marLeft w:val="0"/>
                  <w:marRight w:val="0"/>
                  <w:marTop w:val="0"/>
                  <w:marBottom w:val="0"/>
                  <w:divBdr>
                    <w:top w:val="none" w:sz="0" w:space="0" w:color="auto"/>
                    <w:left w:val="none" w:sz="0" w:space="0" w:color="auto"/>
                    <w:bottom w:val="none" w:sz="0" w:space="0" w:color="auto"/>
                    <w:right w:val="none" w:sz="0" w:space="0" w:color="auto"/>
                  </w:divBdr>
                  <w:divsChild>
                    <w:div w:id="65034541">
                      <w:marLeft w:val="0"/>
                      <w:marRight w:val="0"/>
                      <w:marTop w:val="0"/>
                      <w:marBottom w:val="0"/>
                      <w:divBdr>
                        <w:top w:val="none" w:sz="0" w:space="0" w:color="auto"/>
                        <w:left w:val="none" w:sz="0" w:space="0" w:color="auto"/>
                        <w:bottom w:val="none" w:sz="0" w:space="0" w:color="auto"/>
                        <w:right w:val="none" w:sz="0" w:space="0" w:color="auto"/>
                      </w:divBdr>
                      <w:divsChild>
                        <w:div w:id="2132704572">
                          <w:marLeft w:val="0"/>
                          <w:marRight w:val="0"/>
                          <w:marTop w:val="0"/>
                          <w:marBottom w:val="0"/>
                          <w:divBdr>
                            <w:top w:val="none" w:sz="0" w:space="0" w:color="auto"/>
                            <w:left w:val="none" w:sz="0" w:space="0" w:color="auto"/>
                            <w:bottom w:val="none" w:sz="0" w:space="0" w:color="auto"/>
                            <w:right w:val="none" w:sz="0" w:space="0" w:color="auto"/>
                          </w:divBdr>
                          <w:divsChild>
                            <w:div w:id="63528393">
                              <w:marLeft w:val="0"/>
                              <w:marRight w:val="0"/>
                              <w:marTop w:val="0"/>
                              <w:marBottom w:val="0"/>
                              <w:divBdr>
                                <w:top w:val="none" w:sz="0" w:space="0" w:color="auto"/>
                                <w:left w:val="none" w:sz="0" w:space="0" w:color="auto"/>
                                <w:bottom w:val="none" w:sz="0" w:space="0" w:color="auto"/>
                                <w:right w:val="none" w:sz="0" w:space="0" w:color="auto"/>
                              </w:divBdr>
                              <w:divsChild>
                                <w:div w:id="1395272894">
                                  <w:marLeft w:val="0"/>
                                  <w:marRight w:val="0"/>
                                  <w:marTop w:val="0"/>
                                  <w:marBottom w:val="0"/>
                                  <w:divBdr>
                                    <w:top w:val="none" w:sz="0" w:space="0" w:color="auto"/>
                                    <w:left w:val="none" w:sz="0" w:space="0" w:color="auto"/>
                                    <w:bottom w:val="none" w:sz="0" w:space="0" w:color="auto"/>
                                    <w:right w:val="none" w:sz="0" w:space="0" w:color="auto"/>
                                  </w:divBdr>
                                  <w:divsChild>
                                    <w:div w:id="633028201">
                                      <w:marLeft w:val="0"/>
                                      <w:marRight w:val="0"/>
                                      <w:marTop w:val="0"/>
                                      <w:marBottom w:val="0"/>
                                      <w:divBdr>
                                        <w:top w:val="none" w:sz="0" w:space="0" w:color="auto"/>
                                        <w:left w:val="none" w:sz="0" w:space="0" w:color="auto"/>
                                        <w:bottom w:val="none" w:sz="0" w:space="0" w:color="auto"/>
                                        <w:right w:val="none" w:sz="0" w:space="0" w:color="auto"/>
                                      </w:divBdr>
                                      <w:divsChild>
                                        <w:div w:id="560751977">
                                          <w:marLeft w:val="0"/>
                                          <w:marRight w:val="0"/>
                                          <w:marTop w:val="0"/>
                                          <w:marBottom w:val="0"/>
                                          <w:divBdr>
                                            <w:top w:val="none" w:sz="0" w:space="0" w:color="auto"/>
                                            <w:left w:val="none" w:sz="0" w:space="0" w:color="auto"/>
                                            <w:bottom w:val="none" w:sz="0" w:space="0" w:color="auto"/>
                                            <w:right w:val="none" w:sz="0" w:space="0" w:color="auto"/>
                                          </w:divBdr>
                                          <w:divsChild>
                                            <w:div w:id="4986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45"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ntTable" Target="fontTable.xml"/><Relationship Id="rId4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EBB64-5C4B-4ABD-9196-F335ECB9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Evidence-based Practice Center Systematic Review Protocol</vt:lpstr>
    </vt:vector>
  </TitlesOfParts>
  <Company>DHHS</Company>
  <LinksUpToDate>false</LinksUpToDate>
  <CharactersWithSpaces>17448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Practice Center Systematic Review Protocol</dc:title>
  <dc:creator>margaret.coopey</dc:creator>
  <cp:lastModifiedBy>Venture</cp:lastModifiedBy>
  <cp:revision>4</cp:revision>
  <cp:lastPrinted>2015-11-08T13:50:00Z</cp:lastPrinted>
  <dcterms:created xsi:type="dcterms:W3CDTF">2015-12-26T05:48:00Z</dcterms:created>
  <dcterms:modified xsi:type="dcterms:W3CDTF">2015-12-29T04:02:00Z</dcterms:modified>
</cp:coreProperties>
</file>