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ACFD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Table D-8.</w:t>
      </w:r>
      <w:proofErr w:type="gramEnd"/>
      <w:r>
        <w:rPr>
          <w:rFonts w:ascii="Arial" w:hAnsi="Arial" w:cs="Arial"/>
        </w:rPr>
        <w:t xml:space="preserve"> Evidence table for studies addressing management of PPH (Park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B07F1D" w14:paraId="11DE3BD2" w14:textId="77777777" w:rsidTr="009F3B45">
        <w:trPr>
          <w:tblHeader/>
        </w:trPr>
        <w:tc>
          <w:tcPr>
            <w:tcW w:w="1559" w:type="dxa"/>
            <w:shd w:val="clear" w:color="auto" w:fill="auto"/>
            <w:vAlign w:val="center"/>
          </w:tcPr>
          <w:p w14:paraId="2F4F3CC1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DDA7F99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25DCF00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3DAF23E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718BF3AF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1108580" w14:textId="77777777" w:rsidR="009F3B45" w:rsidRPr="00B07F1D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B07F1D" w14:paraId="0AF7D67D" w14:textId="77777777" w:rsidTr="009F3B45">
        <w:trPr>
          <w:trHeight w:val="600"/>
        </w:trPr>
        <w:tc>
          <w:tcPr>
            <w:tcW w:w="1559" w:type="dxa"/>
            <w:shd w:val="clear" w:color="auto" w:fill="auto"/>
          </w:tcPr>
          <w:p w14:paraId="15A9A33C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27E7F443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Park et al., </w:t>
            </w:r>
          </w:p>
          <w:p w14:paraId="0892826A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PEVuZE5vdGU+PENpdGU+PFJlY051bT4yMDIzMjwvUmVjTnVtPjxEaXNwbGF5VGV4dD48c3R5bGUg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PEVuZE5vdGU+PENpdGU+PFJlY051bT4yMDIzMjwvUmVjTnVtPjxEaXNwbGF5VGV4dD48c3R5bGUg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77A1C856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148F956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S. Korea</w:t>
            </w:r>
          </w:p>
          <w:p w14:paraId="6363B4E2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031F36D8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January 2000 to December 2012</w:t>
            </w:r>
          </w:p>
          <w:p w14:paraId="5F87AFCB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736FE8D8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7449F1B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989339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0E549EF8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Tertiary care</w:t>
            </w:r>
          </w:p>
          <w:p w14:paraId="5F63387A" w14:textId="77777777" w:rsidR="009F3B45" w:rsidRPr="00B07F1D" w:rsidRDefault="009F3B45" w:rsidP="009F3B45">
            <w:pPr>
              <w:spacing w:before="120"/>
              <w:rPr>
                <w:rFonts w:ascii="Arial Bold" w:hAnsi="Arial Bold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Funding: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C7A9CD9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06E02CB1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Retrospective case series</w:t>
            </w:r>
          </w:p>
          <w:p w14:paraId="611F3F84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D49428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4476E8" w14:textId="77777777" w:rsidR="009F3B45" w:rsidRPr="00B07F1D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1927AD8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1B7FA522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Transcatheter</w:t>
            </w:r>
            <w:proofErr w:type="spellEnd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arterial embolization performed by interventional radiologists to treat secondary PPH </w:t>
            </w:r>
          </w:p>
          <w:p w14:paraId="0AEEDC27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08806CA2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Embolization</w:t>
            </w:r>
          </w:p>
          <w:p w14:paraId="41D439A0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Successful</w:t>
            </w:r>
          </w:p>
          <w:p w14:paraId="05B38080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Failed</w:t>
            </w:r>
          </w:p>
          <w:p w14:paraId="52556C04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N: </w:t>
            </w:r>
          </w:p>
          <w:p w14:paraId="321DB42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52</w:t>
            </w:r>
          </w:p>
          <w:p w14:paraId="38957983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47</w:t>
            </w:r>
          </w:p>
          <w:p w14:paraId="596370A7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  <w:p w14:paraId="56E59D3E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1CE46EA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1834E5C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Obstetric maneuvers used to control hemorrhage d uterine massage, uterine packing, administration of </w:t>
            </w: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uterotonic</w:t>
            </w:r>
            <w:proofErr w:type="spellEnd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agents, and surgical intervention (</w:t>
            </w: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inspection and repair of lower genital tract tears, manual exploration of uterine cavity, uterine suturing, and uterine artery ligation or hysterectomy).</w:t>
            </w:r>
          </w:p>
          <w:p w14:paraId="4561E09C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6F29B8F" w14:textId="77777777" w:rsidR="009F3B45" w:rsidRPr="00B07F1D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3446A374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intractable secondary PPH: </w:t>
            </w:r>
          </w:p>
          <w:p w14:paraId="14F95F34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Continuous vaginal bleeding despite medical management, including administration of intravenous fluid, transfusion, or </w:t>
            </w: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uterotonic</w:t>
            </w:r>
            <w:proofErr w:type="spellEnd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agents</w:t>
            </w:r>
          </w:p>
          <w:p w14:paraId="3DC5FAFF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3AEFCF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Definition of success of treatment: </w:t>
            </w:r>
          </w:p>
          <w:p w14:paraId="430EDCF9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Clinical success defined as cessation of bleeding after TAE with no further management such as repeat TAE or additional surgery during the hospital stay</w:t>
            </w:r>
          </w:p>
          <w:p w14:paraId="2C401134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0BC14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89C09FB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7BD4C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665E1A7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1D8EA3BA" w14:textId="77777777" w:rsidR="009F3B45" w:rsidRPr="00B07F1D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Patients who underwent TAE for secondary PPH at single institution between Jan 2000 to Dec 2012</w:t>
            </w:r>
          </w:p>
          <w:p w14:paraId="042BEB2B" w14:textId="77777777" w:rsidR="009F3B45" w:rsidRPr="00B07F1D" w:rsidRDefault="009F3B45" w:rsidP="009F3B45">
            <w:pPr>
              <w:spacing w:before="120"/>
              <w:rPr>
                <w:rFonts w:ascii="Arial Bold" w:hAnsi="Arial Bold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3E986DF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(range):</w:t>
            </w:r>
          </w:p>
          <w:p w14:paraId="50E7DFF8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31.6 (25-40)</w:t>
            </w:r>
          </w:p>
          <w:p w14:paraId="6A880774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 (%): </w:t>
            </w:r>
          </w:p>
          <w:p w14:paraId="7F92EF96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</w:p>
          <w:p w14:paraId="42FE56C3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35 (67.3)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25347B0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Multiparous</w:t>
            </w:r>
          </w:p>
          <w:p w14:paraId="3FF20467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17 (32.7)</w:t>
            </w:r>
          </w:p>
          <w:p w14:paraId="429FB89D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A26AC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n (%):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D2A3A79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121152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pregnancy, n (%):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82F36B4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6526EE8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3759A1E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A63097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FA2D377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497686E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F8E0286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Baseline hemoglobin: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03C238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93EBBA1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6B0EECC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 (%): 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3CC5E3BF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34 (65.4)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EBEF5D9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4EEA490B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(34.6)</w:t>
            </w:r>
          </w:p>
          <w:p w14:paraId="0D010237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n: </w:t>
            </w:r>
          </w:p>
          <w:p w14:paraId="7ABEBBF0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History of cesarean</w:t>
            </w:r>
          </w:p>
          <w:p w14:paraId="023CDCB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</w:p>
          <w:p w14:paraId="73EC8CAE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DDE97F" w14:textId="77777777" w:rsidR="009F3B45" w:rsidRPr="00B07F1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n:  </w:t>
            </w:r>
          </w:p>
          <w:p w14:paraId="60538853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Retained placenta</w:t>
            </w:r>
          </w:p>
          <w:p w14:paraId="7FA1B429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23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898B31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Placental anomaly</w:t>
            </w:r>
          </w:p>
          <w:p w14:paraId="2CADD236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661B64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Placental accreta/increta</w:t>
            </w:r>
          </w:p>
          <w:p w14:paraId="1F35808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6290938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previa</w:t>
            </w:r>
          </w:p>
          <w:p w14:paraId="5F78B61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EEDA4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Uterine AVM</w:t>
            </w:r>
          </w:p>
          <w:p w14:paraId="4A39105D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A35A491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Rupture or injury of uterine artery</w:t>
            </w:r>
          </w:p>
          <w:p w14:paraId="46F70DE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EDDAF8A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</w:t>
            </w: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subinvolution</w:t>
            </w:r>
            <w:proofErr w:type="spellEnd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69A3F954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2A0EE32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Trauma (cervical laceration)</w:t>
            </w:r>
          </w:p>
          <w:p w14:paraId="02DED679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  <w:t>Coagulopathy (maternal ITP)</w:t>
            </w:r>
          </w:p>
          <w:p w14:paraId="39D69F6C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AEC64E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Unknown</w:t>
            </w:r>
          </w:p>
          <w:p w14:paraId="40FA8789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3870" w:type="dxa"/>
            <w:shd w:val="clear" w:color="auto" w:fill="auto"/>
          </w:tcPr>
          <w:p w14:paraId="662E6D81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Successful control of bleeding n, (%): 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G1: 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>47/52 (90.4)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Harms pre-specified: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Classified as major vs. minor using Society of Interventional Radiology guidelines</w:t>
            </w:r>
          </w:p>
          <w:p w14:paraId="1E2BECCB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Harms, n: </w:t>
            </w: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Procedure related complications </w:t>
            </w:r>
          </w:p>
          <w:p w14:paraId="1627F60D" w14:textId="77777777" w:rsidR="009F3B45" w:rsidRPr="00B07F1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B07F1D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1616FD15" w14:textId="77777777" w:rsidR="009F3B45" w:rsidRPr="00B07F1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1080BF" w14:textId="77777777" w:rsidR="00D45DD8" w:rsidRDefault="00D45DD8" w:rsidP="00B60E83"/>
    <w:sectPr w:rsidR="00D45DD8" w:rsidSect="007D6B69">
      <w:footerReference w:type="default" r:id="rId9"/>
      <w:pgSz w:w="15840" w:h="12240" w:orient="landscape"/>
      <w:pgMar w:top="1800" w:right="1440" w:bottom="1800" w:left="1440" w:header="720" w:footer="720" w:gutter="0"/>
      <w:pgNumType w:start="2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F3A7F" w14:textId="77777777" w:rsidR="004C13A6" w:rsidRDefault="004C13A6">
      <w:r>
        <w:separator/>
      </w:r>
    </w:p>
  </w:endnote>
  <w:endnote w:type="continuationSeparator" w:id="0">
    <w:p w14:paraId="7F01DA09" w14:textId="77777777" w:rsidR="004C13A6" w:rsidRDefault="004C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2B6AEE01" w:rsidR="00F822E3" w:rsidRDefault="007D6B69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22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DBF37" w14:textId="77777777" w:rsidR="004C13A6" w:rsidRDefault="004C13A6">
      <w:r>
        <w:separator/>
      </w:r>
    </w:p>
  </w:footnote>
  <w:footnote w:type="continuationSeparator" w:id="0">
    <w:p w14:paraId="0B067DCB" w14:textId="77777777" w:rsidR="004C13A6" w:rsidRDefault="004C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13A6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6B69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0E83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D0BB-7602-4E8E-A6AF-D1EEB8E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2015-05-08T07:48:00Z</dcterms:modified>
</cp:coreProperties>
</file>