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D1" w:rsidRPr="00F00738" w:rsidRDefault="00D702D1" w:rsidP="00223CEC">
      <w:pPr>
        <w:pStyle w:val="TableTitle"/>
      </w:pPr>
      <w:r w:rsidRPr="00F00738">
        <w:t>Table B</w:t>
      </w:r>
      <w:r>
        <w:t>-2</w:t>
      </w:r>
      <w:r w:rsidRPr="00F00738">
        <w:t>. Comparative study design and patient characteristics</w:t>
      </w:r>
    </w:p>
    <w:tbl>
      <w:tblPr>
        <w:tblStyle w:val="LightGrid-Accent5"/>
        <w:tblW w:w="5000" w:type="pct"/>
        <w:tblCellMar>
          <w:left w:w="29" w:type="dxa"/>
          <w:right w:w="29" w:type="dxa"/>
        </w:tblCellMar>
        <w:tblLook w:val="04A0"/>
      </w:tblPr>
      <w:tblGrid>
        <w:gridCol w:w="1297"/>
        <w:gridCol w:w="1309"/>
        <w:gridCol w:w="1296"/>
        <w:gridCol w:w="1309"/>
        <w:gridCol w:w="1307"/>
        <w:gridCol w:w="1309"/>
        <w:gridCol w:w="1284"/>
        <w:gridCol w:w="1284"/>
        <w:gridCol w:w="1312"/>
        <w:gridCol w:w="1311"/>
      </w:tblGrid>
      <w:tr w:rsidR="00D702D1" w:rsidRPr="00605485" w:rsidTr="00C63C28">
        <w:trPr>
          <w:cnfStyle w:val="100000000000"/>
          <w:cantSplit/>
          <w:tblHeader/>
        </w:trPr>
        <w:tc>
          <w:tcPr>
            <w:cnfStyle w:val="001000000000"/>
            <w:tcW w:w="1297" w:type="dxa"/>
          </w:tcPr>
          <w:p w:rsidR="00D702D1" w:rsidRPr="00605485" w:rsidRDefault="00D702D1" w:rsidP="008268AA">
            <w:pPr>
              <w:pStyle w:val="TableColumnHead"/>
            </w:pPr>
            <w:r w:rsidRPr="00605485">
              <w:t>Study (year)</w:t>
            </w:r>
          </w:p>
        </w:tc>
        <w:tc>
          <w:tcPr>
            <w:tcW w:w="1309" w:type="dxa"/>
          </w:tcPr>
          <w:p w:rsidR="00D702D1" w:rsidRPr="00605485" w:rsidRDefault="00D702D1" w:rsidP="008268AA">
            <w:pPr>
              <w:pStyle w:val="TableColumnHead"/>
              <w:cnfStyle w:val="100000000000"/>
            </w:pPr>
            <w:r w:rsidRPr="00605485">
              <w:t>Study design</w:t>
            </w:r>
          </w:p>
          <w:p w:rsidR="00D702D1" w:rsidRPr="00605485" w:rsidRDefault="00D702D1" w:rsidP="00B20085">
            <w:pPr>
              <w:pStyle w:val="TableColumnHead"/>
              <w:cnfStyle w:val="100000000000"/>
            </w:pPr>
            <w:r w:rsidRPr="00605485">
              <w:t>(USPSTF rating)</w:t>
            </w:r>
          </w:p>
        </w:tc>
        <w:tc>
          <w:tcPr>
            <w:tcW w:w="1296" w:type="dxa"/>
          </w:tcPr>
          <w:p w:rsidR="00D702D1" w:rsidRPr="00605485" w:rsidRDefault="00D702D1" w:rsidP="00B20085">
            <w:pPr>
              <w:pStyle w:val="TableColumnHead"/>
              <w:cnfStyle w:val="100000000000"/>
            </w:pPr>
            <w:r w:rsidRPr="00605485">
              <w:t>RT modalities (n)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ColumnHead"/>
              <w:cnfStyle w:val="100000000000"/>
            </w:pPr>
            <w:r w:rsidRPr="00605485">
              <w:t>Treatment setting</w:t>
            </w:r>
          </w:p>
        </w:tc>
        <w:tc>
          <w:tcPr>
            <w:tcW w:w="1307" w:type="dxa"/>
          </w:tcPr>
          <w:p w:rsidR="00D702D1" w:rsidRPr="00605485" w:rsidRDefault="00D702D1" w:rsidP="00B20085">
            <w:pPr>
              <w:pStyle w:val="TableColumnHead"/>
              <w:cnfStyle w:val="100000000000"/>
            </w:pPr>
            <w:r w:rsidRPr="00605485">
              <w:t>Tumor setting</w:t>
            </w:r>
          </w:p>
        </w:tc>
        <w:tc>
          <w:tcPr>
            <w:tcW w:w="1309" w:type="dxa"/>
          </w:tcPr>
          <w:p w:rsidR="00D702D1" w:rsidRPr="00605485" w:rsidRDefault="00D702D1" w:rsidP="008268AA">
            <w:pPr>
              <w:pStyle w:val="TableColumnHead"/>
              <w:cnfStyle w:val="100000000000"/>
            </w:pPr>
            <w:r w:rsidRPr="00605485">
              <w:t>Age</w:t>
            </w:r>
          </w:p>
        </w:tc>
        <w:tc>
          <w:tcPr>
            <w:tcW w:w="1284" w:type="dxa"/>
          </w:tcPr>
          <w:p w:rsidR="00D702D1" w:rsidRPr="00605485" w:rsidRDefault="00D702D1" w:rsidP="008268AA">
            <w:pPr>
              <w:pStyle w:val="TableColumnHead"/>
              <w:cnfStyle w:val="100000000000"/>
            </w:pPr>
            <w:r w:rsidRPr="00605485">
              <w:t>Sex</w:t>
            </w:r>
          </w:p>
        </w:tc>
        <w:tc>
          <w:tcPr>
            <w:tcW w:w="1284" w:type="dxa"/>
          </w:tcPr>
          <w:p w:rsidR="00D702D1" w:rsidRPr="00605485" w:rsidRDefault="00D702D1" w:rsidP="00B20085">
            <w:pPr>
              <w:pStyle w:val="TableColumnHead"/>
              <w:cnfStyle w:val="100000000000"/>
            </w:pPr>
            <w:r w:rsidRPr="00605485">
              <w:t>AJCC stage</w:t>
            </w:r>
          </w:p>
        </w:tc>
        <w:tc>
          <w:tcPr>
            <w:tcW w:w="1312" w:type="dxa"/>
          </w:tcPr>
          <w:p w:rsidR="00D702D1" w:rsidRPr="00605485" w:rsidRDefault="00D702D1" w:rsidP="00B20085">
            <w:pPr>
              <w:pStyle w:val="TableColumnHead"/>
              <w:cnfStyle w:val="100000000000"/>
            </w:pPr>
            <w:r w:rsidRPr="00605485">
              <w:t>T classification</w:t>
            </w:r>
          </w:p>
        </w:tc>
        <w:tc>
          <w:tcPr>
            <w:tcW w:w="1311" w:type="dxa"/>
          </w:tcPr>
          <w:p w:rsidR="00D702D1" w:rsidRPr="00605485" w:rsidRDefault="00D702D1" w:rsidP="00B20085">
            <w:pPr>
              <w:pStyle w:val="TableColumnHead"/>
              <w:cnfStyle w:val="100000000000"/>
            </w:pPr>
            <w:r w:rsidRPr="00605485">
              <w:t>N classification</w:t>
            </w:r>
          </w:p>
        </w:tc>
      </w:tr>
      <w:tr w:rsidR="00D702D1" w:rsidRPr="00605485" w:rsidTr="00C63C28">
        <w:trPr>
          <w:cnfStyle w:val="000000100000"/>
          <w:cantSplit/>
        </w:trPr>
        <w:tc>
          <w:tcPr>
            <w:cnfStyle w:val="001000000000"/>
            <w:tcW w:w="1297" w:type="dxa"/>
          </w:tcPr>
          <w:p w:rsidR="00D702D1" w:rsidRPr="00605485" w:rsidRDefault="00D702D1" w:rsidP="00B20085">
            <w:pPr>
              <w:pStyle w:val="TableText"/>
              <w:rPr>
                <w:b w:val="0"/>
              </w:rPr>
            </w:pPr>
            <w:r w:rsidRPr="00605485">
              <w:t xml:space="preserve">Gupta </w:t>
            </w:r>
          </w:p>
          <w:p w:rsidR="00D702D1" w:rsidRPr="00605485" w:rsidRDefault="00D702D1" w:rsidP="00605485">
            <w:pPr>
              <w:pStyle w:val="TableText"/>
              <w:rPr>
                <w:b w:val="0"/>
              </w:rPr>
            </w:pPr>
            <w:r w:rsidRPr="00605485">
              <w:t>(2012)</w:t>
            </w:r>
            <w:r w:rsidR="00605485" w:rsidRPr="00605485">
              <w:rPr>
                <w:vertAlign w:val="superscript"/>
              </w:rPr>
              <w:t>1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RCT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(fair)</w:t>
            </w:r>
          </w:p>
        </w:tc>
        <w:tc>
          <w:tcPr>
            <w:tcW w:w="1296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3DCRT (28)</w:t>
            </w:r>
          </w:p>
          <w:p w:rsidR="00D702D1" w:rsidRPr="00605485" w:rsidRDefault="00D702D1" w:rsidP="005541F4">
            <w:pPr>
              <w:pStyle w:val="TableText"/>
              <w:cnfStyle w:val="000000100000"/>
            </w:pPr>
            <w:r w:rsidRPr="00605485">
              <w:t>IMRT (32)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CCRT</w:t>
            </w:r>
          </w:p>
        </w:tc>
        <w:tc>
          <w:tcPr>
            <w:tcW w:w="1307" w:type="dxa"/>
          </w:tcPr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Hypopharynx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3DCRT: 29%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IMRT: 28%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Larynx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3DCRT: 18%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IMRT: 19%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Oropharynx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3DCRT: 53%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IMRT: 53%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Median 55 years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(range 33-65 years)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Median 51 years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(range 31-65 years)</w:t>
            </w:r>
          </w:p>
        </w:tc>
        <w:tc>
          <w:tcPr>
            <w:tcW w:w="1284" w:type="dxa"/>
          </w:tcPr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89% Male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11% Female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91% Male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9% Female</w:t>
            </w:r>
          </w:p>
        </w:tc>
        <w:tc>
          <w:tcPr>
            <w:tcW w:w="1284" w:type="dxa"/>
          </w:tcPr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18% I-II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50% III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32% IV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22% I-II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50% III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28% IV</w:t>
            </w:r>
          </w:p>
        </w:tc>
        <w:tc>
          <w:tcPr>
            <w:tcW w:w="1312" w:type="dxa"/>
          </w:tcPr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43% T1-T2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57% T3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44% T1-T2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56% T3</w:t>
            </w:r>
          </w:p>
        </w:tc>
        <w:tc>
          <w:tcPr>
            <w:tcW w:w="1311" w:type="dxa"/>
          </w:tcPr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68% N0-N1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32% N2a-b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66% N0-N1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34% N2a-b</w:t>
            </w:r>
          </w:p>
        </w:tc>
      </w:tr>
      <w:tr w:rsidR="00D702D1" w:rsidRPr="00605485" w:rsidTr="00C63C28">
        <w:trPr>
          <w:cnfStyle w:val="000000010000"/>
          <w:cantSplit/>
        </w:trPr>
        <w:tc>
          <w:tcPr>
            <w:cnfStyle w:val="001000000000"/>
            <w:tcW w:w="1297" w:type="dxa"/>
          </w:tcPr>
          <w:p w:rsidR="00D702D1" w:rsidRPr="00C63C28" w:rsidRDefault="00D702D1" w:rsidP="00605485">
            <w:pPr>
              <w:pStyle w:val="TableText"/>
            </w:pPr>
            <w:r w:rsidRPr="00605485">
              <w:t>Rathod (2013)</w:t>
            </w:r>
            <w:r w:rsidR="00605485" w:rsidRPr="00605485">
              <w:rPr>
                <w:vertAlign w:val="superscript"/>
              </w:rPr>
              <w:t>2</w:t>
            </w:r>
          </w:p>
        </w:tc>
        <w:tc>
          <w:tcPr>
            <w:tcW w:w="1309" w:type="dxa"/>
          </w:tcPr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RCT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(fair)</w:t>
            </w:r>
          </w:p>
        </w:tc>
        <w:tc>
          <w:tcPr>
            <w:tcW w:w="1296" w:type="dxa"/>
          </w:tcPr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3DCRT (28)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IMRT (32)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CCRT</w:t>
            </w:r>
          </w:p>
        </w:tc>
        <w:tc>
          <w:tcPr>
            <w:tcW w:w="1307" w:type="dxa"/>
          </w:tcPr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Hypopharynx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3DCRT: 29%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IMRT: 28%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Larynx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3DCRT: 18%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IMRT: 19%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Oropharynx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3DCRT: 53%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IMRT: 53%</w:t>
            </w:r>
          </w:p>
        </w:tc>
        <w:tc>
          <w:tcPr>
            <w:tcW w:w="1309" w:type="dxa"/>
          </w:tcPr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Median 55 years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(range 33-65 years)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Median 51 years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(range 31-65 years)</w:t>
            </w:r>
          </w:p>
        </w:tc>
        <w:tc>
          <w:tcPr>
            <w:tcW w:w="1284" w:type="dxa"/>
          </w:tcPr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89% Male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11% Female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91% Male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9% Female</w:t>
            </w:r>
          </w:p>
        </w:tc>
        <w:tc>
          <w:tcPr>
            <w:tcW w:w="1284" w:type="dxa"/>
          </w:tcPr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18% I-II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50% III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32% IV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22% I-II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50% III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28% IV</w:t>
            </w:r>
          </w:p>
        </w:tc>
        <w:tc>
          <w:tcPr>
            <w:tcW w:w="1312" w:type="dxa"/>
          </w:tcPr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3DRT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43% T1-T2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57% T3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44% T1-T2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56% T3</w:t>
            </w:r>
          </w:p>
        </w:tc>
        <w:tc>
          <w:tcPr>
            <w:tcW w:w="1311" w:type="dxa"/>
          </w:tcPr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68% N0-N1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32% N2a-b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66% N0-N1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34% N2a-b</w:t>
            </w:r>
          </w:p>
        </w:tc>
      </w:tr>
      <w:tr w:rsidR="00D702D1" w:rsidRPr="00605485" w:rsidTr="00C63C28">
        <w:trPr>
          <w:cnfStyle w:val="000000100000"/>
          <w:cantSplit/>
        </w:trPr>
        <w:tc>
          <w:tcPr>
            <w:cnfStyle w:val="001000000000"/>
            <w:tcW w:w="1297" w:type="dxa"/>
          </w:tcPr>
          <w:p w:rsidR="00D702D1" w:rsidRPr="00605485" w:rsidRDefault="00D702D1" w:rsidP="00B20085">
            <w:pPr>
              <w:pStyle w:val="TableText"/>
              <w:rPr>
                <w:b w:val="0"/>
              </w:rPr>
            </w:pPr>
            <w:r w:rsidRPr="00605485">
              <w:t xml:space="preserve">Al-Mamgani </w:t>
            </w:r>
          </w:p>
          <w:p w:rsidR="00D702D1" w:rsidRPr="00605485" w:rsidRDefault="00D702D1" w:rsidP="00B20085">
            <w:pPr>
              <w:pStyle w:val="TableText"/>
              <w:rPr>
                <w:b w:val="0"/>
              </w:rPr>
            </w:pPr>
            <w:r w:rsidRPr="00605485">
              <w:t>(2013)</w:t>
            </w:r>
            <w:r w:rsidR="00605485" w:rsidRPr="00605485">
              <w:rPr>
                <w:noProof/>
                <w:vertAlign w:val="superscript"/>
              </w:rPr>
              <w:t>3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Comparative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Retrospective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(poor)</w:t>
            </w:r>
          </w:p>
        </w:tc>
        <w:tc>
          <w:tcPr>
            <w:tcW w:w="1296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 xml:space="preserve">3DCRT (65) </w:t>
            </w:r>
          </w:p>
          <w:p w:rsidR="00D702D1" w:rsidRPr="00605485" w:rsidRDefault="00D702D1" w:rsidP="005541F4">
            <w:pPr>
              <w:pStyle w:val="TableText"/>
              <w:cnfStyle w:val="000000100000"/>
            </w:pPr>
            <w:r w:rsidRPr="00605485">
              <w:t>IMRT (139)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CCRT</w:t>
            </w:r>
          </w:p>
        </w:tc>
        <w:tc>
          <w:tcPr>
            <w:tcW w:w="1307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Oropharynx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100%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Median 54 years</w:t>
            </w:r>
            <w:r w:rsidRPr="00605485">
              <w:rPr>
                <w:vertAlign w:val="superscript"/>
              </w:rPr>
              <w:t>a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(range 40-84 years)</w:t>
            </w:r>
          </w:p>
        </w:tc>
        <w:tc>
          <w:tcPr>
            <w:tcW w:w="1284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69% Male</w:t>
            </w:r>
            <w:r w:rsidRPr="00605485">
              <w:rPr>
                <w:vertAlign w:val="superscript"/>
              </w:rPr>
              <w:t>a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31% Female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</w:p>
        </w:tc>
        <w:tc>
          <w:tcPr>
            <w:tcW w:w="1284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34% III</w:t>
            </w:r>
            <w:r w:rsidRPr="00605485">
              <w:rPr>
                <w:vertAlign w:val="superscript"/>
              </w:rPr>
              <w:t>a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59% IVA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7% IVB</w:t>
            </w:r>
          </w:p>
        </w:tc>
        <w:tc>
          <w:tcPr>
            <w:tcW w:w="1312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62% T3</w:t>
            </w:r>
            <w:r w:rsidRPr="00605485">
              <w:rPr>
                <w:vertAlign w:val="superscript"/>
              </w:rPr>
              <w:t>a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33% T4a</w:t>
            </w:r>
          </w:p>
          <w:p w:rsidR="00D702D1" w:rsidRPr="00605485" w:rsidRDefault="00D702D1" w:rsidP="00F53A07">
            <w:pPr>
              <w:pStyle w:val="TableText"/>
              <w:cnfStyle w:val="000000100000"/>
            </w:pPr>
            <w:r w:rsidRPr="00605485">
              <w:t>5% T4b</w:t>
            </w:r>
          </w:p>
        </w:tc>
        <w:tc>
          <w:tcPr>
            <w:tcW w:w="1311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34% N0</w:t>
            </w:r>
            <w:r w:rsidRPr="00605485">
              <w:rPr>
                <w:vertAlign w:val="superscript"/>
              </w:rPr>
              <w:t>a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14% N1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4% N2a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31% N2b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12% N2c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5% N3</w:t>
            </w:r>
          </w:p>
        </w:tc>
      </w:tr>
    </w:tbl>
    <w:p w:rsidR="00C63C28" w:rsidRDefault="00C63C28">
      <w:r>
        <w:br w:type="page"/>
      </w:r>
    </w:p>
    <w:tbl>
      <w:tblPr>
        <w:tblStyle w:val="LightGrid-Accent5"/>
        <w:tblW w:w="5000" w:type="pct"/>
        <w:tblCellMar>
          <w:left w:w="29" w:type="dxa"/>
          <w:right w:w="29" w:type="dxa"/>
        </w:tblCellMar>
        <w:tblLook w:val="04A0"/>
      </w:tblPr>
      <w:tblGrid>
        <w:gridCol w:w="1297"/>
        <w:gridCol w:w="1309"/>
        <w:gridCol w:w="1296"/>
        <w:gridCol w:w="1309"/>
        <w:gridCol w:w="1307"/>
        <w:gridCol w:w="1309"/>
        <w:gridCol w:w="1284"/>
        <w:gridCol w:w="1284"/>
        <w:gridCol w:w="1312"/>
        <w:gridCol w:w="1311"/>
      </w:tblGrid>
      <w:tr w:rsidR="00CE6BAF" w:rsidRPr="00605485" w:rsidTr="00CE6BAF">
        <w:trPr>
          <w:cnfStyle w:val="100000000000"/>
          <w:cantSplit/>
          <w:tblHeader/>
        </w:trPr>
        <w:tc>
          <w:tcPr>
            <w:cnfStyle w:val="001000000000"/>
            <w:tcW w:w="13018" w:type="dxa"/>
            <w:gridSpan w:val="10"/>
            <w:tcBorders>
              <w:top w:val="nil"/>
              <w:left w:val="nil"/>
              <w:right w:val="nil"/>
            </w:tcBorders>
          </w:tcPr>
          <w:p w:rsidR="00CE6BAF" w:rsidRPr="00CE6BAF" w:rsidRDefault="00CE6BAF" w:rsidP="00CE6BAF">
            <w:pPr>
              <w:pStyle w:val="TableTitle"/>
            </w:pPr>
            <w:r w:rsidRPr="00CE6BAF">
              <w:lastRenderedPageBreak/>
              <w:t>Table B-2. Comparative study design and patient characteristics (continued)</w:t>
            </w:r>
          </w:p>
        </w:tc>
      </w:tr>
      <w:tr w:rsidR="00C63C28" w:rsidRPr="00605485" w:rsidTr="00B93A84">
        <w:trPr>
          <w:cnfStyle w:val="100000000000"/>
          <w:cantSplit/>
          <w:tblHeader/>
        </w:trPr>
        <w:tc>
          <w:tcPr>
            <w:cnfStyle w:val="001000000000"/>
            <w:tcW w:w="1297" w:type="dxa"/>
          </w:tcPr>
          <w:p w:rsidR="00C63C28" w:rsidRPr="00605485" w:rsidRDefault="00C63C28" w:rsidP="00B93A84">
            <w:pPr>
              <w:pStyle w:val="TableColumnHead"/>
            </w:pPr>
            <w:r w:rsidRPr="00605485">
              <w:t>Study (year)</w:t>
            </w:r>
          </w:p>
        </w:tc>
        <w:tc>
          <w:tcPr>
            <w:tcW w:w="1309" w:type="dxa"/>
          </w:tcPr>
          <w:p w:rsidR="00C63C28" w:rsidRPr="00605485" w:rsidRDefault="00C63C28" w:rsidP="00B93A84">
            <w:pPr>
              <w:pStyle w:val="TableColumnHead"/>
              <w:cnfStyle w:val="100000000000"/>
            </w:pPr>
            <w:r w:rsidRPr="00605485">
              <w:t>Study design</w:t>
            </w:r>
          </w:p>
          <w:p w:rsidR="00C63C28" w:rsidRPr="00605485" w:rsidRDefault="00C63C28" w:rsidP="00B93A84">
            <w:pPr>
              <w:pStyle w:val="TableColumnHead"/>
              <w:cnfStyle w:val="100000000000"/>
            </w:pPr>
            <w:r w:rsidRPr="00605485">
              <w:t>(USPSTF rating)</w:t>
            </w:r>
          </w:p>
        </w:tc>
        <w:tc>
          <w:tcPr>
            <w:tcW w:w="1296" w:type="dxa"/>
          </w:tcPr>
          <w:p w:rsidR="00C63C28" w:rsidRPr="00605485" w:rsidRDefault="00C63C28" w:rsidP="00B93A84">
            <w:pPr>
              <w:pStyle w:val="TableColumnHead"/>
              <w:cnfStyle w:val="100000000000"/>
            </w:pPr>
            <w:r w:rsidRPr="00605485">
              <w:t>RT modalities (n)</w:t>
            </w:r>
          </w:p>
        </w:tc>
        <w:tc>
          <w:tcPr>
            <w:tcW w:w="1309" w:type="dxa"/>
          </w:tcPr>
          <w:p w:rsidR="00C63C28" w:rsidRPr="00605485" w:rsidRDefault="00C63C28" w:rsidP="00B93A84">
            <w:pPr>
              <w:pStyle w:val="TableColumnHead"/>
              <w:cnfStyle w:val="100000000000"/>
            </w:pPr>
            <w:r w:rsidRPr="00605485">
              <w:t>Treatment setting</w:t>
            </w:r>
          </w:p>
        </w:tc>
        <w:tc>
          <w:tcPr>
            <w:tcW w:w="1307" w:type="dxa"/>
          </w:tcPr>
          <w:p w:rsidR="00C63C28" w:rsidRPr="00605485" w:rsidRDefault="00C63C28" w:rsidP="00B93A84">
            <w:pPr>
              <w:pStyle w:val="TableColumnHead"/>
              <w:cnfStyle w:val="100000000000"/>
            </w:pPr>
            <w:r w:rsidRPr="00605485">
              <w:t>Tumor setting</w:t>
            </w:r>
          </w:p>
        </w:tc>
        <w:tc>
          <w:tcPr>
            <w:tcW w:w="1309" w:type="dxa"/>
          </w:tcPr>
          <w:p w:rsidR="00C63C28" w:rsidRPr="00605485" w:rsidRDefault="00C63C28" w:rsidP="00B93A84">
            <w:pPr>
              <w:pStyle w:val="TableColumnHead"/>
              <w:cnfStyle w:val="100000000000"/>
            </w:pPr>
            <w:r w:rsidRPr="00605485">
              <w:t>Age</w:t>
            </w:r>
          </w:p>
        </w:tc>
        <w:tc>
          <w:tcPr>
            <w:tcW w:w="1284" w:type="dxa"/>
          </w:tcPr>
          <w:p w:rsidR="00C63C28" w:rsidRPr="00605485" w:rsidRDefault="00C63C28" w:rsidP="00B93A84">
            <w:pPr>
              <w:pStyle w:val="TableColumnHead"/>
              <w:cnfStyle w:val="100000000000"/>
            </w:pPr>
            <w:r w:rsidRPr="00605485">
              <w:t>Sex</w:t>
            </w:r>
          </w:p>
        </w:tc>
        <w:tc>
          <w:tcPr>
            <w:tcW w:w="1284" w:type="dxa"/>
          </w:tcPr>
          <w:p w:rsidR="00C63C28" w:rsidRPr="00605485" w:rsidRDefault="00C63C28" w:rsidP="00B93A84">
            <w:pPr>
              <w:pStyle w:val="TableColumnHead"/>
              <w:cnfStyle w:val="100000000000"/>
            </w:pPr>
            <w:r w:rsidRPr="00605485">
              <w:t>AJCC stage</w:t>
            </w:r>
          </w:p>
        </w:tc>
        <w:tc>
          <w:tcPr>
            <w:tcW w:w="1312" w:type="dxa"/>
          </w:tcPr>
          <w:p w:rsidR="00C63C28" w:rsidRPr="00605485" w:rsidRDefault="00C63C28" w:rsidP="00B93A84">
            <w:pPr>
              <w:pStyle w:val="TableColumnHead"/>
              <w:cnfStyle w:val="100000000000"/>
            </w:pPr>
            <w:r w:rsidRPr="00605485">
              <w:t>T classification</w:t>
            </w:r>
          </w:p>
        </w:tc>
        <w:tc>
          <w:tcPr>
            <w:tcW w:w="1311" w:type="dxa"/>
          </w:tcPr>
          <w:p w:rsidR="00C63C28" w:rsidRPr="00605485" w:rsidRDefault="00C63C28" w:rsidP="00B93A84">
            <w:pPr>
              <w:pStyle w:val="TableColumnHead"/>
              <w:cnfStyle w:val="100000000000"/>
            </w:pPr>
            <w:r w:rsidRPr="00605485">
              <w:t>N classification</w:t>
            </w:r>
          </w:p>
        </w:tc>
      </w:tr>
      <w:tr w:rsidR="00D702D1" w:rsidRPr="00605485" w:rsidTr="00C63C28">
        <w:trPr>
          <w:cnfStyle w:val="000000100000"/>
          <w:cantSplit/>
        </w:trPr>
        <w:tc>
          <w:tcPr>
            <w:cnfStyle w:val="001000000000"/>
            <w:tcW w:w="1297" w:type="dxa"/>
          </w:tcPr>
          <w:p w:rsidR="00D702D1" w:rsidRPr="00605485" w:rsidRDefault="00D702D1" w:rsidP="00B20085">
            <w:pPr>
              <w:pStyle w:val="TableText"/>
              <w:rPr>
                <w:b w:val="0"/>
              </w:rPr>
            </w:pPr>
            <w:r w:rsidRPr="00605485">
              <w:t xml:space="preserve">Lambrecht </w:t>
            </w:r>
          </w:p>
          <w:p w:rsidR="00D702D1" w:rsidRPr="00605485" w:rsidRDefault="00D702D1" w:rsidP="00B20085">
            <w:pPr>
              <w:pStyle w:val="TableText"/>
              <w:rPr>
                <w:b w:val="0"/>
              </w:rPr>
            </w:pPr>
            <w:r w:rsidRPr="00605485">
              <w:t>(2013)</w:t>
            </w:r>
            <w:r w:rsidR="00C63C28" w:rsidRPr="00C63C28">
              <w:rPr>
                <w:vertAlign w:val="superscript"/>
              </w:rPr>
              <w:t>4</w:t>
            </w:r>
            <w:r w:rsidRPr="00C63C28">
              <w:rPr>
                <w:vertAlign w:val="superscript"/>
              </w:rPr>
              <w:t xml:space="preserve"> </w:t>
            </w:r>
          </w:p>
          <w:p w:rsidR="00D702D1" w:rsidRPr="00605485" w:rsidRDefault="00D702D1" w:rsidP="00B20085">
            <w:pPr>
              <w:pStyle w:val="TableText"/>
              <w:rPr>
                <w:b w:val="0"/>
              </w:rPr>
            </w:pP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Comparative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Retrospective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(poor)</w:t>
            </w:r>
          </w:p>
        </w:tc>
        <w:tc>
          <w:tcPr>
            <w:tcW w:w="1296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3DCRT (135)</w:t>
            </w:r>
          </w:p>
          <w:p w:rsidR="00D702D1" w:rsidRPr="00605485" w:rsidRDefault="00D702D1" w:rsidP="005541F4">
            <w:pPr>
              <w:pStyle w:val="TableText"/>
              <w:cnfStyle w:val="000000100000"/>
            </w:pPr>
            <w:r w:rsidRPr="00605485">
              <w:t>IMRT (110)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CCRT</w:t>
            </w:r>
          </w:p>
        </w:tc>
        <w:tc>
          <w:tcPr>
            <w:tcW w:w="1307" w:type="dxa"/>
          </w:tcPr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 xml:space="preserve">Hypopharynx 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3DCRT: 16%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IMRT: 3%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 xml:space="preserve">Larynx 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3DCRT: 21%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IMRT: 25%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Nasopharynx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3DCRT: 2%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IMRT: 4%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 xml:space="preserve">Oral cavity 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3DCRT: 4%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IMRT: 4%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Oropharynx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3DCRT: 56%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IMRT: 40%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Mean 57 years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Median 56 years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(SD 9 years)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Mean 61 years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Median 60 years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(SD 9 years)</w:t>
            </w:r>
          </w:p>
        </w:tc>
        <w:tc>
          <w:tcPr>
            <w:tcW w:w="1284" w:type="dxa"/>
          </w:tcPr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86% Male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14% Female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85% Male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15% Female</w:t>
            </w:r>
          </w:p>
        </w:tc>
        <w:tc>
          <w:tcPr>
            <w:tcW w:w="1284" w:type="dxa"/>
          </w:tcPr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24% III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76% IV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18% III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82% IV</w:t>
            </w:r>
          </w:p>
        </w:tc>
        <w:tc>
          <w:tcPr>
            <w:tcW w:w="1312" w:type="dxa"/>
          </w:tcPr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7% T1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21% T2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33% T3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39% T4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5% T1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17% T2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36% T3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42% T4</w:t>
            </w:r>
          </w:p>
        </w:tc>
        <w:tc>
          <w:tcPr>
            <w:tcW w:w="1311" w:type="dxa"/>
          </w:tcPr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14% N0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24% N1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4% N2a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30% N2b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26% N2c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2% N3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14% N0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10% N1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3% N2a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30% N2b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38% N2c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5% N3</w:t>
            </w:r>
          </w:p>
        </w:tc>
      </w:tr>
      <w:tr w:rsidR="00D702D1" w:rsidRPr="00605485" w:rsidTr="00C63C28">
        <w:trPr>
          <w:cnfStyle w:val="000000010000"/>
          <w:cantSplit/>
        </w:trPr>
        <w:tc>
          <w:tcPr>
            <w:cnfStyle w:val="001000000000"/>
            <w:tcW w:w="1297" w:type="dxa"/>
          </w:tcPr>
          <w:p w:rsidR="00D702D1" w:rsidRPr="00605485" w:rsidRDefault="00D702D1" w:rsidP="00B20085">
            <w:pPr>
              <w:pStyle w:val="TableText"/>
              <w:rPr>
                <w:b w:val="0"/>
              </w:rPr>
            </w:pPr>
            <w:r w:rsidRPr="00605485">
              <w:t xml:space="preserve">Al-Mamgani </w:t>
            </w:r>
          </w:p>
          <w:p w:rsidR="00D702D1" w:rsidRPr="00605485" w:rsidRDefault="00D702D1" w:rsidP="00C63C28">
            <w:pPr>
              <w:pStyle w:val="TableText"/>
              <w:rPr>
                <w:b w:val="0"/>
              </w:rPr>
            </w:pPr>
            <w:r w:rsidRPr="00605485">
              <w:t>(2012)</w:t>
            </w:r>
            <w:r w:rsidR="00C63C28" w:rsidRPr="00C63C28">
              <w:rPr>
                <w:vertAlign w:val="superscript"/>
              </w:rPr>
              <w:t>5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Comparative Retrospective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(poor)</w:t>
            </w:r>
          </w:p>
        </w:tc>
        <w:tc>
          <w:tcPr>
            <w:tcW w:w="1296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 xml:space="preserve">3DCRT (62) </w:t>
            </w:r>
          </w:p>
          <w:p w:rsidR="00D702D1" w:rsidRPr="00605485" w:rsidRDefault="00D702D1" w:rsidP="005541F4">
            <w:pPr>
              <w:pStyle w:val="TableText"/>
              <w:cnfStyle w:val="000000010000"/>
            </w:pPr>
            <w:r w:rsidRPr="00605485">
              <w:t>IMRT (114)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RT ± CCT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 xml:space="preserve"> </w:t>
            </w:r>
          </w:p>
        </w:tc>
        <w:tc>
          <w:tcPr>
            <w:tcW w:w="1307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Hypopharynx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100%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Median 60 years</w:t>
            </w:r>
            <w:r w:rsidRPr="00605485">
              <w:rPr>
                <w:vertAlign w:val="superscript"/>
              </w:rPr>
              <w:t>a</w:t>
            </w:r>
            <w:r w:rsidRPr="00605485">
              <w:t xml:space="preserve"> 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(range 36-87 years)</w:t>
            </w:r>
          </w:p>
        </w:tc>
        <w:tc>
          <w:tcPr>
            <w:tcW w:w="1284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79% Male</w:t>
            </w:r>
            <w:r w:rsidRPr="00605485">
              <w:rPr>
                <w:vertAlign w:val="superscript"/>
              </w:rPr>
              <w:t>a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21% Female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</w:p>
        </w:tc>
        <w:tc>
          <w:tcPr>
            <w:tcW w:w="1284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Not reported</w:t>
            </w:r>
          </w:p>
        </w:tc>
        <w:tc>
          <w:tcPr>
            <w:tcW w:w="1312" w:type="dxa"/>
          </w:tcPr>
          <w:p w:rsidR="00D702D1" w:rsidRPr="00605485" w:rsidRDefault="00D702D1" w:rsidP="00B20085">
            <w:pPr>
              <w:pStyle w:val="TableText"/>
              <w:cnfStyle w:val="000000010000"/>
              <w:rPr>
                <w:vertAlign w:val="superscript"/>
              </w:rPr>
            </w:pPr>
            <w:r w:rsidRPr="00605485">
              <w:t>10% T1</w:t>
            </w:r>
            <w:r w:rsidRPr="00605485">
              <w:rPr>
                <w:vertAlign w:val="superscript"/>
              </w:rPr>
              <w:t>a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31% T2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32% T3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20% T4a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7% T4b</w:t>
            </w:r>
          </w:p>
        </w:tc>
        <w:tc>
          <w:tcPr>
            <w:tcW w:w="1311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24 % N0</w:t>
            </w:r>
            <w:r w:rsidRPr="00605485">
              <w:rPr>
                <w:vertAlign w:val="superscript"/>
              </w:rPr>
              <w:t>a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17% N1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4% N2a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30% N2b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15% N2c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10% N3</w:t>
            </w:r>
          </w:p>
        </w:tc>
      </w:tr>
      <w:tr w:rsidR="00D702D1" w:rsidRPr="00605485" w:rsidTr="00C63C28">
        <w:trPr>
          <w:cnfStyle w:val="000000100000"/>
          <w:cantSplit/>
        </w:trPr>
        <w:tc>
          <w:tcPr>
            <w:cnfStyle w:val="001000000000"/>
            <w:tcW w:w="1297" w:type="dxa"/>
          </w:tcPr>
          <w:p w:rsidR="00D702D1" w:rsidRPr="00605485" w:rsidRDefault="00D702D1" w:rsidP="00C63C28">
            <w:pPr>
              <w:pStyle w:val="TableText"/>
              <w:rPr>
                <w:b w:val="0"/>
              </w:rPr>
            </w:pPr>
            <w:r w:rsidRPr="00605485">
              <w:t>Chen (2012)</w:t>
            </w:r>
            <w:r w:rsidR="00C63C28" w:rsidRPr="00C63C28">
              <w:rPr>
                <w:vertAlign w:val="superscript"/>
              </w:rPr>
              <w:t>6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Comparative Retrospective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(poor)</w:t>
            </w:r>
          </w:p>
        </w:tc>
        <w:tc>
          <w:tcPr>
            <w:tcW w:w="1296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 xml:space="preserve">3DCRT (71) </w:t>
            </w:r>
          </w:p>
          <w:p w:rsidR="00D702D1" w:rsidRPr="00605485" w:rsidRDefault="00D702D1" w:rsidP="005541F4">
            <w:pPr>
              <w:pStyle w:val="TableText"/>
              <w:cnfStyle w:val="000000100000"/>
            </w:pPr>
            <w:r w:rsidRPr="00605485">
              <w:t>IMRT (84)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RT ± CCT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 xml:space="preserve"> </w:t>
            </w:r>
          </w:p>
        </w:tc>
        <w:tc>
          <w:tcPr>
            <w:tcW w:w="1307" w:type="dxa"/>
          </w:tcPr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 xml:space="preserve">Hypopharynx 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3DCRT: 12%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 xml:space="preserve">IMRT: 13% 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Larynx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3DCRT: 12%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 xml:space="preserve">IMRT: 13% 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Nasopharynx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3DCRT: 7%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IMRT: 10%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rPr>
                <w:u w:val="single"/>
              </w:rPr>
              <w:t>Oropharynx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3DCRT: 41%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IMRT: 38%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Unknown primary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3DCRT: 10%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IMRT: 12%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Median 56 years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(range 21-93 years)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br/>
              <w:t>3DCRT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51% &lt; 56 years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49% &gt; 56 years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45% &lt; 56 years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55% &gt; 56 years</w:t>
            </w:r>
          </w:p>
        </w:tc>
        <w:tc>
          <w:tcPr>
            <w:tcW w:w="1284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59% Male</w:t>
            </w:r>
            <w:r w:rsidRPr="00605485">
              <w:rPr>
                <w:vertAlign w:val="superscript"/>
              </w:rPr>
              <w:t>a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41% Female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</w:p>
        </w:tc>
        <w:tc>
          <w:tcPr>
            <w:tcW w:w="1284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Not reported</w:t>
            </w:r>
          </w:p>
        </w:tc>
        <w:tc>
          <w:tcPr>
            <w:tcW w:w="1312" w:type="dxa"/>
          </w:tcPr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10% T0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17% T1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20% T2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25% T3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28% T4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12% T0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18% T1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19% T2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23% T3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29% T4</w:t>
            </w:r>
          </w:p>
        </w:tc>
        <w:tc>
          <w:tcPr>
            <w:tcW w:w="1311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Not reported</w:t>
            </w:r>
          </w:p>
        </w:tc>
      </w:tr>
      <w:tr w:rsidR="00D702D1" w:rsidRPr="00605485" w:rsidTr="00C63C28">
        <w:trPr>
          <w:cnfStyle w:val="000000010000"/>
          <w:cantSplit/>
        </w:trPr>
        <w:tc>
          <w:tcPr>
            <w:cnfStyle w:val="001000000000"/>
            <w:tcW w:w="1297" w:type="dxa"/>
          </w:tcPr>
          <w:p w:rsidR="00D702D1" w:rsidRPr="00605485" w:rsidRDefault="00D702D1" w:rsidP="00B20085">
            <w:pPr>
              <w:pStyle w:val="TableText"/>
              <w:rPr>
                <w:b w:val="0"/>
              </w:rPr>
            </w:pPr>
            <w:r w:rsidRPr="00605485">
              <w:lastRenderedPageBreak/>
              <w:t xml:space="preserve">Al-Mamgani </w:t>
            </w:r>
          </w:p>
          <w:p w:rsidR="00D702D1" w:rsidRPr="00605485" w:rsidRDefault="00D702D1" w:rsidP="00C63C28">
            <w:pPr>
              <w:pStyle w:val="TableText"/>
              <w:rPr>
                <w:b w:val="0"/>
              </w:rPr>
            </w:pPr>
            <w:r w:rsidRPr="00605485">
              <w:t>(2012)</w:t>
            </w:r>
            <w:r w:rsidR="00C63C28" w:rsidRPr="00C63C28">
              <w:rPr>
                <w:vertAlign w:val="superscript"/>
              </w:rPr>
              <w:t>7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Comparative Retrospective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(poor)</w:t>
            </w:r>
          </w:p>
        </w:tc>
        <w:tc>
          <w:tcPr>
            <w:tcW w:w="1296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 xml:space="preserve">3DCRT (25) </w:t>
            </w:r>
          </w:p>
          <w:p w:rsidR="00D702D1" w:rsidRPr="00605485" w:rsidRDefault="00D702D1" w:rsidP="005541F4">
            <w:pPr>
              <w:pStyle w:val="TableText"/>
              <w:cnfStyle w:val="000000010000"/>
            </w:pPr>
            <w:r w:rsidRPr="00605485">
              <w:t>IMRT (57)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CCRT ± surgery</w:t>
            </w:r>
          </w:p>
        </w:tc>
        <w:tc>
          <w:tcPr>
            <w:tcW w:w="1307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Paranasal sinus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100%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Median 62 years</w:t>
            </w:r>
            <w:r w:rsidRPr="00605485">
              <w:rPr>
                <w:vertAlign w:val="superscript"/>
              </w:rPr>
              <w:t>a</w:t>
            </w:r>
            <w:r w:rsidRPr="00605485">
              <w:t xml:space="preserve"> 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(range 28-86 years)</w:t>
            </w:r>
          </w:p>
        </w:tc>
        <w:tc>
          <w:tcPr>
            <w:tcW w:w="1284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67% Male</w:t>
            </w:r>
            <w:r w:rsidRPr="00605485">
              <w:rPr>
                <w:vertAlign w:val="superscript"/>
              </w:rPr>
              <w:t>a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33% Female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</w:p>
        </w:tc>
        <w:tc>
          <w:tcPr>
            <w:tcW w:w="1284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Not reported</w:t>
            </w:r>
          </w:p>
        </w:tc>
        <w:tc>
          <w:tcPr>
            <w:tcW w:w="1312" w:type="dxa"/>
          </w:tcPr>
          <w:p w:rsidR="00D702D1" w:rsidRPr="00605485" w:rsidRDefault="00D702D1" w:rsidP="00B20085">
            <w:pPr>
              <w:pStyle w:val="TableText"/>
              <w:cnfStyle w:val="000000010000"/>
              <w:rPr>
                <w:vertAlign w:val="superscript"/>
              </w:rPr>
            </w:pPr>
            <w:r w:rsidRPr="00605485">
              <w:t>9% T2</w:t>
            </w:r>
            <w:r w:rsidRPr="00605485">
              <w:rPr>
                <w:vertAlign w:val="superscript"/>
              </w:rPr>
              <w:t>a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27% T3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37% T4a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27% T4b</w:t>
            </w:r>
          </w:p>
        </w:tc>
        <w:tc>
          <w:tcPr>
            <w:tcW w:w="1311" w:type="dxa"/>
          </w:tcPr>
          <w:p w:rsidR="00D702D1" w:rsidRPr="00605485" w:rsidRDefault="00D702D1" w:rsidP="00B20085">
            <w:pPr>
              <w:pStyle w:val="TableText"/>
              <w:cnfStyle w:val="000000010000"/>
              <w:rPr>
                <w:vertAlign w:val="superscript"/>
              </w:rPr>
            </w:pPr>
            <w:r w:rsidRPr="00605485">
              <w:t>87 % N0</w:t>
            </w:r>
            <w:r w:rsidRPr="00605485">
              <w:rPr>
                <w:vertAlign w:val="superscript"/>
              </w:rPr>
              <w:t>a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13% N+</w:t>
            </w:r>
          </w:p>
        </w:tc>
      </w:tr>
      <w:tr w:rsidR="00D702D1" w:rsidRPr="00605485" w:rsidTr="00C63C28">
        <w:trPr>
          <w:cnfStyle w:val="000000100000"/>
          <w:cantSplit/>
        </w:trPr>
        <w:tc>
          <w:tcPr>
            <w:cnfStyle w:val="001000000000"/>
            <w:tcW w:w="1297" w:type="dxa"/>
          </w:tcPr>
          <w:p w:rsidR="00D702D1" w:rsidRPr="00605485" w:rsidRDefault="00D702D1" w:rsidP="00CE6BAF">
            <w:pPr>
              <w:pStyle w:val="TableText"/>
              <w:rPr>
                <w:vertAlign w:val="superscript"/>
              </w:rPr>
            </w:pPr>
            <w:r w:rsidRPr="00605485">
              <w:t>Kruser (2013)</w:t>
            </w:r>
            <w:r w:rsidR="00CE6BAF" w:rsidRPr="00CE6BAF">
              <w:rPr>
                <w:vertAlign w:val="superscript"/>
              </w:rPr>
              <w:t>8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Comparative Prospective (poor)</w:t>
            </w:r>
          </w:p>
        </w:tc>
        <w:tc>
          <w:tcPr>
            <w:tcW w:w="1296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3DCRT (41)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IMRT (137)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CCRT ± surgery</w:t>
            </w:r>
          </w:p>
        </w:tc>
        <w:tc>
          <w:tcPr>
            <w:tcW w:w="1307" w:type="dxa"/>
          </w:tcPr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 xml:space="preserve">Hypopharynx Larynx Nasopharynx 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Oral cavity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Oropharynx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Unknown primary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Median 54 years (range 39-78 years)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LINAC-IMRT: Median 53 years (range 36-77 years)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Tomotherapy: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Median 57 years (39-77 years)</w:t>
            </w:r>
          </w:p>
        </w:tc>
        <w:tc>
          <w:tcPr>
            <w:tcW w:w="1284" w:type="dxa"/>
          </w:tcPr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75.6% Male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24.4% Female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78.8% Male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22.2% Female</w:t>
            </w:r>
          </w:p>
        </w:tc>
        <w:tc>
          <w:tcPr>
            <w:tcW w:w="1284" w:type="dxa"/>
          </w:tcPr>
          <w:p w:rsidR="00D702D1" w:rsidRPr="00605485" w:rsidRDefault="00D702D1" w:rsidP="00B20085">
            <w:pPr>
              <w:pStyle w:val="TableText"/>
              <w:cnfStyle w:val="000000100000"/>
              <w:rPr>
                <w:vertAlign w:val="superscript"/>
              </w:rPr>
            </w:pPr>
            <w:r w:rsidRPr="00605485">
              <w:t>11.8% III</w:t>
            </w:r>
            <w:r w:rsidRPr="00605485">
              <w:rPr>
                <w:vertAlign w:val="superscript"/>
              </w:rPr>
              <w:t>c</w:t>
            </w:r>
          </w:p>
          <w:p w:rsidR="00D702D1" w:rsidRPr="00605485" w:rsidRDefault="00D702D1" w:rsidP="00D702D1">
            <w:pPr>
              <w:pStyle w:val="TableText"/>
              <w:cnfStyle w:val="000000100000"/>
              <w:rPr>
                <w:vertAlign w:val="superscript"/>
              </w:rPr>
            </w:pPr>
            <w:r w:rsidRPr="00605485">
              <w:t>88.2% IVa-b</w:t>
            </w:r>
          </w:p>
        </w:tc>
        <w:tc>
          <w:tcPr>
            <w:tcW w:w="1312" w:type="dxa"/>
          </w:tcPr>
          <w:p w:rsidR="00D702D1" w:rsidRPr="00605485" w:rsidRDefault="00D702D1" w:rsidP="00B20085">
            <w:pPr>
              <w:pStyle w:val="TableText"/>
              <w:cnfStyle w:val="000000100000"/>
              <w:rPr>
                <w:vertAlign w:val="superscript"/>
              </w:rPr>
            </w:pPr>
            <w:r w:rsidRPr="00605485">
              <w:t>6.7% T0</w:t>
            </w:r>
            <w:r w:rsidRPr="00605485">
              <w:rPr>
                <w:vertAlign w:val="superscript"/>
              </w:rPr>
              <w:t>c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16.3% T1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32.6% T2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25.3% T3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19.1% T4</w:t>
            </w:r>
          </w:p>
        </w:tc>
        <w:tc>
          <w:tcPr>
            <w:tcW w:w="1311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Not reported</w:t>
            </w:r>
          </w:p>
        </w:tc>
      </w:tr>
      <w:tr w:rsidR="00D702D1" w:rsidRPr="00605485" w:rsidTr="00C63C28">
        <w:trPr>
          <w:cnfStyle w:val="000000010000"/>
          <w:cantSplit/>
        </w:trPr>
        <w:tc>
          <w:tcPr>
            <w:cnfStyle w:val="001000000000"/>
            <w:tcW w:w="1297" w:type="dxa"/>
          </w:tcPr>
          <w:p w:rsidR="00D702D1" w:rsidRPr="00605485" w:rsidRDefault="00D702D1" w:rsidP="00CE6BAF">
            <w:pPr>
              <w:pStyle w:val="TableText"/>
              <w:rPr>
                <w:b w:val="0"/>
              </w:rPr>
            </w:pPr>
            <w:r w:rsidRPr="00605485">
              <w:t>Dirix (2010)</w:t>
            </w:r>
            <w:r w:rsidR="00CE6BAF" w:rsidRPr="00CE6BAF">
              <w:rPr>
                <w:vertAlign w:val="superscript"/>
              </w:rPr>
              <w:t>9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Comparative Prospective IMRT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Retrospective 3DCRT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(poor)</w:t>
            </w:r>
          </w:p>
        </w:tc>
        <w:tc>
          <w:tcPr>
            <w:tcW w:w="1296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3DCRT (41)</w:t>
            </w:r>
          </w:p>
          <w:p w:rsidR="00D702D1" w:rsidRPr="00605485" w:rsidRDefault="00D702D1" w:rsidP="005541F4">
            <w:pPr>
              <w:pStyle w:val="TableText"/>
              <w:cnfStyle w:val="000000010000"/>
            </w:pPr>
            <w:r w:rsidRPr="00605485">
              <w:t>IMRT (40)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Postoperative RT</w:t>
            </w:r>
          </w:p>
        </w:tc>
        <w:tc>
          <w:tcPr>
            <w:tcW w:w="1307" w:type="dxa"/>
          </w:tcPr>
          <w:p w:rsidR="00D702D1" w:rsidRPr="00605485" w:rsidRDefault="00D702D1" w:rsidP="00B20085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Nasal cavity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3DCRT: 5%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IMRT: 15%</w:t>
            </w:r>
          </w:p>
          <w:p w:rsidR="00D702D1" w:rsidRPr="00605485" w:rsidRDefault="00D702D1" w:rsidP="00B20085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Paranasal sinus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3DCRT: 95%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IMRT: 85%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Median 61 years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(range 37-85 years)</w:t>
            </w:r>
          </w:p>
          <w:p w:rsidR="00D702D1" w:rsidRPr="00605485" w:rsidRDefault="00D702D1" w:rsidP="00B20085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Median 63 years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(range 37-84 years)</w:t>
            </w:r>
          </w:p>
        </w:tc>
        <w:tc>
          <w:tcPr>
            <w:tcW w:w="1284" w:type="dxa"/>
          </w:tcPr>
          <w:p w:rsidR="00D702D1" w:rsidRPr="00605485" w:rsidRDefault="00D702D1" w:rsidP="00B20085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82.9% Male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17.1% Female</w:t>
            </w:r>
          </w:p>
          <w:p w:rsidR="00D702D1" w:rsidRPr="00605485" w:rsidRDefault="00D702D1" w:rsidP="00B20085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85.0% Male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15.0% Female</w:t>
            </w:r>
          </w:p>
        </w:tc>
        <w:tc>
          <w:tcPr>
            <w:tcW w:w="1284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Not reported</w:t>
            </w:r>
          </w:p>
        </w:tc>
        <w:tc>
          <w:tcPr>
            <w:tcW w:w="1312" w:type="dxa"/>
          </w:tcPr>
          <w:p w:rsidR="00D702D1" w:rsidRPr="00605485" w:rsidRDefault="00D702D1" w:rsidP="00B20085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24.4% T2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56.1% T3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12.2% T4a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7.3% T4b</w:t>
            </w:r>
          </w:p>
          <w:p w:rsidR="00D702D1" w:rsidRPr="00605485" w:rsidRDefault="00D702D1" w:rsidP="00B20085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22.5% T2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47.5% T3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17.5% T4a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12.5% T4b</w:t>
            </w:r>
          </w:p>
        </w:tc>
        <w:tc>
          <w:tcPr>
            <w:tcW w:w="1311" w:type="dxa"/>
          </w:tcPr>
          <w:p w:rsidR="00D702D1" w:rsidRPr="00605485" w:rsidRDefault="00D702D1" w:rsidP="00B20085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100.0% N0</w:t>
            </w:r>
          </w:p>
          <w:p w:rsidR="00D702D1" w:rsidRPr="00605485" w:rsidRDefault="00D702D1" w:rsidP="00B20085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Not reported</w:t>
            </w:r>
          </w:p>
        </w:tc>
      </w:tr>
      <w:tr w:rsidR="00D702D1" w:rsidRPr="00605485" w:rsidTr="00C63C28">
        <w:trPr>
          <w:cnfStyle w:val="000000100000"/>
          <w:cantSplit/>
        </w:trPr>
        <w:tc>
          <w:tcPr>
            <w:cnfStyle w:val="001000000000"/>
            <w:tcW w:w="1297" w:type="dxa"/>
          </w:tcPr>
          <w:p w:rsidR="00D702D1" w:rsidRPr="00605485" w:rsidRDefault="00D702D1" w:rsidP="00CE6BAF">
            <w:pPr>
              <w:pStyle w:val="TableText"/>
              <w:rPr>
                <w:b w:val="0"/>
              </w:rPr>
            </w:pPr>
            <w:r w:rsidRPr="00605485">
              <w:t>Guan (2013)</w:t>
            </w:r>
            <w:r w:rsidR="00CE6BAF" w:rsidRPr="00CE6BAF">
              <w:rPr>
                <w:vertAlign w:val="superscript"/>
              </w:rPr>
              <w:t>10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Comparative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Retrospective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(poor)</w:t>
            </w:r>
          </w:p>
        </w:tc>
        <w:tc>
          <w:tcPr>
            <w:tcW w:w="1296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3DCRT (16)</w:t>
            </w:r>
          </w:p>
          <w:p w:rsidR="00D702D1" w:rsidRPr="00605485" w:rsidRDefault="00D702D1" w:rsidP="005541F4">
            <w:pPr>
              <w:pStyle w:val="TableText"/>
              <w:cnfStyle w:val="000000100000"/>
            </w:pPr>
            <w:r w:rsidRPr="00605485">
              <w:t>IMRT (43)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RT ± CCT ± surgery</w:t>
            </w:r>
          </w:p>
        </w:tc>
        <w:tc>
          <w:tcPr>
            <w:tcW w:w="1307" w:type="dxa"/>
          </w:tcPr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Nasal cavity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68%</w:t>
            </w:r>
          </w:p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Paranasal sinus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32%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Median 56 years</w:t>
            </w:r>
            <w:r w:rsidRPr="00605485">
              <w:rPr>
                <w:vertAlign w:val="superscript"/>
              </w:rPr>
              <w:t>a</w:t>
            </w:r>
            <w:r w:rsidRPr="00605485">
              <w:t xml:space="preserve"> 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(range 19-83 years)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63.7% ≤ 60 years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37.3% &gt; 60 years</w:t>
            </w:r>
          </w:p>
        </w:tc>
        <w:tc>
          <w:tcPr>
            <w:tcW w:w="1284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69.5% Male</w:t>
            </w:r>
            <w:r w:rsidRPr="00605485">
              <w:rPr>
                <w:vertAlign w:val="superscript"/>
              </w:rPr>
              <w:t>a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30.5% Female</w:t>
            </w:r>
          </w:p>
        </w:tc>
        <w:tc>
          <w:tcPr>
            <w:tcW w:w="1284" w:type="dxa"/>
          </w:tcPr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5.1% I</w:t>
            </w:r>
            <w:r w:rsidRPr="00605485">
              <w:rPr>
                <w:vertAlign w:val="superscript"/>
              </w:rPr>
              <w:t>a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6.8% II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16.9% III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45.8% IVa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28.8% IVb</w:t>
            </w:r>
          </w:p>
        </w:tc>
        <w:tc>
          <w:tcPr>
            <w:tcW w:w="1312" w:type="dxa"/>
          </w:tcPr>
          <w:p w:rsidR="00D702D1" w:rsidRPr="00605485" w:rsidRDefault="00D702D1" w:rsidP="00B20085">
            <w:pPr>
              <w:pStyle w:val="TableText"/>
              <w:cnfStyle w:val="000000100000"/>
              <w:rPr>
                <w:vertAlign w:val="superscript"/>
              </w:rPr>
            </w:pPr>
            <w:r w:rsidRPr="00605485">
              <w:t>6.8% T1</w:t>
            </w:r>
            <w:r w:rsidRPr="00605485">
              <w:rPr>
                <w:vertAlign w:val="superscript"/>
              </w:rPr>
              <w:t>a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10.2% T2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18.6% T3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40.7% T4a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23.7% T4b</w:t>
            </w:r>
          </w:p>
        </w:tc>
        <w:tc>
          <w:tcPr>
            <w:tcW w:w="1311" w:type="dxa"/>
          </w:tcPr>
          <w:p w:rsidR="00D702D1" w:rsidRPr="00605485" w:rsidRDefault="00D702D1" w:rsidP="00B20085">
            <w:pPr>
              <w:pStyle w:val="TableText"/>
              <w:cnfStyle w:val="000000100000"/>
              <w:rPr>
                <w:vertAlign w:val="superscript"/>
              </w:rPr>
            </w:pPr>
            <w:r w:rsidRPr="00605485">
              <w:t>69.4% N0</w:t>
            </w:r>
            <w:r w:rsidRPr="00605485">
              <w:rPr>
                <w:vertAlign w:val="superscript"/>
              </w:rPr>
              <w:t>a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15.3% N1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11.9% N2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3.4% N3</w:t>
            </w:r>
          </w:p>
        </w:tc>
      </w:tr>
      <w:tr w:rsidR="00D702D1" w:rsidRPr="00605485" w:rsidTr="00C63C28">
        <w:trPr>
          <w:cnfStyle w:val="000000010000"/>
          <w:cantSplit/>
        </w:trPr>
        <w:tc>
          <w:tcPr>
            <w:cnfStyle w:val="001000000000"/>
            <w:tcW w:w="1297" w:type="dxa"/>
          </w:tcPr>
          <w:p w:rsidR="00D702D1" w:rsidRPr="00605485" w:rsidRDefault="00D702D1" w:rsidP="00CE6BAF">
            <w:pPr>
              <w:pStyle w:val="TableText"/>
              <w:rPr>
                <w:vertAlign w:val="superscript"/>
              </w:rPr>
            </w:pPr>
            <w:r w:rsidRPr="00605485">
              <w:lastRenderedPageBreak/>
              <w:t>Kong (2013)</w:t>
            </w:r>
            <w:r w:rsidR="00CE6BAF" w:rsidRPr="00CE6BAF">
              <w:rPr>
                <w:vertAlign w:val="superscript"/>
              </w:rPr>
              <w:t>11</w:t>
            </w:r>
          </w:p>
        </w:tc>
        <w:tc>
          <w:tcPr>
            <w:tcW w:w="1309" w:type="dxa"/>
          </w:tcPr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Comparative Retrospective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(poor)</w:t>
            </w:r>
          </w:p>
        </w:tc>
        <w:tc>
          <w:tcPr>
            <w:tcW w:w="1296" w:type="dxa"/>
          </w:tcPr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3DCRT (30)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IMRT (37)</w:t>
            </w:r>
          </w:p>
        </w:tc>
        <w:tc>
          <w:tcPr>
            <w:tcW w:w="1309" w:type="dxa"/>
          </w:tcPr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RT ± CCT ± surgery</w:t>
            </w:r>
          </w:p>
        </w:tc>
        <w:tc>
          <w:tcPr>
            <w:tcW w:w="1307" w:type="dxa"/>
          </w:tcPr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Hypopharynx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3DCRT: 16.2%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IMRT: 3.3%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Larynx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3DCRT: 13.5%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IMRT: 13.3%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Nasopharynx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3DCRT: 8.1%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IMRT: 33.3%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Oral Cavity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3DCRT: 40.5%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IMRT: 33.3%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Oropharynx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3DCRT: 13.5%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IMRT: 13.3%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Paranasal sinus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3DCRT: 8.1%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IMRT: 3.3%</w:t>
            </w:r>
          </w:p>
        </w:tc>
        <w:tc>
          <w:tcPr>
            <w:tcW w:w="1309" w:type="dxa"/>
          </w:tcPr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Median 63 years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(range 20-84 years)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Median 56 years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t>(range 29-84 years)</w:t>
            </w:r>
          </w:p>
        </w:tc>
        <w:tc>
          <w:tcPr>
            <w:tcW w:w="1284" w:type="dxa"/>
          </w:tcPr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70.3% Male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29.7% Female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73.3% Male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t>26.7% Female</w:t>
            </w:r>
          </w:p>
        </w:tc>
        <w:tc>
          <w:tcPr>
            <w:tcW w:w="1284" w:type="dxa"/>
          </w:tcPr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35.1% ≤ III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64.9% ≥ IVA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60.0% ≤ III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40.0% ≥ IVA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</w:p>
        </w:tc>
        <w:tc>
          <w:tcPr>
            <w:tcW w:w="1312" w:type="dxa"/>
          </w:tcPr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8.2% T1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35.1% T2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29.7% T3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27.0% T4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20.0% T1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56.7% T2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10.0% T3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13.3% T4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</w:p>
        </w:tc>
        <w:tc>
          <w:tcPr>
            <w:tcW w:w="1311" w:type="dxa"/>
          </w:tcPr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vertAlign w:val="superscript"/>
              </w:rPr>
            </w:pPr>
            <w:r w:rsidRPr="00605485">
              <w:t>40.5% N0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8.1% N1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48.6% N2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2.8% N3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vertAlign w:val="superscript"/>
              </w:rPr>
            </w:pPr>
            <w:r w:rsidRPr="00605485">
              <w:t>30.0% N0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23.3% N1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46.7% N2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t>0.0% N3</w:t>
            </w:r>
          </w:p>
        </w:tc>
      </w:tr>
      <w:tr w:rsidR="00D702D1" w:rsidRPr="00605485" w:rsidTr="00C63C28">
        <w:trPr>
          <w:cnfStyle w:val="000000100000"/>
          <w:cantSplit/>
        </w:trPr>
        <w:tc>
          <w:tcPr>
            <w:cnfStyle w:val="001000000000"/>
            <w:tcW w:w="1297" w:type="dxa"/>
          </w:tcPr>
          <w:p w:rsidR="00D702D1" w:rsidRPr="00605485" w:rsidRDefault="00D702D1" w:rsidP="00D702D1">
            <w:pPr>
              <w:pStyle w:val="TableText"/>
            </w:pPr>
            <w:r w:rsidRPr="00605485">
              <w:t>Huang</w:t>
            </w:r>
          </w:p>
          <w:p w:rsidR="00D702D1" w:rsidRPr="00605485" w:rsidRDefault="00D702D1" w:rsidP="00CE6BAF">
            <w:pPr>
              <w:pStyle w:val="TableText"/>
            </w:pPr>
            <w:r w:rsidRPr="00605485">
              <w:t>(2013)</w:t>
            </w:r>
            <w:r w:rsidR="00CE6BAF" w:rsidRPr="00CE6BAF">
              <w:rPr>
                <w:vertAlign w:val="superscript"/>
              </w:rPr>
              <w:t>12</w:t>
            </w:r>
          </w:p>
        </w:tc>
        <w:tc>
          <w:tcPr>
            <w:tcW w:w="1309" w:type="dxa"/>
          </w:tcPr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Comparative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Retrospective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(poor)</w:t>
            </w:r>
          </w:p>
        </w:tc>
        <w:tc>
          <w:tcPr>
            <w:tcW w:w="1296" w:type="dxa"/>
          </w:tcPr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3DCRT (53)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IMRT (30)</w:t>
            </w:r>
          </w:p>
        </w:tc>
        <w:tc>
          <w:tcPr>
            <w:tcW w:w="1309" w:type="dxa"/>
          </w:tcPr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RT ± CCT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</w:p>
        </w:tc>
        <w:tc>
          <w:tcPr>
            <w:tcW w:w="1307" w:type="dxa"/>
          </w:tcPr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Nasopharynx</w:t>
            </w:r>
          </w:p>
          <w:p w:rsidR="00D702D1" w:rsidRPr="00605485" w:rsidRDefault="00D702D1" w:rsidP="00D702D1">
            <w:pPr>
              <w:pStyle w:val="TableText"/>
              <w:cnfStyle w:val="000000100000"/>
              <w:rPr>
                <w:u w:val="single"/>
              </w:rPr>
            </w:pPr>
            <w:r w:rsidRPr="00605485">
              <w:t>100%</w:t>
            </w:r>
          </w:p>
        </w:tc>
        <w:tc>
          <w:tcPr>
            <w:tcW w:w="1309" w:type="dxa"/>
          </w:tcPr>
          <w:p w:rsidR="00D702D1" w:rsidRPr="00605485" w:rsidRDefault="00D702D1" w:rsidP="00D702D1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Mean 52.3 ± 13.9 years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(range 18-78 years)</w:t>
            </w:r>
          </w:p>
          <w:p w:rsidR="00D702D1" w:rsidRPr="00605485" w:rsidRDefault="00D702D1" w:rsidP="00D702D1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Mean 48.2 ± 14.0 years</w:t>
            </w:r>
          </w:p>
          <w:p w:rsidR="00D702D1" w:rsidRPr="00605485" w:rsidRDefault="00D702D1" w:rsidP="00D702D1">
            <w:pPr>
              <w:pStyle w:val="TableText"/>
              <w:cnfStyle w:val="000000100000"/>
              <w:rPr>
                <w:u w:val="single"/>
              </w:rPr>
            </w:pPr>
            <w:r w:rsidRPr="00605485">
              <w:t>(range 19-78 years)</w:t>
            </w:r>
          </w:p>
        </w:tc>
        <w:tc>
          <w:tcPr>
            <w:tcW w:w="1284" w:type="dxa"/>
          </w:tcPr>
          <w:p w:rsidR="00D702D1" w:rsidRPr="00605485" w:rsidRDefault="00D702D1" w:rsidP="00D702D1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83% Male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17% Female</w:t>
            </w:r>
          </w:p>
          <w:p w:rsidR="00D702D1" w:rsidRPr="00605485" w:rsidRDefault="00D702D1" w:rsidP="00D702D1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83.3% Male</w:t>
            </w:r>
          </w:p>
          <w:p w:rsidR="00D702D1" w:rsidRPr="00605485" w:rsidRDefault="00D702D1" w:rsidP="00D702D1">
            <w:pPr>
              <w:pStyle w:val="TableText"/>
              <w:cnfStyle w:val="000000100000"/>
              <w:rPr>
                <w:u w:val="single"/>
              </w:rPr>
            </w:pPr>
            <w:r w:rsidRPr="00605485">
              <w:t>16.7% Female</w:t>
            </w:r>
          </w:p>
        </w:tc>
        <w:tc>
          <w:tcPr>
            <w:tcW w:w="1284" w:type="dxa"/>
          </w:tcPr>
          <w:p w:rsidR="00D702D1" w:rsidRPr="00605485" w:rsidRDefault="00D702D1" w:rsidP="00D702D1">
            <w:pPr>
              <w:pStyle w:val="TableText"/>
              <w:cnfStyle w:val="000000100000"/>
              <w:rPr>
                <w:u w:val="single"/>
              </w:rPr>
            </w:pPr>
            <w:r w:rsidRPr="00605485">
              <w:t>Not reported</w:t>
            </w:r>
          </w:p>
        </w:tc>
        <w:tc>
          <w:tcPr>
            <w:tcW w:w="1312" w:type="dxa"/>
          </w:tcPr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All included patients were enrolled with Nonmetastatic T4 lesions</w:t>
            </w:r>
          </w:p>
        </w:tc>
        <w:tc>
          <w:tcPr>
            <w:tcW w:w="1311" w:type="dxa"/>
          </w:tcPr>
          <w:p w:rsidR="00D702D1" w:rsidRPr="00605485" w:rsidRDefault="00D702D1" w:rsidP="00D702D1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D702D1">
            <w:pPr>
              <w:pStyle w:val="TableText"/>
              <w:cnfStyle w:val="000000100000"/>
              <w:rPr>
                <w:vertAlign w:val="superscript"/>
              </w:rPr>
            </w:pPr>
            <w:r w:rsidRPr="00605485">
              <w:t>22.6% N0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32.1% N1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43.4% N2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1.9% N3</w:t>
            </w:r>
          </w:p>
          <w:p w:rsidR="00D702D1" w:rsidRPr="00605485" w:rsidRDefault="00D702D1" w:rsidP="00D702D1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100000"/>
              <w:rPr>
                <w:vertAlign w:val="superscript"/>
              </w:rPr>
            </w:pPr>
            <w:r w:rsidRPr="00605485">
              <w:t>10.0% N0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23.3% N1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63.3% N2</w:t>
            </w:r>
          </w:p>
          <w:p w:rsidR="00D702D1" w:rsidRPr="00605485" w:rsidRDefault="00D702D1" w:rsidP="00D702D1">
            <w:pPr>
              <w:pStyle w:val="TableText"/>
              <w:cnfStyle w:val="000000100000"/>
              <w:rPr>
                <w:u w:val="single"/>
              </w:rPr>
            </w:pPr>
            <w:r w:rsidRPr="00605485">
              <w:t>3.3% N3</w:t>
            </w:r>
          </w:p>
        </w:tc>
      </w:tr>
      <w:tr w:rsidR="00D702D1" w:rsidRPr="00605485" w:rsidTr="00C63C28">
        <w:trPr>
          <w:cnfStyle w:val="000000010000"/>
          <w:cantSplit/>
        </w:trPr>
        <w:tc>
          <w:tcPr>
            <w:cnfStyle w:val="001000000000"/>
            <w:tcW w:w="1297" w:type="dxa"/>
          </w:tcPr>
          <w:p w:rsidR="00D702D1" w:rsidRPr="00605485" w:rsidRDefault="00D702D1" w:rsidP="00CE6BAF">
            <w:pPr>
              <w:pStyle w:val="TableText"/>
            </w:pPr>
            <w:r w:rsidRPr="00605485">
              <w:lastRenderedPageBreak/>
              <w:t>Lohia (2014)</w:t>
            </w:r>
            <w:r w:rsidR="00CE6BAF" w:rsidRPr="00CE6BAF">
              <w:rPr>
                <w:vertAlign w:val="superscript"/>
              </w:rPr>
              <w:t>13</w:t>
            </w:r>
          </w:p>
        </w:tc>
        <w:tc>
          <w:tcPr>
            <w:tcW w:w="1309" w:type="dxa"/>
          </w:tcPr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Comparative Retrospective (poor)</w:t>
            </w:r>
          </w:p>
        </w:tc>
        <w:tc>
          <w:tcPr>
            <w:tcW w:w="1296" w:type="dxa"/>
          </w:tcPr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3DCRT (56)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IMRT (103)</w:t>
            </w:r>
          </w:p>
        </w:tc>
        <w:tc>
          <w:tcPr>
            <w:tcW w:w="1309" w:type="dxa"/>
          </w:tcPr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RT ± CCT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</w:p>
        </w:tc>
        <w:tc>
          <w:tcPr>
            <w:tcW w:w="1307" w:type="dxa"/>
          </w:tcPr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Oropharynx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100%</w:t>
            </w:r>
          </w:p>
        </w:tc>
        <w:tc>
          <w:tcPr>
            <w:tcW w:w="1309" w:type="dxa"/>
          </w:tcPr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Median 58.5 years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(range 33-78 years)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Median 58.5 years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t>(range 37-82 years)</w:t>
            </w:r>
          </w:p>
        </w:tc>
        <w:tc>
          <w:tcPr>
            <w:tcW w:w="1284" w:type="dxa"/>
          </w:tcPr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80.4% Male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19.6% Female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85.4% Male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t>14.6% Female</w:t>
            </w:r>
          </w:p>
        </w:tc>
        <w:tc>
          <w:tcPr>
            <w:tcW w:w="1284" w:type="dxa"/>
          </w:tcPr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0% I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5% II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30% III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21% IV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0% I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11% II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65% III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27% IV</w:t>
            </w:r>
          </w:p>
        </w:tc>
        <w:tc>
          <w:tcPr>
            <w:tcW w:w="1312" w:type="dxa"/>
          </w:tcPr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8.9% T1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35.7% T2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19.6% T3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28.6% T4a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7.1% T4b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10.7% T1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47.6% T2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21.4% T3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12.6% T4a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t>7.8% T4b</w:t>
            </w:r>
          </w:p>
        </w:tc>
        <w:tc>
          <w:tcPr>
            <w:tcW w:w="1311" w:type="dxa"/>
          </w:tcPr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7.1% N0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19.6% N1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17.9% N2a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21.4% N2b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32.1% N2c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1.8% N3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9.7% N0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9.7% N1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9.7% N2a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37.9% N2b</w:t>
            </w:r>
          </w:p>
          <w:p w:rsidR="00D702D1" w:rsidRPr="00605485" w:rsidRDefault="00D702D1" w:rsidP="00D702D1">
            <w:pPr>
              <w:pStyle w:val="TableText"/>
              <w:cnfStyle w:val="000000010000"/>
            </w:pPr>
            <w:r w:rsidRPr="00605485">
              <w:t>27.2% N2c</w:t>
            </w:r>
          </w:p>
          <w:p w:rsidR="00D702D1" w:rsidRPr="00605485" w:rsidRDefault="00D702D1" w:rsidP="00D702D1">
            <w:pPr>
              <w:pStyle w:val="TableText"/>
              <w:cnfStyle w:val="000000010000"/>
              <w:rPr>
                <w:u w:val="single"/>
              </w:rPr>
            </w:pPr>
            <w:r w:rsidRPr="00605485">
              <w:t>5.8% N3</w:t>
            </w:r>
          </w:p>
        </w:tc>
      </w:tr>
      <w:tr w:rsidR="00D702D1" w:rsidRPr="00605485" w:rsidTr="00C63C28">
        <w:trPr>
          <w:cnfStyle w:val="000000100000"/>
          <w:cantSplit/>
        </w:trPr>
        <w:tc>
          <w:tcPr>
            <w:cnfStyle w:val="001000000000"/>
            <w:tcW w:w="1297" w:type="dxa"/>
          </w:tcPr>
          <w:p w:rsidR="00D702D1" w:rsidRPr="00605485" w:rsidRDefault="00D702D1" w:rsidP="00D702D1">
            <w:pPr>
              <w:pStyle w:val="TableText"/>
            </w:pPr>
            <w:r w:rsidRPr="00605485">
              <w:t>Mok</w:t>
            </w:r>
          </w:p>
          <w:p w:rsidR="00D702D1" w:rsidRPr="00605485" w:rsidRDefault="00D702D1" w:rsidP="00CE6BAF">
            <w:pPr>
              <w:pStyle w:val="TableText"/>
            </w:pPr>
            <w:r w:rsidRPr="00605485">
              <w:t>(2014)</w:t>
            </w:r>
            <w:r w:rsidR="00CE6BAF" w:rsidRPr="00CE6BAF">
              <w:rPr>
                <w:vertAlign w:val="superscript"/>
              </w:rPr>
              <w:t>14</w:t>
            </w:r>
          </w:p>
        </w:tc>
        <w:tc>
          <w:tcPr>
            <w:tcW w:w="1309" w:type="dxa"/>
          </w:tcPr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Comparative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Retrospective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(poor)</w:t>
            </w:r>
          </w:p>
        </w:tc>
        <w:tc>
          <w:tcPr>
            <w:tcW w:w="1296" w:type="dxa"/>
          </w:tcPr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3DCRT (90)</w:t>
            </w:r>
          </w:p>
          <w:p w:rsidR="00D702D1" w:rsidRPr="00605485" w:rsidRDefault="00D702D1" w:rsidP="00B20085">
            <w:pPr>
              <w:pStyle w:val="TableText"/>
              <w:cnfStyle w:val="000000100000"/>
            </w:pPr>
            <w:r w:rsidRPr="00605485">
              <w:t>IMRT (91)</w:t>
            </w:r>
          </w:p>
        </w:tc>
        <w:tc>
          <w:tcPr>
            <w:tcW w:w="1309" w:type="dxa"/>
          </w:tcPr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RT ± CCT</w:t>
            </w:r>
          </w:p>
          <w:p w:rsidR="00D702D1" w:rsidRPr="00605485" w:rsidRDefault="00D702D1" w:rsidP="00964E31">
            <w:pPr>
              <w:pStyle w:val="TableText"/>
              <w:cnfStyle w:val="000000100000"/>
            </w:pPr>
          </w:p>
        </w:tc>
        <w:tc>
          <w:tcPr>
            <w:tcW w:w="1307" w:type="dxa"/>
          </w:tcPr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Hypopharynx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100%</w:t>
            </w:r>
          </w:p>
        </w:tc>
        <w:tc>
          <w:tcPr>
            <w:tcW w:w="1309" w:type="dxa"/>
          </w:tcPr>
          <w:p w:rsidR="00D702D1" w:rsidRPr="00605485" w:rsidRDefault="00D702D1" w:rsidP="00D702D1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Median 62 years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(range 43-84 years)</w:t>
            </w:r>
          </w:p>
          <w:p w:rsidR="00D702D1" w:rsidRPr="00605485" w:rsidRDefault="00D702D1" w:rsidP="00D702D1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Median 67 years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(range 35-85 years)</w:t>
            </w:r>
          </w:p>
        </w:tc>
        <w:tc>
          <w:tcPr>
            <w:tcW w:w="1284" w:type="dxa"/>
          </w:tcPr>
          <w:p w:rsidR="00D702D1" w:rsidRPr="00605485" w:rsidRDefault="00D702D1" w:rsidP="00D702D1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84.0% Male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16.0% Female</w:t>
            </w:r>
          </w:p>
          <w:p w:rsidR="00D702D1" w:rsidRPr="00605485" w:rsidRDefault="00D702D1" w:rsidP="00D702D1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81.0% Male</w:t>
            </w:r>
          </w:p>
          <w:p w:rsidR="00D702D1" w:rsidRPr="00605485" w:rsidRDefault="00D702D1" w:rsidP="00D702D1">
            <w:pPr>
              <w:pStyle w:val="TableText"/>
              <w:cnfStyle w:val="000000100000"/>
              <w:rPr>
                <w:u w:val="single"/>
              </w:rPr>
            </w:pPr>
            <w:r w:rsidRPr="00605485">
              <w:t>19.0% Female</w:t>
            </w:r>
          </w:p>
        </w:tc>
        <w:tc>
          <w:tcPr>
            <w:tcW w:w="1284" w:type="dxa"/>
          </w:tcPr>
          <w:p w:rsidR="00D702D1" w:rsidRPr="00605485" w:rsidRDefault="00D702D1" w:rsidP="00B20085">
            <w:pPr>
              <w:pStyle w:val="TableText"/>
              <w:cnfStyle w:val="000000100000"/>
              <w:rPr>
                <w:u w:val="single"/>
              </w:rPr>
            </w:pPr>
            <w:r w:rsidRPr="00605485">
              <w:t>Not reported</w:t>
            </w:r>
          </w:p>
        </w:tc>
        <w:tc>
          <w:tcPr>
            <w:tcW w:w="1312" w:type="dxa"/>
          </w:tcPr>
          <w:p w:rsidR="00D702D1" w:rsidRPr="00605485" w:rsidRDefault="00D702D1" w:rsidP="00D702D1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46% T1-T2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54% T3-T4</w:t>
            </w:r>
          </w:p>
          <w:p w:rsidR="00D702D1" w:rsidRPr="00605485" w:rsidRDefault="00D702D1" w:rsidP="00D702D1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38% T1-T2</w:t>
            </w:r>
          </w:p>
          <w:p w:rsidR="00D702D1" w:rsidRPr="00605485" w:rsidRDefault="00D702D1" w:rsidP="00D702D1">
            <w:pPr>
              <w:pStyle w:val="TableText"/>
              <w:cnfStyle w:val="000000100000"/>
              <w:rPr>
                <w:u w:val="single"/>
              </w:rPr>
            </w:pPr>
            <w:r w:rsidRPr="00605485">
              <w:t>62% T3-T4</w:t>
            </w:r>
          </w:p>
        </w:tc>
        <w:tc>
          <w:tcPr>
            <w:tcW w:w="1311" w:type="dxa"/>
          </w:tcPr>
          <w:p w:rsidR="00D702D1" w:rsidRPr="00605485" w:rsidRDefault="00D702D1" w:rsidP="00D702D1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3DCRT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58% N0-N2a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42% N2b-N3</w:t>
            </w:r>
          </w:p>
          <w:p w:rsidR="00D702D1" w:rsidRPr="00605485" w:rsidRDefault="00D702D1" w:rsidP="00D702D1">
            <w:pPr>
              <w:pStyle w:val="TableText"/>
              <w:cnfStyle w:val="000000100000"/>
              <w:rPr>
                <w:u w:val="single"/>
              </w:rPr>
            </w:pPr>
            <w:r w:rsidRPr="00605485">
              <w:rPr>
                <w:u w:val="single"/>
              </w:rPr>
              <w:t>IMRT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37% N0-N2a</w:t>
            </w:r>
          </w:p>
          <w:p w:rsidR="00D702D1" w:rsidRPr="00605485" w:rsidRDefault="00D702D1" w:rsidP="00D702D1">
            <w:pPr>
              <w:pStyle w:val="TableText"/>
              <w:cnfStyle w:val="000000100000"/>
            </w:pPr>
            <w:r w:rsidRPr="00605485">
              <w:t>63% N2b-N3</w:t>
            </w:r>
          </w:p>
        </w:tc>
      </w:tr>
      <w:tr w:rsidR="00D702D1" w:rsidRPr="00605485" w:rsidTr="00C63C28">
        <w:trPr>
          <w:cnfStyle w:val="000000010000"/>
          <w:cantSplit/>
        </w:trPr>
        <w:tc>
          <w:tcPr>
            <w:cnfStyle w:val="001000000000"/>
            <w:tcW w:w="1297" w:type="dxa"/>
          </w:tcPr>
          <w:p w:rsidR="00D702D1" w:rsidRPr="00605485" w:rsidRDefault="00D702D1" w:rsidP="00B20085">
            <w:pPr>
              <w:pStyle w:val="TableText"/>
              <w:rPr>
                <w:b w:val="0"/>
              </w:rPr>
            </w:pPr>
            <w:r w:rsidRPr="00605485">
              <w:lastRenderedPageBreak/>
              <w:t xml:space="preserve">Ozyigit </w:t>
            </w:r>
          </w:p>
          <w:p w:rsidR="00D702D1" w:rsidRPr="00605485" w:rsidRDefault="00D702D1" w:rsidP="00CE6BAF">
            <w:pPr>
              <w:pStyle w:val="TableText"/>
              <w:rPr>
                <w:b w:val="0"/>
              </w:rPr>
            </w:pPr>
            <w:r w:rsidRPr="00605485">
              <w:t>(2011)</w:t>
            </w:r>
            <w:r w:rsidR="00CE6BAF" w:rsidRPr="00CE6BAF">
              <w:rPr>
                <w:vertAlign w:val="superscript"/>
              </w:rPr>
              <w:t>15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Comparative Retrospective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(poor)</w:t>
            </w:r>
          </w:p>
        </w:tc>
        <w:tc>
          <w:tcPr>
            <w:tcW w:w="1296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 xml:space="preserve">3DCRT (27) </w:t>
            </w:r>
          </w:p>
          <w:p w:rsidR="00D702D1" w:rsidRPr="00605485" w:rsidRDefault="00D702D1" w:rsidP="005541F4">
            <w:pPr>
              <w:pStyle w:val="TableText"/>
              <w:cnfStyle w:val="000000010000"/>
            </w:pPr>
            <w:r w:rsidRPr="00605485">
              <w:t>SBRT (24)</w:t>
            </w:r>
          </w:p>
        </w:tc>
        <w:tc>
          <w:tcPr>
            <w:tcW w:w="1309" w:type="dxa"/>
          </w:tcPr>
          <w:p w:rsidR="00D702D1" w:rsidRPr="00605485" w:rsidRDefault="00D702D1" w:rsidP="00964E31">
            <w:pPr>
              <w:pStyle w:val="TableText"/>
              <w:cnfStyle w:val="000000010000"/>
            </w:pPr>
            <w:r w:rsidRPr="00605485">
              <w:t xml:space="preserve">rRT ± CCT </w:t>
            </w:r>
          </w:p>
        </w:tc>
        <w:tc>
          <w:tcPr>
            <w:tcW w:w="1307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Nasopharynx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100%</w:t>
            </w:r>
          </w:p>
        </w:tc>
        <w:tc>
          <w:tcPr>
            <w:tcW w:w="1309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Median 46 years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(range 13-70 years)</w:t>
            </w:r>
          </w:p>
          <w:p w:rsidR="00D702D1" w:rsidRPr="00605485" w:rsidRDefault="00D702D1" w:rsidP="00B20085">
            <w:pPr>
              <w:pStyle w:val="TableText"/>
              <w:cnfStyle w:val="000000010000"/>
              <w:rPr>
                <w:u w:val="single"/>
              </w:rPr>
            </w:pPr>
          </w:p>
          <w:p w:rsidR="00D702D1" w:rsidRPr="00605485" w:rsidRDefault="00D702D1" w:rsidP="00B20085">
            <w:pPr>
              <w:pStyle w:val="TableText"/>
              <w:cnfStyle w:val="000000010000"/>
              <w:rPr>
                <w:u w:val="single"/>
                <w:vertAlign w:val="superscript"/>
              </w:rPr>
            </w:pPr>
            <w:r w:rsidRPr="00605485">
              <w:rPr>
                <w:u w:val="single"/>
              </w:rPr>
              <w:t>3DCRT</w:t>
            </w:r>
            <w:r w:rsidRPr="00605485">
              <w:rPr>
                <w:vertAlign w:val="superscript"/>
              </w:rPr>
              <w:t>b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52% &lt; 46 years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48% ≥ 46 years</w:t>
            </w:r>
          </w:p>
          <w:p w:rsidR="00D702D1" w:rsidRPr="00605485" w:rsidRDefault="00D702D1" w:rsidP="00B20085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SBRT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42% &lt; 46 years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58% ≥ 46 years</w:t>
            </w:r>
          </w:p>
        </w:tc>
        <w:tc>
          <w:tcPr>
            <w:tcW w:w="1284" w:type="dxa"/>
          </w:tcPr>
          <w:p w:rsidR="00D702D1" w:rsidRPr="00605485" w:rsidRDefault="00D702D1" w:rsidP="00B20085">
            <w:pPr>
              <w:pStyle w:val="TableText"/>
              <w:cnfStyle w:val="000000010000"/>
              <w:rPr>
                <w:vertAlign w:val="superscript"/>
              </w:rPr>
            </w:pPr>
            <w:r w:rsidRPr="00605485">
              <w:rPr>
                <w:u w:val="single"/>
              </w:rPr>
              <w:t>3DCRT</w:t>
            </w:r>
            <w:r w:rsidRPr="00605485">
              <w:rPr>
                <w:vertAlign w:val="superscript"/>
              </w:rPr>
              <w:t>b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78% Male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22% Female</w:t>
            </w:r>
          </w:p>
          <w:p w:rsidR="00D702D1" w:rsidRPr="00605485" w:rsidRDefault="00D702D1" w:rsidP="00B20085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SBRT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63% Male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37% Female</w:t>
            </w:r>
          </w:p>
        </w:tc>
        <w:tc>
          <w:tcPr>
            <w:tcW w:w="1284" w:type="dxa"/>
          </w:tcPr>
          <w:p w:rsidR="00D702D1" w:rsidRPr="00605485" w:rsidRDefault="00D702D1" w:rsidP="00B20085">
            <w:pPr>
              <w:pStyle w:val="TableText"/>
              <w:cnfStyle w:val="000000010000"/>
              <w:rPr>
                <w:vertAlign w:val="superscript"/>
              </w:rPr>
            </w:pPr>
            <w:r w:rsidRPr="00605485">
              <w:rPr>
                <w:u w:val="single"/>
              </w:rPr>
              <w:t>3DCRT</w:t>
            </w:r>
            <w:r w:rsidRPr="00605485">
              <w:rPr>
                <w:vertAlign w:val="superscript"/>
              </w:rPr>
              <w:t>b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7% I (11% rI)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30% II (11% rII)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30% III (37% rIII)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33% IV (41% rIV)</w:t>
            </w:r>
          </w:p>
          <w:p w:rsidR="00D702D1" w:rsidRPr="00605485" w:rsidRDefault="00D702D1" w:rsidP="00B20085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SBRT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8% I (21% rI)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17% II (8% rII)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46% III (25% rIII)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29% IV (46% rIV)</w:t>
            </w:r>
          </w:p>
        </w:tc>
        <w:tc>
          <w:tcPr>
            <w:tcW w:w="1312" w:type="dxa"/>
          </w:tcPr>
          <w:p w:rsidR="00D702D1" w:rsidRPr="00605485" w:rsidRDefault="00D702D1" w:rsidP="00B20085">
            <w:pPr>
              <w:pStyle w:val="TableText"/>
              <w:cnfStyle w:val="000000010000"/>
              <w:rPr>
                <w:vertAlign w:val="superscript"/>
              </w:rPr>
            </w:pPr>
            <w:r w:rsidRPr="00605485">
              <w:rPr>
                <w:u w:val="single"/>
              </w:rPr>
              <w:t>3DCRT</w:t>
            </w:r>
            <w:r w:rsidRPr="00605485">
              <w:rPr>
                <w:vertAlign w:val="superscript"/>
              </w:rPr>
              <w:t>b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30% TI (15% rT2)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18% T2 (7% rT2)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26% T3 (37% rT3)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26% T4 (41% rT4)</w:t>
            </w:r>
          </w:p>
          <w:p w:rsidR="00D702D1" w:rsidRPr="00605485" w:rsidRDefault="00D702D1" w:rsidP="00B20085">
            <w:pPr>
              <w:pStyle w:val="TableText"/>
              <w:cnfStyle w:val="000000010000"/>
              <w:rPr>
                <w:u w:val="single"/>
              </w:rPr>
            </w:pPr>
            <w:r w:rsidRPr="00605485">
              <w:rPr>
                <w:u w:val="single"/>
              </w:rPr>
              <w:t>SBRT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29% TI (21% rT1)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17% T2 (8% rT2)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29% T3 (25% rT3)</w:t>
            </w:r>
          </w:p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25% T4 (46% rT4)</w:t>
            </w:r>
          </w:p>
        </w:tc>
        <w:tc>
          <w:tcPr>
            <w:tcW w:w="1311" w:type="dxa"/>
          </w:tcPr>
          <w:p w:rsidR="00D702D1" w:rsidRPr="00605485" w:rsidRDefault="00D702D1" w:rsidP="00B20085">
            <w:pPr>
              <w:pStyle w:val="TableText"/>
              <w:cnfStyle w:val="000000010000"/>
            </w:pPr>
            <w:r w:rsidRPr="00605485">
              <w:t>Not reported</w:t>
            </w:r>
          </w:p>
        </w:tc>
      </w:tr>
    </w:tbl>
    <w:p w:rsidR="00D702D1" w:rsidRDefault="00CE6BAF" w:rsidP="00D702D1">
      <w:pPr>
        <w:pStyle w:val="TableNote"/>
        <w:contextualSpacing/>
        <w:rPr>
          <w:rFonts w:cs="Arial"/>
          <w:szCs w:val="18"/>
        </w:rPr>
      </w:pPr>
      <w:r w:rsidRPr="00CE6BAF">
        <w:rPr>
          <w:b/>
        </w:rPr>
        <w:t>Abbreviations:</w:t>
      </w:r>
      <w:r>
        <w:t xml:space="preserve"> </w:t>
      </w:r>
      <w:r w:rsidR="00D702D1">
        <w:t xml:space="preserve">AJCC = American Joint Commission on Cancer; </w:t>
      </w:r>
      <w:r w:rsidR="00D702D1" w:rsidRPr="00025CA6">
        <w:t xml:space="preserve">CCT = concurrent chemotherapy; CCRT = concurrent chemoradiotherapy; IMRT = intensity-modulated radiotherapy; RCT = randomized clinical trial; RT = radiotherapy; SBRT = stereotactic body radiotherapy; </w:t>
      </w:r>
      <w:r w:rsidR="00D702D1">
        <w:t>3DCRT</w:t>
      </w:r>
      <w:r w:rsidR="00D702D1" w:rsidRPr="00025CA6">
        <w:t xml:space="preserve"> = three-dimensional conformal radiotherapy</w:t>
      </w:r>
      <w:r w:rsidR="00D702D1">
        <w:t xml:space="preserve">; </w:t>
      </w:r>
      <w:r w:rsidR="00D702D1" w:rsidRPr="00C650A7">
        <w:t xml:space="preserve">USPSTF = </w:t>
      </w:r>
      <w:r w:rsidR="00D702D1" w:rsidRPr="00B611B8">
        <w:t>United States Preventive Services Task Force</w:t>
      </w:r>
      <w:r w:rsidR="00D702D1" w:rsidRPr="00377874">
        <w:t>.</w:t>
      </w:r>
      <w:r w:rsidR="00D702D1">
        <w:br/>
      </w:r>
      <w:r w:rsidR="00D702D1">
        <w:rPr>
          <w:rFonts w:cs="Arial"/>
          <w:sz w:val="16"/>
          <w:szCs w:val="16"/>
          <w:vertAlign w:val="superscript"/>
        </w:rPr>
        <w:t>a</w:t>
      </w:r>
      <w:r w:rsidR="00D702D1" w:rsidRPr="00B253A2">
        <w:t>No breakdown of the characteristic between treatment arms was provided</w:t>
      </w:r>
      <w:r w:rsidR="00D702D1">
        <w:t>.</w:t>
      </w:r>
      <w:r w:rsidR="00D702D1">
        <w:rPr>
          <w:rFonts w:cs="Arial"/>
          <w:szCs w:val="18"/>
        </w:rPr>
        <w:br/>
      </w:r>
      <w:r w:rsidR="00D702D1">
        <w:rPr>
          <w:vertAlign w:val="superscript"/>
        </w:rPr>
        <w:t>b</w:t>
      </w:r>
      <w:r w:rsidR="00D702D1" w:rsidRPr="00B253A2">
        <w:rPr>
          <w:rFonts w:cs="Arial"/>
          <w:szCs w:val="18"/>
        </w:rPr>
        <w:t xml:space="preserve">Six (22.2%) of patients in the </w:t>
      </w:r>
      <w:r w:rsidR="00D702D1">
        <w:rPr>
          <w:rFonts w:cs="Arial"/>
          <w:szCs w:val="18"/>
        </w:rPr>
        <w:t>3DCRT</w:t>
      </w:r>
      <w:r w:rsidR="00D702D1" w:rsidRPr="00B253A2">
        <w:rPr>
          <w:rFonts w:cs="Arial"/>
          <w:szCs w:val="18"/>
        </w:rPr>
        <w:t xml:space="preserve"> treatment arm also received high-dose rate brachytherapy.</w:t>
      </w:r>
      <w:r w:rsidR="00D702D1">
        <w:rPr>
          <w:rFonts w:cs="Arial"/>
          <w:szCs w:val="18"/>
        </w:rPr>
        <w:t xml:space="preserve"> </w:t>
      </w:r>
      <w:r w:rsidR="00D702D1" w:rsidRPr="00B253A2">
        <w:rPr>
          <w:rFonts w:cs="Arial"/>
          <w:szCs w:val="18"/>
        </w:rPr>
        <w:t xml:space="preserve">As reported, these data do not reflect a discrimination between </w:t>
      </w:r>
      <w:r w:rsidR="00D702D1">
        <w:rPr>
          <w:rFonts w:cs="Arial"/>
          <w:szCs w:val="18"/>
        </w:rPr>
        <w:t xml:space="preserve">positive </w:t>
      </w:r>
      <w:r w:rsidR="00D702D1" w:rsidRPr="00B253A2">
        <w:rPr>
          <w:rFonts w:cs="Arial"/>
          <w:szCs w:val="18"/>
        </w:rPr>
        <w:t xml:space="preserve">brachytherapy and </w:t>
      </w:r>
      <w:r w:rsidR="00D702D1">
        <w:rPr>
          <w:rFonts w:cs="Arial"/>
          <w:szCs w:val="18"/>
        </w:rPr>
        <w:t xml:space="preserve">negative </w:t>
      </w:r>
      <w:r w:rsidR="00D702D1" w:rsidRPr="00B253A2">
        <w:rPr>
          <w:rFonts w:cs="Arial"/>
          <w:szCs w:val="18"/>
        </w:rPr>
        <w:t>brachytherapy subjects.</w:t>
      </w:r>
    </w:p>
    <w:p w:rsidR="00D702D1" w:rsidRPr="00837A8E" w:rsidRDefault="00D702D1" w:rsidP="00D702D1">
      <w:pPr>
        <w:pStyle w:val="TableNote"/>
        <w:contextualSpacing/>
      </w:pPr>
      <w:r>
        <w:rPr>
          <w:rFonts w:cs="Arial"/>
          <w:szCs w:val="18"/>
          <w:vertAlign w:val="superscript"/>
        </w:rPr>
        <w:t>c</w:t>
      </w:r>
      <w:r>
        <w:rPr>
          <w:rFonts w:cs="Arial"/>
          <w:szCs w:val="18"/>
        </w:rPr>
        <w:t>No breakdown of the characteristic between RT regimen was provided, however, it was reported that there was no significant difference between treatment arms.</w:t>
      </w:r>
    </w:p>
    <w:sectPr w:rsidR="00D702D1" w:rsidRPr="00837A8E" w:rsidSect="00BD00A7">
      <w:footerReference w:type="default" r:id="rId12"/>
      <w:pgSz w:w="15840" w:h="12240" w:orient="landscape" w:code="1"/>
      <w:pgMar w:top="1440" w:right="1440" w:bottom="1440" w:left="1440" w:header="720" w:footer="720" w:gutter="0"/>
      <w:pgNumType w:start="7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AE4" w:rsidRDefault="00157AE4" w:rsidP="000F546A">
      <w:r>
        <w:separator/>
      </w:r>
    </w:p>
  </w:endnote>
  <w:endnote w:type="continuationSeparator" w:id="1">
    <w:p w:rsidR="00157AE4" w:rsidRDefault="00157AE4" w:rsidP="000F546A">
      <w:r>
        <w:continuationSeparator/>
      </w:r>
    </w:p>
  </w:endnote>
  <w:endnote w:type="continuationNotice" w:id="2">
    <w:p w:rsidR="00157AE4" w:rsidRDefault="00157AE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AFD" w:rsidRPr="00D702D1" w:rsidRDefault="00800A30" w:rsidP="00D702D1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B</w:t>
    </w:r>
    <w:r w:rsidR="00835AFD">
      <w:rPr>
        <w:rFonts w:ascii="Times New Roman" w:hAnsi="Times New Roman"/>
      </w:rPr>
      <w:t>-</w:t>
    </w:r>
    <w:r w:rsidR="000875C5" w:rsidRPr="005B52DF">
      <w:rPr>
        <w:rFonts w:ascii="Times New Roman" w:hAnsi="Times New Roman"/>
      </w:rPr>
      <w:fldChar w:fldCharType="begin"/>
    </w:r>
    <w:r w:rsidR="00835AFD" w:rsidRPr="005B52DF">
      <w:rPr>
        <w:rFonts w:ascii="Times New Roman" w:hAnsi="Times New Roman"/>
      </w:rPr>
      <w:instrText xml:space="preserve"> PAGE   \* MERGEFORMAT </w:instrText>
    </w:r>
    <w:r w:rsidR="000875C5" w:rsidRPr="005B52DF">
      <w:rPr>
        <w:rFonts w:ascii="Times New Roman" w:hAnsi="Times New Roman"/>
      </w:rPr>
      <w:fldChar w:fldCharType="separate"/>
    </w:r>
    <w:r w:rsidR="00BD00A7">
      <w:rPr>
        <w:rFonts w:ascii="Times New Roman" w:hAnsi="Times New Roman"/>
        <w:noProof/>
      </w:rPr>
      <w:t>12</w:t>
    </w:r>
    <w:r w:rsidR="000875C5" w:rsidRPr="005B52DF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AE4" w:rsidRDefault="00157AE4" w:rsidP="000F546A">
      <w:r>
        <w:separator/>
      </w:r>
    </w:p>
  </w:footnote>
  <w:footnote w:type="continuationSeparator" w:id="1">
    <w:p w:rsidR="00157AE4" w:rsidRDefault="00157AE4" w:rsidP="000F546A">
      <w:r>
        <w:continuationSeparator/>
      </w:r>
    </w:p>
  </w:footnote>
  <w:footnote w:type="continuationNotice" w:id="2">
    <w:p w:rsidR="00157AE4" w:rsidRDefault="00157A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9839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F4084"/>
    <w:multiLevelType w:val="hybridMultilevel"/>
    <w:tmpl w:val="E468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57D4F"/>
    <w:multiLevelType w:val="hybridMultilevel"/>
    <w:tmpl w:val="4152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222BC"/>
    <w:multiLevelType w:val="hybridMultilevel"/>
    <w:tmpl w:val="871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64665"/>
    <w:multiLevelType w:val="hybridMultilevel"/>
    <w:tmpl w:val="B40E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17C9E"/>
    <w:multiLevelType w:val="hybridMultilevel"/>
    <w:tmpl w:val="37DA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00CBF"/>
    <w:multiLevelType w:val="hybridMultilevel"/>
    <w:tmpl w:val="479A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91D41"/>
    <w:multiLevelType w:val="hybridMultilevel"/>
    <w:tmpl w:val="D5B8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22F56"/>
    <w:multiLevelType w:val="hybridMultilevel"/>
    <w:tmpl w:val="55AAB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FD40C39"/>
    <w:multiLevelType w:val="hybridMultilevel"/>
    <w:tmpl w:val="26CA70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AA1662B"/>
    <w:multiLevelType w:val="hybridMultilevel"/>
    <w:tmpl w:val="AE36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00E07"/>
    <w:multiLevelType w:val="hybridMultilevel"/>
    <w:tmpl w:val="CB74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75A62"/>
    <w:multiLevelType w:val="hybridMultilevel"/>
    <w:tmpl w:val="5008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827BC"/>
    <w:multiLevelType w:val="hybridMultilevel"/>
    <w:tmpl w:val="01C2D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B2E8E"/>
    <w:multiLevelType w:val="hybridMultilevel"/>
    <w:tmpl w:val="5B64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651095"/>
    <w:multiLevelType w:val="hybridMultilevel"/>
    <w:tmpl w:val="9C9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44068"/>
    <w:multiLevelType w:val="hybridMultilevel"/>
    <w:tmpl w:val="0D5E378E"/>
    <w:lvl w:ilvl="0" w:tplc="055AB4C6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516F6083"/>
    <w:multiLevelType w:val="hybridMultilevel"/>
    <w:tmpl w:val="3AC2AABE"/>
    <w:lvl w:ilvl="0" w:tplc="ECC02C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E092C9C8">
      <w:start w:val="1"/>
      <w:numFmt w:val="bullet"/>
      <w:pStyle w:val="Bullet2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DA295A"/>
    <w:multiLevelType w:val="hybridMultilevel"/>
    <w:tmpl w:val="30768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42854"/>
    <w:multiLevelType w:val="hybridMultilevel"/>
    <w:tmpl w:val="C6D80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70029"/>
    <w:multiLevelType w:val="hybridMultilevel"/>
    <w:tmpl w:val="94E6E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B245D"/>
    <w:multiLevelType w:val="hybridMultilevel"/>
    <w:tmpl w:val="9312B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353D0B"/>
    <w:multiLevelType w:val="hybridMultilevel"/>
    <w:tmpl w:val="3ADC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6F0A65"/>
    <w:multiLevelType w:val="hybridMultilevel"/>
    <w:tmpl w:val="ED3C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B04E6"/>
    <w:multiLevelType w:val="hybridMultilevel"/>
    <w:tmpl w:val="33F4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E092C9C8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6D0007"/>
    <w:multiLevelType w:val="hybridMultilevel"/>
    <w:tmpl w:val="7920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01CE6"/>
    <w:multiLevelType w:val="hybridMultilevel"/>
    <w:tmpl w:val="996E8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A7C74"/>
    <w:multiLevelType w:val="hybridMultilevel"/>
    <w:tmpl w:val="86C2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45182"/>
    <w:multiLevelType w:val="hybridMultilevel"/>
    <w:tmpl w:val="F7AC3DBE"/>
    <w:lvl w:ilvl="0" w:tplc="055AB4C6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26"/>
  </w:num>
  <w:num w:numId="8">
    <w:abstractNumId w:val="28"/>
  </w:num>
  <w:num w:numId="9">
    <w:abstractNumId w:val="7"/>
  </w:num>
  <w:num w:numId="10">
    <w:abstractNumId w:val="25"/>
  </w:num>
  <w:num w:numId="11">
    <w:abstractNumId w:val="24"/>
  </w:num>
  <w:num w:numId="12">
    <w:abstractNumId w:val="13"/>
  </w:num>
  <w:num w:numId="13">
    <w:abstractNumId w:val="16"/>
  </w:num>
  <w:num w:numId="14">
    <w:abstractNumId w:val="5"/>
  </w:num>
  <w:num w:numId="15">
    <w:abstractNumId w:val="6"/>
  </w:num>
  <w:num w:numId="16">
    <w:abstractNumId w:val="20"/>
  </w:num>
  <w:num w:numId="17">
    <w:abstractNumId w:val="8"/>
  </w:num>
  <w:num w:numId="18">
    <w:abstractNumId w:val="17"/>
  </w:num>
  <w:num w:numId="19">
    <w:abstractNumId w:val="0"/>
  </w:num>
  <w:num w:numId="20">
    <w:abstractNumId w:val="10"/>
  </w:num>
  <w:num w:numId="21">
    <w:abstractNumId w:val="1"/>
  </w:num>
  <w:num w:numId="22">
    <w:abstractNumId w:val="11"/>
  </w:num>
  <w:num w:numId="23">
    <w:abstractNumId w:val="27"/>
  </w:num>
  <w:num w:numId="24">
    <w:abstractNumId w:val="3"/>
  </w:num>
  <w:num w:numId="25">
    <w:abstractNumId w:val="30"/>
  </w:num>
  <w:num w:numId="26">
    <w:abstractNumId w:val="14"/>
  </w:num>
  <w:num w:numId="27">
    <w:abstractNumId w:val="15"/>
  </w:num>
  <w:num w:numId="28">
    <w:abstractNumId w:val="21"/>
  </w:num>
  <w:num w:numId="29">
    <w:abstractNumId w:val="23"/>
  </w:num>
  <w:num w:numId="30">
    <w:abstractNumId w:val="29"/>
  </w:num>
  <w:num w:numId="31">
    <w:abstractNumId w:val="22"/>
  </w:num>
  <w:num w:numId="32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hideSpellingErrors/>
  <w:hideGrammaticalErrors/>
  <w:stylePaneFormatFilter w:val="2801"/>
  <w:defaultTabStop w:val="36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2290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1729F3"/>
    <w:rsid w:val="00001D4D"/>
    <w:rsid w:val="0000305E"/>
    <w:rsid w:val="000031FB"/>
    <w:rsid w:val="00003EE0"/>
    <w:rsid w:val="00004BA9"/>
    <w:rsid w:val="00006675"/>
    <w:rsid w:val="00007EE0"/>
    <w:rsid w:val="00011CC1"/>
    <w:rsid w:val="00012ED8"/>
    <w:rsid w:val="00013BFB"/>
    <w:rsid w:val="00014149"/>
    <w:rsid w:val="00015B2B"/>
    <w:rsid w:val="00017261"/>
    <w:rsid w:val="000228A8"/>
    <w:rsid w:val="00023236"/>
    <w:rsid w:val="00024349"/>
    <w:rsid w:val="000243AC"/>
    <w:rsid w:val="00025022"/>
    <w:rsid w:val="00025CA6"/>
    <w:rsid w:val="00026026"/>
    <w:rsid w:val="00026182"/>
    <w:rsid w:val="000269EA"/>
    <w:rsid w:val="00026A84"/>
    <w:rsid w:val="00026FBC"/>
    <w:rsid w:val="0003099E"/>
    <w:rsid w:val="00030C87"/>
    <w:rsid w:val="0003275A"/>
    <w:rsid w:val="00032BEC"/>
    <w:rsid w:val="00032CCF"/>
    <w:rsid w:val="00032E37"/>
    <w:rsid w:val="00034BFB"/>
    <w:rsid w:val="00034CF8"/>
    <w:rsid w:val="000358FC"/>
    <w:rsid w:val="0004041B"/>
    <w:rsid w:val="00040618"/>
    <w:rsid w:val="000413A1"/>
    <w:rsid w:val="0004257B"/>
    <w:rsid w:val="000429F9"/>
    <w:rsid w:val="000431F7"/>
    <w:rsid w:val="00043926"/>
    <w:rsid w:val="00044214"/>
    <w:rsid w:val="00044386"/>
    <w:rsid w:val="00045D6D"/>
    <w:rsid w:val="00045FFA"/>
    <w:rsid w:val="00050E5D"/>
    <w:rsid w:val="00050EA9"/>
    <w:rsid w:val="00051EF2"/>
    <w:rsid w:val="000521A3"/>
    <w:rsid w:val="00052745"/>
    <w:rsid w:val="0005385A"/>
    <w:rsid w:val="00053D48"/>
    <w:rsid w:val="00056BD0"/>
    <w:rsid w:val="00057158"/>
    <w:rsid w:val="00057197"/>
    <w:rsid w:val="000608EC"/>
    <w:rsid w:val="00061C3D"/>
    <w:rsid w:val="00062189"/>
    <w:rsid w:val="000627F1"/>
    <w:rsid w:val="000635D0"/>
    <w:rsid w:val="00064B0F"/>
    <w:rsid w:val="00065BCE"/>
    <w:rsid w:val="00065C50"/>
    <w:rsid w:val="00065F8F"/>
    <w:rsid w:val="000662F4"/>
    <w:rsid w:val="00067FF6"/>
    <w:rsid w:val="0007023A"/>
    <w:rsid w:val="000714F6"/>
    <w:rsid w:val="000717DC"/>
    <w:rsid w:val="00071E75"/>
    <w:rsid w:val="00073404"/>
    <w:rsid w:val="00074542"/>
    <w:rsid w:val="00074DB9"/>
    <w:rsid w:val="00075536"/>
    <w:rsid w:val="00075E5B"/>
    <w:rsid w:val="00076709"/>
    <w:rsid w:val="00077F5B"/>
    <w:rsid w:val="00080040"/>
    <w:rsid w:val="00080E2A"/>
    <w:rsid w:val="00081D0D"/>
    <w:rsid w:val="00081D67"/>
    <w:rsid w:val="00081F63"/>
    <w:rsid w:val="000820AE"/>
    <w:rsid w:val="00083224"/>
    <w:rsid w:val="00083628"/>
    <w:rsid w:val="00083A77"/>
    <w:rsid w:val="000852D1"/>
    <w:rsid w:val="0008697F"/>
    <w:rsid w:val="00086E4F"/>
    <w:rsid w:val="000875C5"/>
    <w:rsid w:val="0008774D"/>
    <w:rsid w:val="000908C1"/>
    <w:rsid w:val="00090B8B"/>
    <w:rsid w:val="00093301"/>
    <w:rsid w:val="00095840"/>
    <w:rsid w:val="00096030"/>
    <w:rsid w:val="000961F0"/>
    <w:rsid w:val="00096418"/>
    <w:rsid w:val="0009757C"/>
    <w:rsid w:val="000A008B"/>
    <w:rsid w:val="000A03A7"/>
    <w:rsid w:val="000A0A1E"/>
    <w:rsid w:val="000A1D09"/>
    <w:rsid w:val="000A1FE8"/>
    <w:rsid w:val="000A2646"/>
    <w:rsid w:val="000A2803"/>
    <w:rsid w:val="000A2AFB"/>
    <w:rsid w:val="000A3ABD"/>
    <w:rsid w:val="000A40A1"/>
    <w:rsid w:val="000A6F73"/>
    <w:rsid w:val="000B00D4"/>
    <w:rsid w:val="000B22A9"/>
    <w:rsid w:val="000B230E"/>
    <w:rsid w:val="000B3126"/>
    <w:rsid w:val="000B3CD0"/>
    <w:rsid w:val="000B516F"/>
    <w:rsid w:val="000B5397"/>
    <w:rsid w:val="000B5EDB"/>
    <w:rsid w:val="000B7360"/>
    <w:rsid w:val="000B795B"/>
    <w:rsid w:val="000C024B"/>
    <w:rsid w:val="000C2F14"/>
    <w:rsid w:val="000C2F7D"/>
    <w:rsid w:val="000C34DA"/>
    <w:rsid w:val="000C3723"/>
    <w:rsid w:val="000C3DED"/>
    <w:rsid w:val="000C5708"/>
    <w:rsid w:val="000D13B9"/>
    <w:rsid w:val="000D260A"/>
    <w:rsid w:val="000D29CA"/>
    <w:rsid w:val="000D3588"/>
    <w:rsid w:val="000D373A"/>
    <w:rsid w:val="000D3DAF"/>
    <w:rsid w:val="000D49C1"/>
    <w:rsid w:val="000D7FBA"/>
    <w:rsid w:val="000E032D"/>
    <w:rsid w:val="000E1AEA"/>
    <w:rsid w:val="000E1D4A"/>
    <w:rsid w:val="000E24B7"/>
    <w:rsid w:val="000E2FD2"/>
    <w:rsid w:val="000E33F3"/>
    <w:rsid w:val="000E3AEE"/>
    <w:rsid w:val="000E3CB9"/>
    <w:rsid w:val="000E49AD"/>
    <w:rsid w:val="000E5120"/>
    <w:rsid w:val="000E6F5D"/>
    <w:rsid w:val="000F0068"/>
    <w:rsid w:val="000F18DE"/>
    <w:rsid w:val="000F1F49"/>
    <w:rsid w:val="000F34A0"/>
    <w:rsid w:val="000F3FCC"/>
    <w:rsid w:val="000F42B1"/>
    <w:rsid w:val="000F546A"/>
    <w:rsid w:val="000F54E4"/>
    <w:rsid w:val="000F7AE8"/>
    <w:rsid w:val="000F7FB3"/>
    <w:rsid w:val="00100412"/>
    <w:rsid w:val="001009E8"/>
    <w:rsid w:val="00100E88"/>
    <w:rsid w:val="00101194"/>
    <w:rsid w:val="001021C3"/>
    <w:rsid w:val="0010363E"/>
    <w:rsid w:val="00103E3A"/>
    <w:rsid w:val="0010481B"/>
    <w:rsid w:val="001048B4"/>
    <w:rsid w:val="0010497E"/>
    <w:rsid w:val="001051EF"/>
    <w:rsid w:val="001058D0"/>
    <w:rsid w:val="0010663C"/>
    <w:rsid w:val="001067ED"/>
    <w:rsid w:val="0010757C"/>
    <w:rsid w:val="00110521"/>
    <w:rsid w:val="001123F7"/>
    <w:rsid w:val="0011500F"/>
    <w:rsid w:val="001154C7"/>
    <w:rsid w:val="0011665B"/>
    <w:rsid w:val="00117410"/>
    <w:rsid w:val="001176B3"/>
    <w:rsid w:val="001176C5"/>
    <w:rsid w:val="00123B95"/>
    <w:rsid w:val="00125ADE"/>
    <w:rsid w:val="0012624D"/>
    <w:rsid w:val="00127BE8"/>
    <w:rsid w:val="00127E3B"/>
    <w:rsid w:val="00130876"/>
    <w:rsid w:val="00130A0B"/>
    <w:rsid w:val="00131159"/>
    <w:rsid w:val="001320CE"/>
    <w:rsid w:val="00135E3E"/>
    <w:rsid w:val="00136D4C"/>
    <w:rsid w:val="00137962"/>
    <w:rsid w:val="00137DF5"/>
    <w:rsid w:val="00141018"/>
    <w:rsid w:val="00142FC9"/>
    <w:rsid w:val="001431D5"/>
    <w:rsid w:val="0014326A"/>
    <w:rsid w:val="00143553"/>
    <w:rsid w:val="00144A75"/>
    <w:rsid w:val="00145D09"/>
    <w:rsid w:val="00147192"/>
    <w:rsid w:val="0014787D"/>
    <w:rsid w:val="00147CB3"/>
    <w:rsid w:val="001502FA"/>
    <w:rsid w:val="00150E99"/>
    <w:rsid w:val="001512EA"/>
    <w:rsid w:val="001514F6"/>
    <w:rsid w:val="00151DE6"/>
    <w:rsid w:val="001520ED"/>
    <w:rsid w:val="00152635"/>
    <w:rsid w:val="00152796"/>
    <w:rsid w:val="00152B77"/>
    <w:rsid w:val="001533E7"/>
    <w:rsid w:val="00153E88"/>
    <w:rsid w:val="001556B1"/>
    <w:rsid w:val="00155A5B"/>
    <w:rsid w:val="00156F10"/>
    <w:rsid w:val="00156F31"/>
    <w:rsid w:val="0015712C"/>
    <w:rsid w:val="00157565"/>
    <w:rsid w:val="0015764C"/>
    <w:rsid w:val="001577ED"/>
    <w:rsid w:val="00157AE4"/>
    <w:rsid w:val="00160215"/>
    <w:rsid w:val="00160532"/>
    <w:rsid w:val="00160899"/>
    <w:rsid w:val="00160B50"/>
    <w:rsid w:val="001620C2"/>
    <w:rsid w:val="0016260F"/>
    <w:rsid w:val="00162992"/>
    <w:rsid w:val="001659EF"/>
    <w:rsid w:val="00165B4D"/>
    <w:rsid w:val="00167174"/>
    <w:rsid w:val="00167329"/>
    <w:rsid w:val="00167548"/>
    <w:rsid w:val="00171213"/>
    <w:rsid w:val="001720BA"/>
    <w:rsid w:val="001729F3"/>
    <w:rsid w:val="0017346B"/>
    <w:rsid w:val="00174F39"/>
    <w:rsid w:val="00176B1C"/>
    <w:rsid w:val="001812B2"/>
    <w:rsid w:val="00182535"/>
    <w:rsid w:val="0018323A"/>
    <w:rsid w:val="0018374C"/>
    <w:rsid w:val="001848D1"/>
    <w:rsid w:val="0018509B"/>
    <w:rsid w:val="00185919"/>
    <w:rsid w:val="00185BA1"/>
    <w:rsid w:val="00185BE8"/>
    <w:rsid w:val="00185C00"/>
    <w:rsid w:val="001862CD"/>
    <w:rsid w:val="00186912"/>
    <w:rsid w:val="00190494"/>
    <w:rsid w:val="001905A0"/>
    <w:rsid w:val="00190ADD"/>
    <w:rsid w:val="001915A0"/>
    <w:rsid w:val="00192731"/>
    <w:rsid w:val="00193518"/>
    <w:rsid w:val="00193FD7"/>
    <w:rsid w:val="0019513D"/>
    <w:rsid w:val="001956C0"/>
    <w:rsid w:val="00196D05"/>
    <w:rsid w:val="00197A6E"/>
    <w:rsid w:val="00197AC4"/>
    <w:rsid w:val="00197AF8"/>
    <w:rsid w:val="00197C31"/>
    <w:rsid w:val="001A34C8"/>
    <w:rsid w:val="001A3B50"/>
    <w:rsid w:val="001A69F3"/>
    <w:rsid w:val="001A6B87"/>
    <w:rsid w:val="001B02E6"/>
    <w:rsid w:val="001B22E9"/>
    <w:rsid w:val="001B5D8B"/>
    <w:rsid w:val="001B5E4E"/>
    <w:rsid w:val="001B5FB6"/>
    <w:rsid w:val="001B65FF"/>
    <w:rsid w:val="001B6739"/>
    <w:rsid w:val="001B6E62"/>
    <w:rsid w:val="001B7E2B"/>
    <w:rsid w:val="001C0F69"/>
    <w:rsid w:val="001C10FE"/>
    <w:rsid w:val="001C2381"/>
    <w:rsid w:val="001C2DA2"/>
    <w:rsid w:val="001C39AF"/>
    <w:rsid w:val="001C3A28"/>
    <w:rsid w:val="001C3C84"/>
    <w:rsid w:val="001C3DDF"/>
    <w:rsid w:val="001C5ED7"/>
    <w:rsid w:val="001C643A"/>
    <w:rsid w:val="001D0627"/>
    <w:rsid w:val="001D11A2"/>
    <w:rsid w:val="001D11AF"/>
    <w:rsid w:val="001D2D5D"/>
    <w:rsid w:val="001D2E7B"/>
    <w:rsid w:val="001D2E88"/>
    <w:rsid w:val="001D55AF"/>
    <w:rsid w:val="001D623F"/>
    <w:rsid w:val="001D6334"/>
    <w:rsid w:val="001E0122"/>
    <w:rsid w:val="001E0589"/>
    <w:rsid w:val="001E299A"/>
    <w:rsid w:val="001E2CD3"/>
    <w:rsid w:val="001E45BB"/>
    <w:rsid w:val="001E5681"/>
    <w:rsid w:val="001F0506"/>
    <w:rsid w:val="001F0D3F"/>
    <w:rsid w:val="001F0DBB"/>
    <w:rsid w:val="001F1CF4"/>
    <w:rsid w:val="001F1DD6"/>
    <w:rsid w:val="001F21BE"/>
    <w:rsid w:val="001F21C3"/>
    <w:rsid w:val="001F2CEC"/>
    <w:rsid w:val="001F2F72"/>
    <w:rsid w:val="001F3068"/>
    <w:rsid w:val="001F3E06"/>
    <w:rsid w:val="001F56DE"/>
    <w:rsid w:val="001F5AE1"/>
    <w:rsid w:val="001F6DCC"/>
    <w:rsid w:val="00200B64"/>
    <w:rsid w:val="00202EB6"/>
    <w:rsid w:val="00203F6D"/>
    <w:rsid w:val="00204586"/>
    <w:rsid w:val="00204C54"/>
    <w:rsid w:val="00205BC6"/>
    <w:rsid w:val="002065D5"/>
    <w:rsid w:val="00207846"/>
    <w:rsid w:val="0020796D"/>
    <w:rsid w:val="002105E7"/>
    <w:rsid w:val="00211053"/>
    <w:rsid w:val="00211651"/>
    <w:rsid w:val="00211AD9"/>
    <w:rsid w:val="00211C95"/>
    <w:rsid w:val="00212DC5"/>
    <w:rsid w:val="00212F51"/>
    <w:rsid w:val="0021376A"/>
    <w:rsid w:val="00214E86"/>
    <w:rsid w:val="002156E5"/>
    <w:rsid w:val="00215A4D"/>
    <w:rsid w:val="00216557"/>
    <w:rsid w:val="0021798B"/>
    <w:rsid w:val="00217F55"/>
    <w:rsid w:val="0022074C"/>
    <w:rsid w:val="00222311"/>
    <w:rsid w:val="00223CEC"/>
    <w:rsid w:val="00224361"/>
    <w:rsid w:val="002258AA"/>
    <w:rsid w:val="00225D6C"/>
    <w:rsid w:val="00226414"/>
    <w:rsid w:val="0022694A"/>
    <w:rsid w:val="002272F2"/>
    <w:rsid w:val="0022746E"/>
    <w:rsid w:val="0023022E"/>
    <w:rsid w:val="00230B13"/>
    <w:rsid w:val="00230FFA"/>
    <w:rsid w:val="0023132C"/>
    <w:rsid w:val="0023164F"/>
    <w:rsid w:val="002320F6"/>
    <w:rsid w:val="002322D3"/>
    <w:rsid w:val="00232379"/>
    <w:rsid w:val="00234BC4"/>
    <w:rsid w:val="002361BB"/>
    <w:rsid w:val="00236333"/>
    <w:rsid w:val="002375F5"/>
    <w:rsid w:val="002402C4"/>
    <w:rsid w:val="00241F4B"/>
    <w:rsid w:val="0024313A"/>
    <w:rsid w:val="002447F8"/>
    <w:rsid w:val="002506D5"/>
    <w:rsid w:val="00250714"/>
    <w:rsid w:val="00250820"/>
    <w:rsid w:val="00250ED3"/>
    <w:rsid w:val="002520A8"/>
    <w:rsid w:val="00252395"/>
    <w:rsid w:val="00254230"/>
    <w:rsid w:val="0025501C"/>
    <w:rsid w:val="002550C7"/>
    <w:rsid w:val="002570BF"/>
    <w:rsid w:val="002572E5"/>
    <w:rsid w:val="0025770D"/>
    <w:rsid w:val="00260BFF"/>
    <w:rsid w:val="002617E0"/>
    <w:rsid w:val="002626D4"/>
    <w:rsid w:val="0026303E"/>
    <w:rsid w:val="00263949"/>
    <w:rsid w:val="00263F99"/>
    <w:rsid w:val="00266678"/>
    <w:rsid w:val="00267BC1"/>
    <w:rsid w:val="00267EB3"/>
    <w:rsid w:val="00267F2D"/>
    <w:rsid w:val="002711A8"/>
    <w:rsid w:val="00271451"/>
    <w:rsid w:val="0027244E"/>
    <w:rsid w:val="002737CB"/>
    <w:rsid w:val="002738C2"/>
    <w:rsid w:val="00273A45"/>
    <w:rsid w:val="0027466B"/>
    <w:rsid w:val="00274E92"/>
    <w:rsid w:val="0027581D"/>
    <w:rsid w:val="00275F10"/>
    <w:rsid w:val="00276D90"/>
    <w:rsid w:val="00276E33"/>
    <w:rsid w:val="00276EC5"/>
    <w:rsid w:val="00276EF9"/>
    <w:rsid w:val="00277071"/>
    <w:rsid w:val="002773BE"/>
    <w:rsid w:val="00277B23"/>
    <w:rsid w:val="00280A3E"/>
    <w:rsid w:val="0028131F"/>
    <w:rsid w:val="002816F9"/>
    <w:rsid w:val="002817EB"/>
    <w:rsid w:val="00281D58"/>
    <w:rsid w:val="002831BE"/>
    <w:rsid w:val="00283521"/>
    <w:rsid w:val="00285728"/>
    <w:rsid w:val="00285DEB"/>
    <w:rsid w:val="00286404"/>
    <w:rsid w:val="00287E45"/>
    <w:rsid w:val="00290B19"/>
    <w:rsid w:val="00291A08"/>
    <w:rsid w:val="00291A28"/>
    <w:rsid w:val="00291EF6"/>
    <w:rsid w:val="002920C4"/>
    <w:rsid w:val="0029287B"/>
    <w:rsid w:val="002928F0"/>
    <w:rsid w:val="00293CCB"/>
    <w:rsid w:val="00294B1A"/>
    <w:rsid w:val="002950E7"/>
    <w:rsid w:val="00295805"/>
    <w:rsid w:val="00295ECF"/>
    <w:rsid w:val="00297249"/>
    <w:rsid w:val="00297512"/>
    <w:rsid w:val="002A0740"/>
    <w:rsid w:val="002A30E9"/>
    <w:rsid w:val="002A3347"/>
    <w:rsid w:val="002A435A"/>
    <w:rsid w:val="002A4C42"/>
    <w:rsid w:val="002A4E0C"/>
    <w:rsid w:val="002A50AA"/>
    <w:rsid w:val="002A5291"/>
    <w:rsid w:val="002A5AF9"/>
    <w:rsid w:val="002A6C56"/>
    <w:rsid w:val="002A7738"/>
    <w:rsid w:val="002A7D9E"/>
    <w:rsid w:val="002B09C8"/>
    <w:rsid w:val="002B1167"/>
    <w:rsid w:val="002B12B2"/>
    <w:rsid w:val="002B13B5"/>
    <w:rsid w:val="002B2080"/>
    <w:rsid w:val="002B2169"/>
    <w:rsid w:val="002B21D6"/>
    <w:rsid w:val="002B2A18"/>
    <w:rsid w:val="002B3B24"/>
    <w:rsid w:val="002B61A2"/>
    <w:rsid w:val="002B6CA4"/>
    <w:rsid w:val="002C0500"/>
    <w:rsid w:val="002C22E7"/>
    <w:rsid w:val="002C2DDB"/>
    <w:rsid w:val="002C34B6"/>
    <w:rsid w:val="002C4AF8"/>
    <w:rsid w:val="002C64CE"/>
    <w:rsid w:val="002C6AF4"/>
    <w:rsid w:val="002C7B3F"/>
    <w:rsid w:val="002C7CFF"/>
    <w:rsid w:val="002D084D"/>
    <w:rsid w:val="002D0A93"/>
    <w:rsid w:val="002D0EF7"/>
    <w:rsid w:val="002D15FF"/>
    <w:rsid w:val="002D2F22"/>
    <w:rsid w:val="002D4D28"/>
    <w:rsid w:val="002D70E0"/>
    <w:rsid w:val="002E0226"/>
    <w:rsid w:val="002E06A2"/>
    <w:rsid w:val="002E1B46"/>
    <w:rsid w:val="002E2253"/>
    <w:rsid w:val="002E299D"/>
    <w:rsid w:val="002E47B1"/>
    <w:rsid w:val="002E547C"/>
    <w:rsid w:val="002E57C3"/>
    <w:rsid w:val="002F1046"/>
    <w:rsid w:val="002F164A"/>
    <w:rsid w:val="002F27F0"/>
    <w:rsid w:val="002F305B"/>
    <w:rsid w:val="002F40AC"/>
    <w:rsid w:val="002F41D2"/>
    <w:rsid w:val="002F592C"/>
    <w:rsid w:val="002F65AC"/>
    <w:rsid w:val="002F7395"/>
    <w:rsid w:val="002F73BB"/>
    <w:rsid w:val="00300C1C"/>
    <w:rsid w:val="0030160D"/>
    <w:rsid w:val="00301DB2"/>
    <w:rsid w:val="003065B6"/>
    <w:rsid w:val="0030790C"/>
    <w:rsid w:val="00310317"/>
    <w:rsid w:val="00311E13"/>
    <w:rsid w:val="00312023"/>
    <w:rsid w:val="003122DB"/>
    <w:rsid w:val="00312343"/>
    <w:rsid w:val="003146B0"/>
    <w:rsid w:val="0031494D"/>
    <w:rsid w:val="00315202"/>
    <w:rsid w:val="00317024"/>
    <w:rsid w:val="003172C5"/>
    <w:rsid w:val="0032148E"/>
    <w:rsid w:val="003216EF"/>
    <w:rsid w:val="003218A9"/>
    <w:rsid w:val="00321993"/>
    <w:rsid w:val="0032258A"/>
    <w:rsid w:val="003227AB"/>
    <w:rsid w:val="00322ED3"/>
    <w:rsid w:val="0032496C"/>
    <w:rsid w:val="00325CFD"/>
    <w:rsid w:val="00326EE5"/>
    <w:rsid w:val="00330F8E"/>
    <w:rsid w:val="0033148C"/>
    <w:rsid w:val="00331D25"/>
    <w:rsid w:val="00331F38"/>
    <w:rsid w:val="0033229F"/>
    <w:rsid w:val="003335E3"/>
    <w:rsid w:val="003345C2"/>
    <w:rsid w:val="00335857"/>
    <w:rsid w:val="003370DC"/>
    <w:rsid w:val="00340117"/>
    <w:rsid w:val="003404ED"/>
    <w:rsid w:val="0034066B"/>
    <w:rsid w:val="00340EED"/>
    <w:rsid w:val="00341C98"/>
    <w:rsid w:val="00342435"/>
    <w:rsid w:val="003435A6"/>
    <w:rsid w:val="003437AD"/>
    <w:rsid w:val="00343DC5"/>
    <w:rsid w:val="0034562F"/>
    <w:rsid w:val="00345DD8"/>
    <w:rsid w:val="00350F2B"/>
    <w:rsid w:val="00351D61"/>
    <w:rsid w:val="0035360C"/>
    <w:rsid w:val="00353DD5"/>
    <w:rsid w:val="003544BD"/>
    <w:rsid w:val="003567DE"/>
    <w:rsid w:val="00360174"/>
    <w:rsid w:val="00360B48"/>
    <w:rsid w:val="003613D9"/>
    <w:rsid w:val="00361C63"/>
    <w:rsid w:val="003622BC"/>
    <w:rsid w:val="00362EAC"/>
    <w:rsid w:val="00366069"/>
    <w:rsid w:val="003704D7"/>
    <w:rsid w:val="00370579"/>
    <w:rsid w:val="0037081E"/>
    <w:rsid w:val="0037098E"/>
    <w:rsid w:val="00371017"/>
    <w:rsid w:val="00371408"/>
    <w:rsid w:val="003722DB"/>
    <w:rsid w:val="0037245C"/>
    <w:rsid w:val="0037300F"/>
    <w:rsid w:val="003746AC"/>
    <w:rsid w:val="00375B45"/>
    <w:rsid w:val="003761ED"/>
    <w:rsid w:val="00377874"/>
    <w:rsid w:val="00380D62"/>
    <w:rsid w:val="003812F5"/>
    <w:rsid w:val="003823DE"/>
    <w:rsid w:val="00384B85"/>
    <w:rsid w:val="00384C44"/>
    <w:rsid w:val="003864DD"/>
    <w:rsid w:val="003871E5"/>
    <w:rsid w:val="0039002B"/>
    <w:rsid w:val="00390344"/>
    <w:rsid w:val="003914AB"/>
    <w:rsid w:val="003924C9"/>
    <w:rsid w:val="003929E4"/>
    <w:rsid w:val="0039389C"/>
    <w:rsid w:val="00393E77"/>
    <w:rsid w:val="00394FE5"/>
    <w:rsid w:val="00395D5C"/>
    <w:rsid w:val="00395EC8"/>
    <w:rsid w:val="003A059A"/>
    <w:rsid w:val="003A0D88"/>
    <w:rsid w:val="003A0DED"/>
    <w:rsid w:val="003A202A"/>
    <w:rsid w:val="003A34B6"/>
    <w:rsid w:val="003A5098"/>
    <w:rsid w:val="003A5389"/>
    <w:rsid w:val="003A5B5E"/>
    <w:rsid w:val="003A6B1B"/>
    <w:rsid w:val="003A6EBB"/>
    <w:rsid w:val="003B0B2E"/>
    <w:rsid w:val="003B0F36"/>
    <w:rsid w:val="003B22A7"/>
    <w:rsid w:val="003B323D"/>
    <w:rsid w:val="003B4D55"/>
    <w:rsid w:val="003B50EA"/>
    <w:rsid w:val="003B5672"/>
    <w:rsid w:val="003B60FF"/>
    <w:rsid w:val="003B686E"/>
    <w:rsid w:val="003C0202"/>
    <w:rsid w:val="003C1AB2"/>
    <w:rsid w:val="003C22E7"/>
    <w:rsid w:val="003C32DA"/>
    <w:rsid w:val="003C38F3"/>
    <w:rsid w:val="003C44F0"/>
    <w:rsid w:val="003C536D"/>
    <w:rsid w:val="003C60CA"/>
    <w:rsid w:val="003C6BFF"/>
    <w:rsid w:val="003C770D"/>
    <w:rsid w:val="003C7E9E"/>
    <w:rsid w:val="003D2995"/>
    <w:rsid w:val="003D6162"/>
    <w:rsid w:val="003D64B7"/>
    <w:rsid w:val="003D70DB"/>
    <w:rsid w:val="003E0A62"/>
    <w:rsid w:val="003E1418"/>
    <w:rsid w:val="003E2FFE"/>
    <w:rsid w:val="003E3523"/>
    <w:rsid w:val="003E3689"/>
    <w:rsid w:val="003E39ED"/>
    <w:rsid w:val="003E39FB"/>
    <w:rsid w:val="003E534B"/>
    <w:rsid w:val="003E7AEE"/>
    <w:rsid w:val="003F1FF7"/>
    <w:rsid w:val="003F2E01"/>
    <w:rsid w:val="003F2F04"/>
    <w:rsid w:val="003F3963"/>
    <w:rsid w:val="003F3AFA"/>
    <w:rsid w:val="003F3BCE"/>
    <w:rsid w:val="003F4E57"/>
    <w:rsid w:val="003F4EDF"/>
    <w:rsid w:val="003F561D"/>
    <w:rsid w:val="00400E63"/>
    <w:rsid w:val="004036FE"/>
    <w:rsid w:val="00405175"/>
    <w:rsid w:val="004066C5"/>
    <w:rsid w:val="004102DA"/>
    <w:rsid w:val="004126A7"/>
    <w:rsid w:val="00413F53"/>
    <w:rsid w:val="00414A98"/>
    <w:rsid w:val="00414CEA"/>
    <w:rsid w:val="004168D4"/>
    <w:rsid w:val="00416C83"/>
    <w:rsid w:val="004177FD"/>
    <w:rsid w:val="004178F2"/>
    <w:rsid w:val="00424897"/>
    <w:rsid w:val="004250E6"/>
    <w:rsid w:val="00425A64"/>
    <w:rsid w:val="00426BC4"/>
    <w:rsid w:val="004276FC"/>
    <w:rsid w:val="00430828"/>
    <w:rsid w:val="004308E3"/>
    <w:rsid w:val="00430A3A"/>
    <w:rsid w:val="00430D26"/>
    <w:rsid w:val="0043140B"/>
    <w:rsid w:val="00433702"/>
    <w:rsid w:val="0043382B"/>
    <w:rsid w:val="00433D99"/>
    <w:rsid w:val="00433EFB"/>
    <w:rsid w:val="004343C6"/>
    <w:rsid w:val="0043475F"/>
    <w:rsid w:val="004354FF"/>
    <w:rsid w:val="004363E9"/>
    <w:rsid w:val="00436EDB"/>
    <w:rsid w:val="00437CE0"/>
    <w:rsid w:val="0044118E"/>
    <w:rsid w:val="0044251F"/>
    <w:rsid w:val="004428EB"/>
    <w:rsid w:val="00442CDF"/>
    <w:rsid w:val="0044498B"/>
    <w:rsid w:val="00445320"/>
    <w:rsid w:val="00446496"/>
    <w:rsid w:val="004469B3"/>
    <w:rsid w:val="00447160"/>
    <w:rsid w:val="004517DF"/>
    <w:rsid w:val="00451E4F"/>
    <w:rsid w:val="004562F9"/>
    <w:rsid w:val="0045669C"/>
    <w:rsid w:val="00457FF7"/>
    <w:rsid w:val="004609B7"/>
    <w:rsid w:val="004618A5"/>
    <w:rsid w:val="00462B93"/>
    <w:rsid w:val="00463656"/>
    <w:rsid w:val="004637BA"/>
    <w:rsid w:val="0046443C"/>
    <w:rsid w:val="00464EFA"/>
    <w:rsid w:val="00466AFC"/>
    <w:rsid w:val="00467175"/>
    <w:rsid w:val="004676E2"/>
    <w:rsid w:val="0047217C"/>
    <w:rsid w:val="004728A9"/>
    <w:rsid w:val="00472D13"/>
    <w:rsid w:val="0047405C"/>
    <w:rsid w:val="004741B0"/>
    <w:rsid w:val="004741CE"/>
    <w:rsid w:val="00475290"/>
    <w:rsid w:val="004756BD"/>
    <w:rsid w:val="004766EA"/>
    <w:rsid w:val="00477667"/>
    <w:rsid w:val="0047796B"/>
    <w:rsid w:val="00477E91"/>
    <w:rsid w:val="00477F96"/>
    <w:rsid w:val="00481AB5"/>
    <w:rsid w:val="00481D69"/>
    <w:rsid w:val="004837C3"/>
    <w:rsid w:val="0048436E"/>
    <w:rsid w:val="0048646E"/>
    <w:rsid w:val="00487E3E"/>
    <w:rsid w:val="00490BAC"/>
    <w:rsid w:val="00490E6F"/>
    <w:rsid w:val="00490FF8"/>
    <w:rsid w:val="00491A1E"/>
    <w:rsid w:val="00492D58"/>
    <w:rsid w:val="00493088"/>
    <w:rsid w:val="0049313F"/>
    <w:rsid w:val="0049354A"/>
    <w:rsid w:val="00494FCC"/>
    <w:rsid w:val="00496172"/>
    <w:rsid w:val="00496B88"/>
    <w:rsid w:val="004973CA"/>
    <w:rsid w:val="004A09C1"/>
    <w:rsid w:val="004A25A6"/>
    <w:rsid w:val="004A2D20"/>
    <w:rsid w:val="004A3651"/>
    <w:rsid w:val="004A5079"/>
    <w:rsid w:val="004A53BE"/>
    <w:rsid w:val="004A5482"/>
    <w:rsid w:val="004A712C"/>
    <w:rsid w:val="004B02E7"/>
    <w:rsid w:val="004B1A28"/>
    <w:rsid w:val="004B26F5"/>
    <w:rsid w:val="004B39EB"/>
    <w:rsid w:val="004B3DE1"/>
    <w:rsid w:val="004B3F3F"/>
    <w:rsid w:val="004B4113"/>
    <w:rsid w:val="004B4929"/>
    <w:rsid w:val="004B5A57"/>
    <w:rsid w:val="004B78B6"/>
    <w:rsid w:val="004B7E2D"/>
    <w:rsid w:val="004C18FB"/>
    <w:rsid w:val="004C1AB3"/>
    <w:rsid w:val="004C2039"/>
    <w:rsid w:val="004C4465"/>
    <w:rsid w:val="004C53F6"/>
    <w:rsid w:val="004C54B5"/>
    <w:rsid w:val="004C5C11"/>
    <w:rsid w:val="004C5E88"/>
    <w:rsid w:val="004C64F2"/>
    <w:rsid w:val="004C669D"/>
    <w:rsid w:val="004D0401"/>
    <w:rsid w:val="004D0C39"/>
    <w:rsid w:val="004D0F55"/>
    <w:rsid w:val="004D1C41"/>
    <w:rsid w:val="004D338E"/>
    <w:rsid w:val="004D37A9"/>
    <w:rsid w:val="004D4481"/>
    <w:rsid w:val="004D4ABF"/>
    <w:rsid w:val="004D685F"/>
    <w:rsid w:val="004E0E2E"/>
    <w:rsid w:val="004E1662"/>
    <w:rsid w:val="004E280B"/>
    <w:rsid w:val="004E3713"/>
    <w:rsid w:val="004E4662"/>
    <w:rsid w:val="004E5D1B"/>
    <w:rsid w:val="004E6F48"/>
    <w:rsid w:val="004E7B7E"/>
    <w:rsid w:val="004F0997"/>
    <w:rsid w:val="004F11D0"/>
    <w:rsid w:val="004F2C2A"/>
    <w:rsid w:val="004F345C"/>
    <w:rsid w:val="004F3A0D"/>
    <w:rsid w:val="004F3AE6"/>
    <w:rsid w:val="004F495F"/>
    <w:rsid w:val="004F4EC1"/>
    <w:rsid w:val="0050416F"/>
    <w:rsid w:val="00504931"/>
    <w:rsid w:val="00505016"/>
    <w:rsid w:val="00505D84"/>
    <w:rsid w:val="00506B00"/>
    <w:rsid w:val="00506D7C"/>
    <w:rsid w:val="00506F6B"/>
    <w:rsid w:val="00507407"/>
    <w:rsid w:val="00507A6E"/>
    <w:rsid w:val="005102F5"/>
    <w:rsid w:val="00512512"/>
    <w:rsid w:val="005125DB"/>
    <w:rsid w:val="005127DD"/>
    <w:rsid w:val="005128A4"/>
    <w:rsid w:val="00512E77"/>
    <w:rsid w:val="00513006"/>
    <w:rsid w:val="00513DE9"/>
    <w:rsid w:val="00514E66"/>
    <w:rsid w:val="00516146"/>
    <w:rsid w:val="005178C2"/>
    <w:rsid w:val="00517A57"/>
    <w:rsid w:val="00520CF2"/>
    <w:rsid w:val="0052141C"/>
    <w:rsid w:val="005214BA"/>
    <w:rsid w:val="00521E47"/>
    <w:rsid w:val="005223DE"/>
    <w:rsid w:val="00522C6E"/>
    <w:rsid w:val="0052361D"/>
    <w:rsid w:val="005245FC"/>
    <w:rsid w:val="00524857"/>
    <w:rsid w:val="00526B80"/>
    <w:rsid w:val="005276D6"/>
    <w:rsid w:val="00530089"/>
    <w:rsid w:val="00531B8B"/>
    <w:rsid w:val="00531E50"/>
    <w:rsid w:val="005336BD"/>
    <w:rsid w:val="00533F60"/>
    <w:rsid w:val="0053523E"/>
    <w:rsid w:val="00535356"/>
    <w:rsid w:val="00536010"/>
    <w:rsid w:val="0053637E"/>
    <w:rsid w:val="00536817"/>
    <w:rsid w:val="00536A69"/>
    <w:rsid w:val="005379BD"/>
    <w:rsid w:val="00540CD1"/>
    <w:rsid w:val="00543493"/>
    <w:rsid w:val="00543896"/>
    <w:rsid w:val="00544CF2"/>
    <w:rsid w:val="00545258"/>
    <w:rsid w:val="00545C1D"/>
    <w:rsid w:val="005519DF"/>
    <w:rsid w:val="005535E6"/>
    <w:rsid w:val="00553B52"/>
    <w:rsid w:val="005541F4"/>
    <w:rsid w:val="00554CE3"/>
    <w:rsid w:val="00554CE5"/>
    <w:rsid w:val="00555A44"/>
    <w:rsid w:val="00555CB6"/>
    <w:rsid w:val="005562D2"/>
    <w:rsid w:val="005607BB"/>
    <w:rsid w:val="00561408"/>
    <w:rsid w:val="00563CD2"/>
    <w:rsid w:val="00563F47"/>
    <w:rsid w:val="0056528A"/>
    <w:rsid w:val="00565297"/>
    <w:rsid w:val="00565624"/>
    <w:rsid w:val="0056577C"/>
    <w:rsid w:val="005705BA"/>
    <w:rsid w:val="005714A6"/>
    <w:rsid w:val="00571673"/>
    <w:rsid w:val="00571C29"/>
    <w:rsid w:val="00572B8F"/>
    <w:rsid w:val="0057391C"/>
    <w:rsid w:val="00573EBC"/>
    <w:rsid w:val="0057460A"/>
    <w:rsid w:val="0057591C"/>
    <w:rsid w:val="00576078"/>
    <w:rsid w:val="00576503"/>
    <w:rsid w:val="00576CA1"/>
    <w:rsid w:val="0057746D"/>
    <w:rsid w:val="00580ACB"/>
    <w:rsid w:val="00581A45"/>
    <w:rsid w:val="00581F85"/>
    <w:rsid w:val="0058215A"/>
    <w:rsid w:val="0058344E"/>
    <w:rsid w:val="005838EC"/>
    <w:rsid w:val="00583E1C"/>
    <w:rsid w:val="00584BA1"/>
    <w:rsid w:val="00586084"/>
    <w:rsid w:val="0058625C"/>
    <w:rsid w:val="00586F81"/>
    <w:rsid w:val="0058711E"/>
    <w:rsid w:val="0058757E"/>
    <w:rsid w:val="00587972"/>
    <w:rsid w:val="00592A1E"/>
    <w:rsid w:val="00593B09"/>
    <w:rsid w:val="00593BA4"/>
    <w:rsid w:val="00593D3B"/>
    <w:rsid w:val="00594904"/>
    <w:rsid w:val="005953A9"/>
    <w:rsid w:val="00595543"/>
    <w:rsid w:val="00596A3E"/>
    <w:rsid w:val="00597FCC"/>
    <w:rsid w:val="005A167C"/>
    <w:rsid w:val="005A1AE8"/>
    <w:rsid w:val="005A1D3F"/>
    <w:rsid w:val="005A22C1"/>
    <w:rsid w:val="005A2B4B"/>
    <w:rsid w:val="005A3A4E"/>
    <w:rsid w:val="005A429E"/>
    <w:rsid w:val="005A4B6C"/>
    <w:rsid w:val="005A4F72"/>
    <w:rsid w:val="005A58F6"/>
    <w:rsid w:val="005A5954"/>
    <w:rsid w:val="005A76C4"/>
    <w:rsid w:val="005B0857"/>
    <w:rsid w:val="005B0C3E"/>
    <w:rsid w:val="005B1C17"/>
    <w:rsid w:val="005B2021"/>
    <w:rsid w:val="005B2ADF"/>
    <w:rsid w:val="005B2F17"/>
    <w:rsid w:val="005B345D"/>
    <w:rsid w:val="005B4C4B"/>
    <w:rsid w:val="005B52DF"/>
    <w:rsid w:val="005B77A5"/>
    <w:rsid w:val="005B7F4B"/>
    <w:rsid w:val="005C1061"/>
    <w:rsid w:val="005C1184"/>
    <w:rsid w:val="005C13B5"/>
    <w:rsid w:val="005C1851"/>
    <w:rsid w:val="005C21A6"/>
    <w:rsid w:val="005C23FB"/>
    <w:rsid w:val="005C2A04"/>
    <w:rsid w:val="005C340B"/>
    <w:rsid w:val="005C3909"/>
    <w:rsid w:val="005C48D0"/>
    <w:rsid w:val="005C535B"/>
    <w:rsid w:val="005C657D"/>
    <w:rsid w:val="005C6789"/>
    <w:rsid w:val="005C6F1D"/>
    <w:rsid w:val="005C7867"/>
    <w:rsid w:val="005D1B8D"/>
    <w:rsid w:val="005D38D4"/>
    <w:rsid w:val="005D4E65"/>
    <w:rsid w:val="005D6D80"/>
    <w:rsid w:val="005D7587"/>
    <w:rsid w:val="005D7C4B"/>
    <w:rsid w:val="005E14D5"/>
    <w:rsid w:val="005E240A"/>
    <w:rsid w:val="005E27B5"/>
    <w:rsid w:val="005E336B"/>
    <w:rsid w:val="005E3B7A"/>
    <w:rsid w:val="005E4503"/>
    <w:rsid w:val="005E4C99"/>
    <w:rsid w:val="005E5445"/>
    <w:rsid w:val="005E6E60"/>
    <w:rsid w:val="005E7036"/>
    <w:rsid w:val="005E7EB3"/>
    <w:rsid w:val="005F0794"/>
    <w:rsid w:val="005F2B30"/>
    <w:rsid w:val="005F3454"/>
    <w:rsid w:val="005F39F0"/>
    <w:rsid w:val="005F3A77"/>
    <w:rsid w:val="005F3AA8"/>
    <w:rsid w:val="005F4D28"/>
    <w:rsid w:val="005F4DE7"/>
    <w:rsid w:val="005F7179"/>
    <w:rsid w:val="0060056F"/>
    <w:rsid w:val="006011C0"/>
    <w:rsid w:val="00602196"/>
    <w:rsid w:val="00602209"/>
    <w:rsid w:val="006026A2"/>
    <w:rsid w:val="00602A57"/>
    <w:rsid w:val="00605485"/>
    <w:rsid w:val="00606F59"/>
    <w:rsid w:val="00607111"/>
    <w:rsid w:val="006072D3"/>
    <w:rsid w:val="00607A09"/>
    <w:rsid w:val="00607CDE"/>
    <w:rsid w:val="00610608"/>
    <w:rsid w:val="00611A7C"/>
    <w:rsid w:val="00611AC7"/>
    <w:rsid w:val="0061216E"/>
    <w:rsid w:val="00613255"/>
    <w:rsid w:val="00613AB6"/>
    <w:rsid w:val="006171DC"/>
    <w:rsid w:val="00620E9C"/>
    <w:rsid w:val="00621A4E"/>
    <w:rsid w:val="00622FD3"/>
    <w:rsid w:val="00623F56"/>
    <w:rsid w:val="00623FC8"/>
    <w:rsid w:val="00624ADE"/>
    <w:rsid w:val="00624C28"/>
    <w:rsid w:val="006263F4"/>
    <w:rsid w:val="006278A7"/>
    <w:rsid w:val="00630970"/>
    <w:rsid w:val="00630A08"/>
    <w:rsid w:val="0063161C"/>
    <w:rsid w:val="00633529"/>
    <w:rsid w:val="0063402E"/>
    <w:rsid w:val="006345D4"/>
    <w:rsid w:val="00634CB7"/>
    <w:rsid w:val="00635042"/>
    <w:rsid w:val="00635210"/>
    <w:rsid w:val="006358E3"/>
    <w:rsid w:val="0063610E"/>
    <w:rsid w:val="0063691C"/>
    <w:rsid w:val="00636A13"/>
    <w:rsid w:val="006371C5"/>
    <w:rsid w:val="006372F2"/>
    <w:rsid w:val="00637306"/>
    <w:rsid w:val="006401F3"/>
    <w:rsid w:val="0064195D"/>
    <w:rsid w:val="006424A8"/>
    <w:rsid w:val="00642569"/>
    <w:rsid w:val="00642924"/>
    <w:rsid w:val="0064389D"/>
    <w:rsid w:val="00643B8C"/>
    <w:rsid w:val="00645DDF"/>
    <w:rsid w:val="00650EFB"/>
    <w:rsid w:val="006529AA"/>
    <w:rsid w:val="00652EDE"/>
    <w:rsid w:val="00653121"/>
    <w:rsid w:val="00653134"/>
    <w:rsid w:val="00654B6B"/>
    <w:rsid w:val="00654ED2"/>
    <w:rsid w:val="006556E0"/>
    <w:rsid w:val="006568BF"/>
    <w:rsid w:val="006575C9"/>
    <w:rsid w:val="00657829"/>
    <w:rsid w:val="00657A34"/>
    <w:rsid w:val="006603C4"/>
    <w:rsid w:val="006603CA"/>
    <w:rsid w:val="0066089B"/>
    <w:rsid w:val="00661404"/>
    <w:rsid w:val="006620DC"/>
    <w:rsid w:val="00662FA2"/>
    <w:rsid w:val="006642B5"/>
    <w:rsid w:val="0066436B"/>
    <w:rsid w:val="006643FF"/>
    <w:rsid w:val="00664835"/>
    <w:rsid w:val="00665574"/>
    <w:rsid w:val="00665FBF"/>
    <w:rsid w:val="0066679D"/>
    <w:rsid w:val="00670883"/>
    <w:rsid w:val="00670A0F"/>
    <w:rsid w:val="00670F65"/>
    <w:rsid w:val="00672884"/>
    <w:rsid w:val="006770A6"/>
    <w:rsid w:val="00681931"/>
    <w:rsid w:val="00681A10"/>
    <w:rsid w:val="00682835"/>
    <w:rsid w:val="00682F82"/>
    <w:rsid w:val="0068399A"/>
    <w:rsid w:val="00683C4B"/>
    <w:rsid w:val="006842D3"/>
    <w:rsid w:val="00685F89"/>
    <w:rsid w:val="006860AC"/>
    <w:rsid w:val="00686A5B"/>
    <w:rsid w:val="00686C1A"/>
    <w:rsid w:val="00686CBC"/>
    <w:rsid w:val="00687C07"/>
    <w:rsid w:val="00691BD3"/>
    <w:rsid w:val="0069433C"/>
    <w:rsid w:val="006950DA"/>
    <w:rsid w:val="00697A57"/>
    <w:rsid w:val="006A08BF"/>
    <w:rsid w:val="006A105E"/>
    <w:rsid w:val="006A2541"/>
    <w:rsid w:val="006A27A5"/>
    <w:rsid w:val="006A34C6"/>
    <w:rsid w:val="006A3913"/>
    <w:rsid w:val="006A4AFE"/>
    <w:rsid w:val="006A6595"/>
    <w:rsid w:val="006A68EF"/>
    <w:rsid w:val="006A7ABE"/>
    <w:rsid w:val="006B06EA"/>
    <w:rsid w:val="006B15FF"/>
    <w:rsid w:val="006B19B7"/>
    <w:rsid w:val="006B31CC"/>
    <w:rsid w:val="006B3469"/>
    <w:rsid w:val="006B38C2"/>
    <w:rsid w:val="006B4152"/>
    <w:rsid w:val="006B42E2"/>
    <w:rsid w:val="006B4C0A"/>
    <w:rsid w:val="006B4D91"/>
    <w:rsid w:val="006B5E82"/>
    <w:rsid w:val="006B6E87"/>
    <w:rsid w:val="006C1F7B"/>
    <w:rsid w:val="006C22DE"/>
    <w:rsid w:val="006C2E8F"/>
    <w:rsid w:val="006C33B0"/>
    <w:rsid w:val="006C3F28"/>
    <w:rsid w:val="006C4466"/>
    <w:rsid w:val="006C4D21"/>
    <w:rsid w:val="006C4D2F"/>
    <w:rsid w:val="006C5B84"/>
    <w:rsid w:val="006C5BC3"/>
    <w:rsid w:val="006C5F14"/>
    <w:rsid w:val="006C7047"/>
    <w:rsid w:val="006D0485"/>
    <w:rsid w:val="006D04C2"/>
    <w:rsid w:val="006D2C03"/>
    <w:rsid w:val="006D2DC1"/>
    <w:rsid w:val="006D2F5D"/>
    <w:rsid w:val="006D46E9"/>
    <w:rsid w:val="006D4F28"/>
    <w:rsid w:val="006D50BC"/>
    <w:rsid w:val="006D52AB"/>
    <w:rsid w:val="006D5EB2"/>
    <w:rsid w:val="006D6ECD"/>
    <w:rsid w:val="006D763F"/>
    <w:rsid w:val="006E0E0A"/>
    <w:rsid w:val="006E2664"/>
    <w:rsid w:val="006E2A6F"/>
    <w:rsid w:val="006E3036"/>
    <w:rsid w:val="006E3CC5"/>
    <w:rsid w:val="006E4138"/>
    <w:rsid w:val="006E5C8C"/>
    <w:rsid w:val="006E6325"/>
    <w:rsid w:val="006F00EB"/>
    <w:rsid w:val="006F30EB"/>
    <w:rsid w:val="006F3D83"/>
    <w:rsid w:val="006F3D9F"/>
    <w:rsid w:val="006F45D8"/>
    <w:rsid w:val="006F53E2"/>
    <w:rsid w:val="006F5ACC"/>
    <w:rsid w:val="006F7649"/>
    <w:rsid w:val="00700980"/>
    <w:rsid w:val="00702701"/>
    <w:rsid w:val="0070311B"/>
    <w:rsid w:val="0070404D"/>
    <w:rsid w:val="007041BC"/>
    <w:rsid w:val="00704E02"/>
    <w:rsid w:val="00707265"/>
    <w:rsid w:val="0070779A"/>
    <w:rsid w:val="0071042B"/>
    <w:rsid w:val="00710B08"/>
    <w:rsid w:val="00711770"/>
    <w:rsid w:val="0071271B"/>
    <w:rsid w:val="00714689"/>
    <w:rsid w:val="007167A9"/>
    <w:rsid w:val="00717043"/>
    <w:rsid w:val="007177C0"/>
    <w:rsid w:val="007208D0"/>
    <w:rsid w:val="00722C41"/>
    <w:rsid w:val="00722E7B"/>
    <w:rsid w:val="00723483"/>
    <w:rsid w:val="0072390E"/>
    <w:rsid w:val="007262B7"/>
    <w:rsid w:val="00726B20"/>
    <w:rsid w:val="007273E2"/>
    <w:rsid w:val="00727B01"/>
    <w:rsid w:val="0073011F"/>
    <w:rsid w:val="00731BC7"/>
    <w:rsid w:val="00732B24"/>
    <w:rsid w:val="00733408"/>
    <w:rsid w:val="00733BBA"/>
    <w:rsid w:val="00735458"/>
    <w:rsid w:val="00735485"/>
    <w:rsid w:val="00735AA7"/>
    <w:rsid w:val="00736305"/>
    <w:rsid w:val="00736BF9"/>
    <w:rsid w:val="00737C8D"/>
    <w:rsid w:val="00740D17"/>
    <w:rsid w:val="00740D47"/>
    <w:rsid w:val="00742D77"/>
    <w:rsid w:val="00742DE3"/>
    <w:rsid w:val="00743338"/>
    <w:rsid w:val="0074342A"/>
    <w:rsid w:val="00744A2A"/>
    <w:rsid w:val="00745F0D"/>
    <w:rsid w:val="007465E3"/>
    <w:rsid w:val="007478DC"/>
    <w:rsid w:val="00747E73"/>
    <w:rsid w:val="00747F69"/>
    <w:rsid w:val="00750DB1"/>
    <w:rsid w:val="007516BE"/>
    <w:rsid w:val="00753967"/>
    <w:rsid w:val="00753B0B"/>
    <w:rsid w:val="00753E32"/>
    <w:rsid w:val="00755422"/>
    <w:rsid w:val="00755A59"/>
    <w:rsid w:val="00755BCF"/>
    <w:rsid w:val="00756BDD"/>
    <w:rsid w:val="00760DAE"/>
    <w:rsid w:val="007610FF"/>
    <w:rsid w:val="0076135A"/>
    <w:rsid w:val="00761E73"/>
    <w:rsid w:val="007623EA"/>
    <w:rsid w:val="00763058"/>
    <w:rsid w:val="007641C8"/>
    <w:rsid w:val="00764EBF"/>
    <w:rsid w:val="007664AB"/>
    <w:rsid w:val="0076791B"/>
    <w:rsid w:val="0077230A"/>
    <w:rsid w:val="00775A4E"/>
    <w:rsid w:val="007768F9"/>
    <w:rsid w:val="00776962"/>
    <w:rsid w:val="00777C20"/>
    <w:rsid w:val="00780FEA"/>
    <w:rsid w:val="007815F6"/>
    <w:rsid w:val="00781C6B"/>
    <w:rsid w:val="007835C3"/>
    <w:rsid w:val="00783692"/>
    <w:rsid w:val="007836CD"/>
    <w:rsid w:val="00785D00"/>
    <w:rsid w:val="00786C66"/>
    <w:rsid w:val="00787B8B"/>
    <w:rsid w:val="0079148A"/>
    <w:rsid w:val="00792D19"/>
    <w:rsid w:val="007943DA"/>
    <w:rsid w:val="00796E8A"/>
    <w:rsid w:val="007970F8"/>
    <w:rsid w:val="0079790C"/>
    <w:rsid w:val="007A09D9"/>
    <w:rsid w:val="007A1D91"/>
    <w:rsid w:val="007A2062"/>
    <w:rsid w:val="007A2201"/>
    <w:rsid w:val="007A2FCE"/>
    <w:rsid w:val="007A34E2"/>
    <w:rsid w:val="007A3881"/>
    <w:rsid w:val="007A3B59"/>
    <w:rsid w:val="007A47BA"/>
    <w:rsid w:val="007A501A"/>
    <w:rsid w:val="007A53F6"/>
    <w:rsid w:val="007A5831"/>
    <w:rsid w:val="007A6D9D"/>
    <w:rsid w:val="007A6E75"/>
    <w:rsid w:val="007B094C"/>
    <w:rsid w:val="007B0C39"/>
    <w:rsid w:val="007B20AD"/>
    <w:rsid w:val="007B3351"/>
    <w:rsid w:val="007B4E5B"/>
    <w:rsid w:val="007B598E"/>
    <w:rsid w:val="007B6063"/>
    <w:rsid w:val="007B6A60"/>
    <w:rsid w:val="007C6F68"/>
    <w:rsid w:val="007C7689"/>
    <w:rsid w:val="007D0EAC"/>
    <w:rsid w:val="007D1FA7"/>
    <w:rsid w:val="007D387B"/>
    <w:rsid w:val="007D4445"/>
    <w:rsid w:val="007D4CDB"/>
    <w:rsid w:val="007D54BE"/>
    <w:rsid w:val="007D6763"/>
    <w:rsid w:val="007D723D"/>
    <w:rsid w:val="007D7B7E"/>
    <w:rsid w:val="007E2667"/>
    <w:rsid w:val="007E29FE"/>
    <w:rsid w:val="007E34A1"/>
    <w:rsid w:val="007E4FFD"/>
    <w:rsid w:val="007E5C0D"/>
    <w:rsid w:val="007E62BF"/>
    <w:rsid w:val="007E7389"/>
    <w:rsid w:val="007E76FC"/>
    <w:rsid w:val="007E7ECB"/>
    <w:rsid w:val="007F075E"/>
    <w:rsid w:val="007F0A94"/>
    <w:rsid w:val="007F198A"/>
    <w:rsid w:val="007F2097"/>
    <w:rsid w:val="007F38E9"/>
    <w:rsid w:val="007F4C74"/>
    <w:rsid w:val="007F63FA"/>
    <w:rsid w:val="007F6DDD"/>
    <w:rsid w:val="00800281"/>
    <w:rsid w:val="00800A30"/>
    <w:rsid w:val="008014BB"/>
    <w:rsid w:val="00802223"/>
    <w:rsid w:val="00802CBC"/>
    <w:rsid w:val="00802F92"/>
    <w:rsid w:val="00802FD1"/>
    <w:rsid w:val="008038A3"/>
    <w:rsid w:val="008043E3"/>
    <w:rsid w:val="00805119"/>
    <w:rsid w:val="0080553D"/>
    <w:rsid w:val="0080613B"/>
    <w:rsid w:val="00806474"/>
    <w:rsid w:val="00806A64"/>
    <w:rsid w:val="00807079"/>
    <w:rsid w:val="008072E4"/>
    <w:rsid w:val="00807AFE"/>
    <w:rsid w:val="00810FDF"/>
    <w:rsid w:val="008118B5"/>
    <w:rsid w:val="00812936"/>
    <w:rsid w:val="00812CF3"/>
    <w:rsid w:val="00813001"/>
    <w:rsid w:val="00813B38"/>
    <w:rsid w:val="0081431C"/>
    <w:rsid w:val="00814448"/>
    <w:rsid w:val="00815641"/>
    <w:rsid w:val="008158A2"/>
    <w:rsid w:val="00816C53"/>
    <w:rsid w:val="00816CE8"/>
    <w:rsid w:val="00817CAD"/>
    <w:rsid w:val="00817DED"/>
    <w:rsid w:val="00820527"/>
    <w:rsid w:val="008207F1"/>
    <w:rsid w:val="00820AD7"/>
    <w:rsid w:val="008215AE"/>
    <w:rsid w:val="00821D8F"/>
    <w:rsid w:val="008239CB"/>
    <w:rsid w:val="00826595"/>
    <w:rsid w:val="008268AA"/>
    <w:rsid w:val="008309D6"/>
    <w:rsid w:val="008315FA"/>
    <w:rsid w:val="00832E22"/>
    <w:rsid w:val="00832FEC"/>
    <w:rsid w:val="00833057"/>
    <w:rsid w:val="00834661"/>
    <w:rsid w:val="0083562B"/>
    <w:rsid w:val="00835AFD"/>
    <w:rsid w:val="0083622B"/>
    <w:rsid w:val="008362DE"/>
    <w:rsid w:val="00840891"/>
    <w:rsid w:val="008408DD"/>
    <w:rsid w:val="008408EF"/>
    <w:rsid w:val="00840CBD"/>
    <w:rsid w:val="008418A4"/>
    <w:rsid w:val="008432DC"/>
    <w:rsid w:val="0084528B"/>
    <w:rsid w:val="00846D23"/>
    <w:rsid w:val="008477B4"/>
    <w:rsid w:val="008479DB"/>
    <w:rsid w:val="00850B09"/>
    <w:rsid w:val="00851A3E"/>
    <w:rsid w:val="00851A43"/>
    <w:rsid w:val="00851F33"/>
    <w:rsid w:val="00852BEC"/>
    <w:rsid w:val="008535B5"/>
    <w:rsid w:val="00853750"/>
    <w:rsid w:val="00853991"/>
    <w:rsid w:val="00853F13"/>
    <w:rsid w:val="0085479B"/>
    <w:rsid w:val="00854B04"/>
    <w:rsid w:val="008551A7"/>
    <w:rsid w:val="008555D5"/>
    <w:rsid w:val="00856995"/>
    <w:rsid w:val="0085705B"/>
    <w:rsid w:val="008574F9"/>
    <w:rsid w:val="00860026"/>
    <w:rsid w:val="008606B0"/>
    <w:rsid w:val="00861681"/>
    <w:rsid w:val="00862165"/>
    <w:rsid w:val="00862AE3"/>
    <w:rsid w:val="00862FFA"/>
    <w:rsid w:val="00863630"/>
    <w:rsid w:val="00864496"/>
    <w:rsid w:val="00864531"/>
    <w:rsid w:val="008658C6"/>
    <w:rsid w:val="00865E99"/>
    <w:rsid w:val="0086638E"/>
    <w:rsid w:val="008669C6"/>
    <w:rsid w:val="00867176"/>
    <w:rsid w:val="0086776A"/>
    <w:rsid w:val="00870849"/>
    <w:rsid w:val="00870AB4"/>
    <w:rsid w:val="00872057"/>
    <w:rsid w:val="008721EB"/>
    <w:rsid w:val="0087450B"/>
    <w:rsid w:val="00874B6B"/>
    <w:rsid w:val="0087757B"/>
    <w:rsid w:val="008801FF"/>
    <w:rsid w:val="008802E6"/>
    <w:rsid w:val="008817D6"/>
    <w:rsid w:val="00881EF3"/>
    <w:rsid w:val="008825FE"/>
    <w:rsid w:val="00882B57"/>
    <w:rsid w:val="008849C9"/>
    <w:rsid w:val="00884D86"/>
    <w:rsid w:val="008874CE"/>
    <w:rsid w:val="00887964"/>
    <w:rsid w:val="008901CF"/>
    <w:rsid w:val="0089067F"/>
    <w:rsid w:val="00890FEE"/>
    <w:rsid w:val="0089116C"/>
    <w:rsid w:val="00892A0B"/>
    <w:rsid w:val="00892E71"/>
    <w:rsid w:val="00894A3B"/>
    <w:rsid w:val="00895AD7"/>
    <w:rsid w:val="00895EA9"/>
    <w:rsid w:val="008963AF"/>
    <w:rsid w:val="008963C8"/>
    <w:rsid w:val="008A08EF"/>
    <w:rsid w:val="008A0D05"/>
    <w:rsid w:val="008A13EB"/>
    <w:rsid w:val="008A248C"/>
    <w:rsid w:val="008A2B52"/>
    <w:rsid w:val="008A6290"/>
    <w:rsid w:val="008A6517"/>
    <w:rsid w:val="008A6528"/>
    <w:rsid w:val="008A72E9"/>
    <w:rsid w:val="008A73CD"/>
    <w:rsid w:val="008A7797"/>
    <w:rsid w:val="008B0898"/>
    <w:rsid w:val="008B0904"/>
    <w:rsid w:val="008B1205"/>
    <w:rsid w:val="008B2BED"/>
    <w:rsid w:val="008B2D4F"/>
    <w:rsid w:val="008B2DE3"/>
    <w:rsid w:val="008B3EBF"/>
    <w:rsid w:val="008B47BF"/>
    <w:rsid w:val="008B5EE5"/>
    <w:rsid w:val="008B619D"/>
    <w:rsid w:val="008B64B4"/>
    <w:rsid w:val="008B78EA"/>
    <w:rsid w:val="008C083E"/>
    <w:rsid w:val="008C14F5"/>
    <w:rsid w:val="008C2213"/>
    <w:rsid w:val="008C2FBB"/>
    <w:rsid w:val="008C3B59"/>
    <w:rsid w:val="008C45F8"/>
    <w:rsid w:val="008C6D51"/>
    <w:rsid w:val="008C75E7"/>
    <w:rsid w:val="008C7CBB"/>
    <w:rsid w:val="008D0050"/>
    <w:rsid w:val="008D1725"/>
    <w:rsid w:val="008D1BAE"/>
    <w:rsid w:val="008D25FB"/>
    <w:rsid w:val="008D28AB"/>
    <w:rsid w:val="008D2C54"/>
    <w:rsid w:val="008D3D92"/>
    <w:rsid w:val="008D49E8"/>
    <w:rsid w:val="008E112A"/>
    <w:rsid w:val="008E229F"/>
    <w:rsid w:val="008E27F7"/>
    <w:rsid w:val="008E332A"/>
    <w:rsid w:val="008E4973"/>
    <w:rsid w:val="008E6693"/>
    <w:rsid w:val="008E7565"/>
    <w:rsid w:val="008E7AAB"/>
    <w:rsid w:val="008F0ABF"/>
    <w:rsid w:val="008F0D3C"/>
    <w:rsid w:val="008F1D61"/>
    <w:rsid w:val="008F2C62"/>
    <w:rsid w:val="008F2DC5"/>
    <w:rsid w:val="008F461C"/>
    <w:rsid w:val="008F48B0"/>
    <w:rsid w:val="008F4CC1"/>
    <w:rsid w:val="008F4F77"/>
    <w:rsid w:val="008F51F8"/>
    <w:rsid w:val="008F561F"/>
    <w:rsid w:val="008F627A"/>
    <w:rsid w:val="008F7478"/>
    <w:rsid w:val="008F7BED"/>
    <w:rsid w:val="008F7E31"/>
    <w:rsid w:val="009007D4"/>
    <w:rsid w:val="009025FE"/>
    <w:rsid w:val="00904251"/>
    <w:rsid w:val="009058B1"/>
    <w:rsid w:val="00905DB2"/>
    <w:rsid w:val="009067DB"/>
    <w:rsid w:val="009074ED"/>
    <w:rsid w:val="00910297"/>
    <w:rsid w:val="009102A5"/>
    <w:rsid w:val="00910CD5"/>
    <w:rsid w:val="00911B53"/>
    <w:rsid w:val="00911C5A"/>
    <w:rsid w:val="00912DD5"/>
    <w:rsid w:val="00913E79"/>
    <w:rsid w:val="00914E1A"/>
    <w:rsid w:val="00914E43"/>
    <w:rsid w:val="0091517E"/>
    <w:rsid w:val="00915792"/>
    <w:rsid w:val="009166D7"/>
    <w:rsid w:val="00916A23"/>
    <w:rsid w:val="0092026D"/>
    <w:rsid w:val="009215BB"/>
    <w:rsid w:val="009220FA"/>
    <w:rsid w:val="009228B5"/>
    <w:rsid w:val="00923151"/>
    <w:rsid w:val="0092350E"/>
    <w:rsid w:val="00923DF2"/>
    <w:rsid w:val="00925BF2"/>
    <w:rsid w:val="00926075"/>
    <w:rsid w:val="00926C7F"/>
    <w:rsid w:val="00927227"/>
    <w:rsid w:val="00927881"/>
    <w:rsid w:val="00927EB6"/>
    <w:rsid w:val="009316BD"/>
    <w:rsid w:val="00931DC9"/>
    <w:rsid w:val="00932F3F"/>
    <w:rsid w:val="009331FF"/>
    <w:rsid w:val="00933518"/>
    <w:rsid w:val="00935097"/>
    <w:rsid w:val="0093647A"/>
    <w:rsid w:val="0093694E"/>
    <w:rsid w:val="00940583"/>
    <w:rsid w:val="0094563B"/>
    <w:rsid w:val="0094631E"/>
    <w:rsid w:val="009464AF"/>
    <w:rsid w:val="00946E10"/>
    <w:rsid w:val="009477BA"/>
    <w:rsid w:val="00950BB8"/>
    <w:rsid w:val="00951BE4"/>
    <w:rsid w:val="00954344"/>
    <w:rsid w:val="00954FF1"/>
    <w:rsid w:val="00955016"/>
    <w:rsid w:val="00955105"/>
    <w:rsid w:val="00955944"/>
    <w:rsid w:val="009604FB"/>
    <w:rsid w:val="00960A62"/>
    <w:rsid w:val="00960DA1"/>
    <w:rsid w:val="00960EFF"/>
    <w:rsid w:val="00960FE2"/>
    <w:rsid w:val="0096273B"/>
    <w:rsid w:val="009633CC"/>
    <w:rsid w:val="009641A6"/>
    <w:rsid w:val="009646C8"/>
    <w:rsid w:val="00964B37"/>
    <w:rsid w:val="00964E31"/>
    <w:rsid w:val="00965F9F"/>
    <w:rsid w:val="009667B2"/>
    <w:rsid w:val="00966EEE"/>
    <w:rsid w:val="009674C1"/>
    <w:rsid w:val="00967AE9"/>
    <w:rsid w:val="00971CB5"/>
    <w:rsid w:val="009721D9"/>
    <w:rsid w:val="00972B2A"/>
    <w:rsid w:val="00975B97"/>
    <w:rsid w:val="00975BB7"/>
    <w:rsid w:val="00976208"/>
    <w:rsid w:val="00976773"/>
    <w:rsid w:val="00980179"/>
    <w:rsid w:val="009807FD"/>
    <w:rsid w:val="00981421"/>
    <w:rsid w:val="009825B2"/>
    <w:rsid w:val="009841BE"/>
    <w:rsid w:val="009847E0"/>
    <w:rsid w:val="009860F2"/>
    <w:rsid w:val="009865F2"/>
    <w:rsid w:val="00986AD7"/>
    <w:rsid w:val="009874F6"/>
    <w:rsid w:val="00987CA4"/>
    <w:rsid w:val="00991B30"/>
    <w:rsid w:val="00993BAB"/>
    <w:rsid w:val="00994A67"/>
    <w:rsid w:val="009950DA"/>
    <w:rsid w:val="0099578A"/>
    <w:rsid w:val="00995EBA"/>
    <w:rsid w:val="0099699D"/>
    <w:rsid w:val="00996B62"/>
    <w:rsid w:val="00997014"/>
    <w:rsid w:val="00997782"/>
    <w:rsid w:val="00997DE9"/>
    <w:rsid w:val="009A0A27"/>
    <w:rsid w:val="009A0C82"/>
    <w:rsid w:val="009A1404"/>
    <w:rsid w:val="009A15D9"/>
    <w:rsid w:val="009A2446"/>
    <w:rsid w:val="009A33E4"/>
    <w:rsid w:val="009A3DB3"/>
    <w:rsid w:val="009A3FF7"/>
    <w:rsid w:val="009A7F2E"/>
    <w:rsid w:val="009B11D5"/>
    <w:rsid w:val="009B1DC0"/>
    <w:rsid w:val="009B35B0"/>
    <w:rsid w:val="009B3C9D"/>
    <w:rsid w:val="009B40CE"/>
    <w:rsid w:val="009B47A5"/>
    <w:rsid w:val="009C08C2"/>
    <w:rsid w:val="009C1779"/>
    <w:rsid w:val="009C1B79"/>
    <w:rsid w:val="009C3A5F"/>
    <w:rsid w:val="009C3B30"/>
    <w:rsid w:val="009C3B37"/>
    <w:rsid w:val="009C3B5D"/>
    <w:rsid w:val="009C505C"/>
    <w:rsid w:val="009C543B"/>
    <w:rsid w:val="009C5DC0"/>
    <w:rsid w:val="009C6769"/>
    <w:rsid w:val="009C6E67"/>
    <w:rsid w:val="009C7445"/>
    <w:rsid w:val="009D0DA5"/>
    <w:rsid w:val="009D13F2"/>
    <w:rsid w:val="009D18A0"/>
    <w:rsid w:val="009D2AA8"/>
    <w:rsid w:val="009D4219"/>
    <w:rsid w:val="009D5DF5"/>
    <w:rsid w:val="009E0110"/>
    <w:rsid w:val="009E184E"/>
    <w:rsid w:val="009E209C"/>
    <w:rsid w:val="009E20C1"/>
    <w:rsid w:val="009E21A7"/>
    <w:rsid w:val="009E294A"/>
    <w:rsid w:val="009E51A5"/>
    <w:rsid w:val="009E5B74"/>
    <w:rsid w:val="009E622F"/>
    <w:rsid w:val="009F08EA"/>
    <w:rsid w:val="009F0948"/>
    <w:rsid w:val="009F0C85"/>
    <w:rsid w:val="009F12C0"/>
    <w:rsid w:val="009F26E2"/>
    <w:rsid w:val="009F41B3"/>
    <w:rsid w:val="009F67C7"/>
    <w:rsid w:val="009F719F"/>
    <w:rsid w:val="009F73D8"/>
    <w:rsid w:val="009F73E5"/>
    <w:rsid w:val="00A00F11"/>
    <w:rsid w:val="00A01907"/>
    <w:rsid w:val="00A02B74"/>
    <w:rsid w:val="00A10CD4"/>
    <w:rsid w:val="00A10FBB"/>
    <w:rsid w:val="00A11C10"/>
    <w:rsid w:val="00A12F87"/>
    <w:rsid w:val="00A13940"/>
    <w:rsid w:val="00A14729"/>
    <w:rsid w:val="00A14F35"/>
    <w:rsid w:val="00A16E8E"/>
    <w:rsid w:val="00A200FD"/>
    <w:rsid w:val="00A20162"/>
    <w:rsid w:val="00A21C65"/>
    <w:rsid w:val="00A22177"/>
    <w:rsid w:val="00A22A6C"/>
    <w:rsid w:val="00A234A6"/>
    <w:rsid w:val="00A23BAF"/>
    <w:rsid w:val="00A24A82"/>
    <w:rsid w:val="00A25519"/>
    <w:rsid w:val="00A2579F"/>
    <w:rsid w:val="00A257DF"/>
    <w:rsid w:val="00A26027"/>
    <w:rsid w:val="00A2618F"/>
    <w:rsid w:val="00A313E2"/>
    <w:rsid w:val="00A32E56"/>
    <w:rsid w:val="00A34114"/>
    <w:rsid w:val="00A344AC"/>
    <w:rsid w:val="00A3472F"/>
    <w:rsid w:val="00A34DA8"/>
    <w:rsid w:val="00A350C5"/>
    <w:rsid w:val="00A35CF4"/>
    <w:rsid w:val="00A35E42"/>
    <w:rsid w:val="00A360CE"/>
    <w:rsid w:val="00A36519"/>
    <w:rsid w:val="00A36AEE"/>
    <w:rsid w:val="00A36BAC"/>
    <w:rsid w:val="00A37962"/>
    <w:rsid w:val="00A405F2"/>
    <w:rsid w:val="00A412D5"/>
    <w:rsid w:val="00A41B1B"/>
    <w:rsid w:val="00A43295"/>
    <w:rsid w:val="00A44A5A"/>
    <w:rsid w:val="00A4639B"/>
    <w:rsid w:val="00A467D6"/>
    <w:rsid w:val="00A46D24"/>
    <w:rsid w:val="00A47CDB"/>
    <w:rsid w:val="00A50E67"/>
    <w:rsid w:val="00A518F5"/>
    <w:rsid w:val="00A51A18"/>
    <w:rsid w:val="00A5264F"/>
    <w:rsid w:val="00A54766"/>
    <w:rsid w:val="00A55447"/>
    <w:rsid w:val="00A60553"/>
    <w:rsid w:val="00A61605"/>
    <w:rsid w:val="00A61C36"/>
    <w:rsid w:val="00A62B34"/>
    <w:rsid w:val="00A6391A"/>
    <w:rsid w:val="00A63940"/>
    <w:rsid w:val="00A63B9D"/>
    <w:rsid w:val="00A64115"/>
    <w:rsid w:val="00A648C7"/>
    <w:rsid w:val="00A65FC6"/>
    <w:rsid w:val="00A664D1"/>
    <w:rsid w:val="00A66690"/>
    <w:rsid w:val="00A67B2B"/>
    <w:rsid w:val="00A67D06"/>
    <w:rsid w:val="00A73295"/>
    <w:rsid w:val="00A76501"/>
    <w:rsid w:val="00A771DC"/>
    <w:rsid w:val="00A81244"/>
    <w:rsid w:val="00A81693"/>
    <w:rsid w:val="00A82543"/>
    <w:rsid w:val="00A8275A"/>
    <w:rsid w:val="00A82B4F"/>
    <w:rsid w:val="00A84083"/>
    <w:rsid w:val="00A84F8B"/>
    <w:rsid w:val="00A8544C"/>
    <w:rsid w:val="00A8642B"/>
    <w:rsid w:val="00A87C1C"/>
    <w:rsid w:val="00A91388"/>
    <w:rsid w:val="00A91BD7"/>
    <w:rsid w:val="00A91F3A"/>
    <w:rsid w:val="00A920A6"/>
    <w:rsid w:val="00A94785"/>
    <w:rsid w:val="00A948F2"/>
    <w:rsid w:val="00A95301"/>
    <w:rsid w:val="00A954FA"/>
    <w:rsid w:val="00A95698"/>
    <w:rsid w:val="00A9630A"/>
    <w:rsid w:val="00A9728B"/>
    <w:rsid w:val="00A97B26"/>
    <w:rsid w:val="00AA008D"/>
    <w:rsid w:val="00AA04B3"/>
    <w:rsid w:val="00AA06A9"/>
    <w:rsid w:val="00AA0B30"/>
    <w:rsid w:val="00AA0BB5"/>
    <w:rsid w:val="00AA15A5"/>
    <w:rsid w:val="00AA2032"/>
    <w:rsid w:val="00AA2EEE"/>
    <w:rsid w:val="00AA3857"/>
    <w:rsid w:val="00AA3898"/>
    <w:rsid w:val="00AA3BA3"/>
    <w:rsid w:val="00AA6C37"/>
    <w:rsid w:val="00AA6DD9"/>
    <w:rsid w:val="00AA75C0"/>
    <w:rsid w:val="00AB0A7F"/>
    <w:rsid w:val="00AB0B00"/>
    <w:rsid w:val="00AB1935"/>
    <w:rsid w:val="00AB1A66"/>
    <w:rsid w:val="00AB222C"/>
    <w:rsid w:val="00AB263E"/>
    <w:rsid w:val="00AB2FA8"/>
    <w:rsid w:val="00AB4D77"/>
    <w:rsid w:val="00AB56E7"/>
    <w:rsid w:val="00AB616B"/>
    <w:rsid w:val="00AB6366"/>
    <w:rsid w:val="00AB6F01"/>
    <w:rsid w:val="00AC0372"/>
    <w:rsid w:val="00AC070A"/>
    <w:rsid w:val="00AC071D"/>
    <w:rsid w:val="00AC096A"/>
    <w:rsid w:val="00AC26B9"/>
    <w:rsid w:val="00AC2762"/>
    <w:rsid w:val="00AC41EE"/>
    <w:rsid w:val="00AC4471"/>
    <w:rsid w:val="00AC500F"/>
    <w:rsid w:val="00AC5BE2"/>
    <w:rsid w:val="00AC6422"/>
    <w:rsid w:val="00AD0D06"/>
    <w:rsid w:val="00AD1405"/>
    <w:rsid w:val="00AD371B"/>
    <w:rsid w:val="00AD3D57"/>
    <w:rsid w:val="00AD412D"/>
    <w:rsid w:val="00AD419B"/>
    <w:rsid w:val="00AD57B5"/>
    <w:rsid w:val="00AD5BF8"/>
    <w:rsid w:val="00AD73AC"/>
    <w:rsid w:val="00AE0715"/>
    <w:rsid w:val="00AE073F"/>
    <w:rsid w:val="00AE1052"/>
    <w:rsid w:val="00AE1683"/>
    <w:rsid w:val="00AE1C2B"/>
    <w:rsid w:val="00AE2617"/>
    <w:rsid w:val="00AE37EA"/>
    <w:rsid w:val="00AE3D05"/>
    <w:rsid w:val="00AE3EA2"/>
    <w:rsid w:val="00AE41E0"/>
    <w:rsid w:val="00AE542A"/>
    <w:rsid w:val="00AE5755"/>
    <w:rsid w:val="00AE6088"/>
    <w:rsid w:val="00AE615E"/>
    <w:rsid w:val="00AE6F5C"/>
    <w:rsid w:val="00AF03F7"/>
    <w:rsid w:val="00AF067E"/>
    <w:rsid w:val="00AF309D"/>
    <w:rsid w:val="00AF3B32"/>
    <w:rsid w:val="00AF3B39"/>
    <w:rsid w:val="00AF3D49"/>
    <w:rsid w:val="00AF3F8E"/>
    <w:rsid w:val="00AF6E30"/>
    <w:rsid w:val="00AF7490"/>
    <w:rsid w:val="00AF7998"/>
    <w:rsid w:val="00B0055B"/>
    <w:rsid w:val="00B02FB0"/>
    <w:rsid w:val="00B05E0E"/>
    <w:rsid w:val="00B06180"/>
    <w:rsid w:val="00B110BF"/>
    <w:rsid w:val="00B1173F"/>
    <w:rsid w:val="00B12A9B"/>
    <w:rsid w:val="00B134B0"/>
    <w:rsid w:val="00B13533"/>
    <w:rsid w:val="00B13B3E"/>
    <w:rsid w:val="00B141F7"/>
    <w:rsid w:val="00B14569"/>
    <w:rsid w:val="00B1465E"/>
    <w:rsid w:val="00B16D77"/>
    <w:rsid w:val="00B17AB8"/>
    <w:rsid w:val="00B20085"/>
    <w:rsid w:val="00B20D3C"/>
    <w:rsid w:val="00B21EA2"/>
    <w:rsid w:val="00B229D9"/>
    <w:rsid w:val="00B23132"/>
    <w:rsid w:val="00B253A2"/>
    <w:rsid w:val="00B25E7C"/>
    <w:rsid w:val="00B262EB"/>
    <w:rsid w:val="00B26707"/>
    <w:rsid w:val="00B2730C"/>
    <w:rsid w:val="00B30ED0"/>
    <w:rsid w:val="00B31594"/>
    <w:rsid w:val="00B31AF4"/>
    <w:rsid w:val="00B331BF"/>
    <w:rsid w:val="00B333E0"/>
    <w:rsid w:val="00B3517D"/>
    <w:rsid w:val="00B35A19"/>
    <w:rsid w:val="00B35C14"/>
    <w:rsid w:val="00B35E47"/>
    <w:rsid w:val="00B37268"/>
    <w:rsid w:val="00B4110C"/>
    <w:rsid w:val="00B41C04"/>
    <w:rsid w:val="00B4242D"/>
    <w:rsid w:val="00B4247D"/>
    <w:rsid w:val="00B42635"/>
    <w:rsid w:val="00B426F1"/>
    <w:rsid w:val="00B42F39"/>
    <w:rsid w:val="00B43991"/>
    <w:rsid w:val="00B47BB0"/>
    <w:rsid w:val="00B50870"/>
    <w:rsid w:val="00B51804"/>
    <w:rsid w:val="00B52BE4"/>
    <w:rsid w:val="00B52EDC"/>
    <w:rsid w:val="00B543D7"/>
    <w:rsid w:val="00B5464A"/>
    <w:rsid w:val="00B55730"/>
    <w:rsid w:val="00B5638D"/>
    <w:rsid w:val="00B574BB"/>
    <w:rsid w:val="00B61DA3"/>
    <w:rsid w:val="00B62343"/>
    <w:rsid w:val="00B62F09"/>
    <w:rsid w:val="00B64C87"/>
    <w:rsid w:val="00B6544C"/>
    <w:rsid w:val="00B659F6"/>
    <w:rsid w:val="00B664D2"/>
    <w:rsid w:val="00B666E8"/>
    <w:rsid w:val="00B67D87"/>
    <w:rsid w:val="00B704E3"/>
    <w:rsid w:val="00B710F3"/>
    <w:rsid w:val="00B7144E"/>
    <w:rsid w:val="00B7190B"/>
    <w:rsid w:val="00B71B61"/>
    <w:rsid w:val="00B7245C"/>
    <w:rsid w:val="00B72D87"/>
    <w:rsid w:val="00B73A80"/>
    <w:rsid w:val="00B7538C"/>
    <w:rsid w:val="00B75E9A"/>
    <w:rsid w:val="00B773D5"/>
    <w:rsid w:val="00B775FD"/>
    <w:rsid w:val="00B77D57"/>
    <w:rsid w:val="00B8028E"/>
    <w:rsid w:val="00B80CC8"/>
    <w:rsid w:val="00B8158C"/>
    <w:rsid w:val="00B81C87"/>
    <w:rsid w:val="00B81E71"/>
    <w:rsid w:val="00B841C5"/>
    <w:rsid w:val="00B86A7D"/>
    <w:rsid w:val="00B879AD"/>
    <w:rsid w:val="00B93330"/>
    <w:rsid w:val="00B934BB"/>
    <w:rsid w:val="00B93A84"/>
    <w:rsid w:val="00B94418"/>
    <w:rsid w:val="00B947A4"/>
    <w:rsid w:val="00B949F5"/>
    <w:rsid w:val="00B959F5"/>
    <w:rsid w:val="00B95AB1"/>
    <w:rsid w:val="00B95C2C"/>
    <w:rsid w:val="00B9616D"/>
    <w:rsid w:val="00B96E45"/>
    <w:rsid w:val="00BA0AF0"/>
    <w:rsid w:val="00BA1017"/>
    <w:rsid w:val="00BA101E"/>
    <w:rsid w:val="00BA110D"/>
    <w:rsid w:val="00BA370F"/>
    <w:rsid w:val="00BA3ABF"/>
    <w:rsid w:val="00BA3B94"/>
    <w:rsid w:val="00BA4A59"/>
    <w:rsid w:val="00BA5583"/>
    <w:rsid w:val="00BA58F5"/>
    <w:rsid w:val="00BA7EB4"/>
    <w:rsid w:val="00BB056B"/>
    <w:rsid w:val="00BB324D"/>
    <w:rsid w:val="00BB3EB1"/>
    <w:rsid w:val="00BB7B32"/>
    <w:rsid w:val="00BC13B2"/>
    <w:rsid w:val="00BC1564"/>
    <w:rsid w:val="00BC1C73"/>
    <w:rsid w:val="00BC1ED3"/>
    <w:rsid w:val="00BC2111"/>
    <w:rsid w:val="00BC2392"/>
    <w:rsid w:val="00BC2E4A"/>
    <w:rsid w:val="00BC47F6"/>
    <w:rsid w:val="00BC4EDF"/>
    <w:rsid w:val="00BC60EF"/>
    <w:rsid w:val="00BC63C1"/>
    <w:rsid w:val="00BC781F"/>
    <w:rsid w:val="00BC7D1A"/>
    <w:rsid w:val="00BD0067"/>
    <w:rsid w:val="00BD00A7"/>
    <w:rsid w:val="00BD13A6"/>
    <w:rsid w:val="00BD2481"/>
    <w:rsid w:val="00BD3A48"/>
    <w:rsid w:val="00BD7987"/>
    <w:rsid w:val="00BD7D3A"/>
    <w:rsid w:val="00BE1D35"/>
    <w:rsid w:val="00BE30E4"/>
    <w:rsid w:val="00BE44E9"/>
    <w:rsid w:val="00BE468E"/>
    <w:rsid w:val="00BE4770"/>
    <w:rsid w:val="00BE5B58"/>
    <w:rsid w:val="00BE6626"/>
    <w:rsid w:val="00BE68DA"/>
    <w:rsid w:val="00BE76C4"/>
    <w:rsid w:val="00BF306F"/>
    <w:rsid w:val="00BF398B"/>
    <w:rsid w:val="00BF4EEA"/>
    <w:rsid w:val="00BF6757"/>
    <w:rsid w:val="00BF72F8"/>
    <w:rsid w:val="00BF7D6D"/>
    <w:rsid w:val="00C01433"/>
    <w:rsid w:val="00C0197C"/>
    <w:rsid w:val="00C01AC4"/>
    <w:rsid w:val="00C01D83"/>
    <w:rsid w:val="00C022FE"/>
    <w:rsid w:val="00C02C5B"/>
    <w:rsid w:val="00C03457"/>
    <w:rsid w:val="00C041A8"/>
    <w:rsid w:val="00C0582A"/>
    <w:rsid w:val="00C0697A"/>
    <w:rsid w:val="00C07534"/>
    <w:rsid w:val="00C076E5"/>
    <w:rsid w:val="00C1062F"/>
    <w:rsid w:val="00C12826"/>
    <w:rsid w:val="00C141E5"/>
    <w:rsid w:val="00C1492B"/>
    <w:rsid w:val="00C149EB"/>
    <w:rsid w:val="00C178EC"/>
    <w:rsid w:val="00C179A4"/>
    <w:rsid w:val="00C17DEC"/>
    <w:rsid w:val="00C20AE3"/>
    <w:rsid w:val="00C20CD8"/>
    <w:rsid w:val="00C210E1"/>
    <w:rsid w:val="00C21C0B"/>
    <w:rsid w:val="00C21DC1"/>
    <w:rsid w:val="00C21E5A"/>
    <w:rsid w:val="00C224BB"/>
    <w:rsid w:val="00C22A3C"/>
    <w:rsid w:val="00C2335F"/>
    <w:rsid w:val="00C24F05"/>
    <w:rsid w:val="00C30109"/>
    <w:rsid w:val="00C31CCF"/>
    <w:rsid w:val="00C323AB"/>
    <w:rsid w:val="00C32DF7"/>
    <w:rsid w:val="00C34BD9"/>
    <w:rsid w:val="00C354C6"/>
    <w:rsid w:val="00C35671"/>
    <w:rsid w:val="00C35E79"/>
    <w:rsid w:val="00C373B5"/>
    <w:rsid w:val="00C37B79"/>
    <w:rsid w:val="00C419F9"/>
    <w:rsid w:val="00C42923"/>
    <w:rsid w:val="00C42B5A"/>
    <w:rsid w:val="00C43715"/>
    <w:rsid w:val="00C4419B"/>
    <w:rsid w:val="00C455E5"/>
    <w:rsid w:val="00C457F8"/>
    <w:rsid w:val="00C46812"/>
    <w:rsid w:val="00C47A67"/>
    <w:rsid w:val="00C50FB0"/>
    <w:rsid w:val="00C50FC4"/>
    <w:rsid w:val="00C51CAC"/>
    <w:rsid w:val="00C5204F"/>
    <w:rsid w:val="00C52437"/>
    <w:rsid w:val="00C53F06"/>
    <w:rsid w:val="00C5456A"/>
    <w:rsid w:val="00C56C0C"/>
    <w:rsid w:val="00C57077"/>
    <w:rsid w:val="00C574AF"/>
    <w:rsid w:val="00C62F27"/>
    <w:rsid w:val="00C63C28"/>
    <w:rsid w:val="00C650A7"/>
    <w:rsid w:val="00C662E4"/>
    <w:rsid w:val="00C66BB7"/>
    <w:rsid w:val="00C710FA"/>
    <w:rsid w:val="00C7149E"/>
    <w:rsid w:val="00C73BF3"/>
    <w:rsid w:val="00C75191"/>
    <w:rsid w:val="00C80609"/>
    <w:rsid w:val="00C8071E"/>
    <w:rsid w:val="00C81422"/>
    <w:rsid w:val="00C81C35"/>
    <w:rsid w:val="00C81D42"/>
    <w:rsid w:val="00C841E5"/>
    <w:rsid w:val="00C8543A"/>
    <w:rsid w:val="00C86ACE"/>
    <w:rsid w:val="00C9099B"/>
    <w:rsid w:val="00C91922"/>
    <w:rsid w:val="00C91B26"/>
    <w:rsid w:val="00C9248C"/>
    <w:rsid w:val="00C92FB3"/>
    <w:rsid w:val="00C931A3"/>
    <w:rsid w:val="00C93467"/>
    <w:rsid w:val="00C956CE"/>
    <w:rsid w:val="00C97430"/>
    <w:rsid w:val="00C97CD0"/>
    <w:rsid w:val="00CA05A7"/>
    <w:rsid w:val="00CA1647"/>
    <w:rsid w:val="00CA191E"/>
    <w:rsid w:val="00CA1F9D"/>
    <w:rsid w:val="00CA2053"/>
    <w:rsid w:val="00CA20B4"/>
    <w:rsid w:val="00CA333E"/>
    <w:rsid w:val="00CA3565"/>
    <w:rsid w:val="00CA42A4"/>
    <w:rsid w:val="00CA528B"/>
    <w:rsid w:val="00CA5A9E"/>
    <w:rsid w:val="00CA5F62"/>
    <w:rsid w:val="00CB0987"/>
    <w:rsid w:val="00CB10FD"/>
    <w:rsid w:val="00CB15C0"/>
    <w:rsid w:val="00CB1610"/>
    <w:rsid w:val="00CB2738"/>
    <w:rsid w:val="00CB2C1D"/>
    <w:rsid w:val="00CB2F45"/>
    <w:rsid w:val="00CB34A1"/>
    <w:rsid w:val="00CB3DD5"/>
    <w:rsid w:val="00CB4542"/>
    <w:rsid w:val="00CB5027"/>
    <w:rsid w:val="00CB6C83"/>
    <w:rsid w:val="00CB6EB3"/>
    <w:rsid w:val="00CB6FD5"/>
    <w:rsid w:val="00CB7645"/>
    <w:rsid w:val="00CC16BF"/>
    <w:rsid w:val="00CC17AD"/>
    <w:rsid w:val="00CC2C1F"/>
    <w:rsid w:val="00CC325F"/>
    <w:rsid w:val="00CC3EA5"/>
    <w:rsid w:val="00CC4046"/>
    <w:rsid w:val="00CC48E6"/>
    <w:rsid w:val="00CC5D3A"/>
    <w:rsid w:val="00CC651B"/>
    <w:rsid w:val="00CC65F8"/>
    <w:rsid w:val="00CC68EB"/>
    <w:rsid w:val="00CC7A48"/>
    <w:rsid w:val="00CC7D2F"/>
    <w:rsid w:val="00CD0616"/>
    <w:rsid w:val="00CD0BAB"/>
    <w:rsid w:val="00CD0CD5"/>
    <w:rsid w:val="00CD11C3"/>
    <w:rsid w:val="00CD2E93"/>
    <w:rsid w:val="00CD2E97"/>
    <w:rsid w:val="00CD4C9C"/>
    <w:rsid w:val="00CD4DC3"/>
    <w:rsid w:val="00CD5357"/>
    <w:rsid w:val="00CD5748"/>
    <w:rsid w:val="00CD6461"/>
    <w:rsid w:val="00CD7547"/>
    <w:rsid w:val="00CE00CB"/>
    <w:rsid w:val="00CE0312"/>
    <w:rsid w:val="00CE1C4A"/>
    <w:rsid w:val="00CE24EF"/>
    <w:rsid w:val="00CE2B90"/>
    <w:rsid w:val="00CE2F53"/>
    <w:rsid w:val="00CE3146"/>
    <w:rsid w:val="00CE319E"/>
    <w:rsid w:val="00CE3779"/>
    <w:rsid w:val="00CE4017"/>
    <w:rsid w:val="00CE4250"/>
    <w:rsid w:val="00CE5A79"/>
    <w:rsid w:val="00CE5D03"/>
    <w:rsid w:val="00CE673F"/>
    <w:rsid w:val="00CE6BAF"/>
    <w:rsid w:val="00CE6D39"/>
    <w:rsid w:val="00CE7D5F"/>
    <w:rsid w:val="00CF12A5"/>
    <w:rsid w:val="00CF1552"/>
    <w:rsid w:val="00CF19D5"/>
    <w:rsid w:val="00CF3723"/>
    <w:rsid w:val="00CF3E64"/>
    <w:rsid w:val="00CF445B"/>
    <w:rsid w:val="00CF44C2"/>
    <w:rsid w:val="00CF5BD0"/>
    <w:rsid w:val="00CF75AD"/>
    <w:rsid w:val="00D012E5"/>
    <w:rsid w:val="00D015D3"/>
    <w:rsid w:val="00D01638"/>
    <w:rsid w:val="00D018E0"/>
    <w:rsid w:val="00D039A4"/>
    <w:rsid w:val="00D03B0C"/>
    <w:rsid w:val="00D03F7D"/>
    <w:rsid w:val="00D04879"/>
    <w:rsid w:val="00D058A5"/>
    <w:rsid w:val="00D067CF"/>
    <w:rsid w:val="00D07C1A"/>
    <w:rsid w:val="00D1011F"/>
    <w:rsid w:val="00D11D11"/>
    <w:rsid w:val="00D137A1"/>
    <w:rsid w:val="00D13F2A"/>
    <w:rsid w:val="00D141F9"/>
    <w:rsid w:val="00D145DE"/>
    <w:rsid w:val="00D15415"/>
    <w:rsid w:val="00D178CF"/>
    <w:rsid w:val="00D20C7D"/>
    <w:rsid w:val="00D225A0"/>
    <w:rsid w:val="00D23526"/>
    <w:rsid w:val="00D246FC"/>
    <w:rsid w:val="00D24999"/>
    <w:rsid w:val="00D256FF"/>
    <w:rsid w:val="00D25A1B"/>
    <w:rsid w:val="00D267D8"/>
    <w:rsid w:val="00D272B1"/>
    <w:rsid w:val="00D32C2E"/>
    <w:rsid w:val="00D3482B"/>
    <w:rsid w:val="00D352DE"/>
    <w:rsid w:val="00D35E28"/>
    <w:rsid w:val="00D3603F"/>
    <w:rsid w:val="00D369DB"/>
    <w:rsid w:val="00D37835"/>
    <w:rsid w:val="00D40037"/>
    <w:rsid w:val="00D405C0"/>
    <w:rsid w:val="00D417E6"/>
    <w:rsid w:val="00D419FC"/>
    <w:rsid w:val="00D41EBE"/>
    <w:rsid w:val="00D41EE5"/>
    <w:rsid w:val="00D42186"/>
    <w:rsid w:val="00D42EC1"/>
    <w:rsid w:val="00D4366A"/>
    <w:rsid w:val="00D43E94"/>
    <w:rsid w:val="00D4546B"/>
    <w:rsid w:val="00D459F2"/>
    <w:rsid w:val="00D45E1A"/>
    <w:rsid w:val="00D46F04"/>
    <w:rsid w:val="00D500CE"/>
    <w:rsid w:val="00D50A3F"/>
    <w:rsid w:val="00D50B7B"/>
    <w:rsid w:val="00D510E8"/>
    <w:rsid w:val="00D5210B"/>
    <w:rsid w:val="00D52E1D"/>
    <w:rsid w:val="00D531F6"/>
    <w:rsid w:val="00D53CC3"/>
    <w:rsid w:val="00D53D25"/>
    <w:rsid w:val="00D56BFC"/>
    <w:rsid w:val="00D57E1F"/>
    <w:rsid w:val="00D600F8"/>
    <w:rsid w:val="00D627CB"/>
    <w:rsid w:val="00D63FEA"/>
    <w:rsid w:val="00D6511C"/>
    <w:rsid w:val="00D651A4"/>
    <w:rsid w:val="00D658BD"/>
    <w:rsid w:val="00D662D3"/>
    <w:rsid w:val="00D662F2"/>
    <w:rsid w:val="00D702D1"/>
    <w:rsid w:val="00D707B0"/>
    <w:rsid w:val="00D71569"/>
    <w:rsid w:val="00D722AE"/>
    <w:rsid w:val="00D7373B"/>
    <w:rsid w:val="00D7389E"/>
    <w:rsid w:val="00D73E79"/>
    <w:rsid w:val="00D74542"/>
    <w:rsid w:val="00D75D1B"/>
    <w:rsid w:val="00D76728"/>
    <w:rsid w:val="00D803A0"/>
    <w:rsid w:val="00D82BDB"/>
    <w:rsid w:val="00D836CC"/>
    <w:rsid w:val="00D84A6E"/>
    <w:rsid w:val="00D8500C"/>
    <w:rsid w:val="00D86408"/>
    <w:rsid w:val="00D87AEE"/>
    <w:rsid w:val="00D9006B"/>
    <w:rsid w:val="00D901D0"/>
    <w:rsid w:val="00D90ADF"/>
    <w:rsid w:val="00D91E21"/>
    <w:rsid w:val="00D91E7A"/>
    <w:rsid w:val="00D91F1E"/>
    <w:rsid w:val="00D92ACA"/>
    <w:rsid w:val="00D93C11"/>
    <w:rsid w:val="00D93FFC"/>
    <w:rsid w:val="00D95EBC"/>
    <w:rsid w:val="00D96F6A"/>
    <w:rsid w:val="00D97594"/>
    <w:rsid w:val="00DA0BC3"/>
    <w:rsid w:val="00DA238E"/>
    <w:rsid w:val="00DA53CA"/>
    <w:rsid w:val="00DA5831"/>
    <w:rsid w:val="00DA5AD2"/>
    <w:rsid w:val="00DA5FBB"/>
    <w:rsid w:val="00DB0474"/>
    <w:rsid w:val="00DB1AA0"/>
    <w:rsid w:val="00DB1B6C"/>
    <w:rsid w:val="00DB1DBE"/>
    <w:rsid w:val="00DB2603"/>
    <w:rsid w:val="00DB2ED7"/>
    <w:rsid w:val="00DB4C3A"/>
    <w:rsid w:val="00DB5DA6"/>
    <w:rsid w:val="00DB6F9C"/>
    <w:rsid w:val="00DC1CC9"/>
    <w:rsid w:val="00DC1F69"/>
    <w:rsid w:val="00DC24F3"/>
    <w:rsid w:val="00DC2BA7"/>
    <w:rsid w:val="00DC3601"/>
    <w:rsid w:val="00DC3A29"/>
    <w:rsid w:val="00DC3B35"/>
    <w:rsid w:val="00DC4CB3"/>
    <w:rsid w:val="00DC504D"/>
    <w:rsid w:val="00DC5410"/>
    <w:rsid w:val="00DC6C8E"/>
    <w:rsid w:val="00DC722B"/>
    <w:rsid w:val="00DC7EE6"/>
    <w:rsid w:val="00DD15E4"/>
    <w:rsid w:val="00DD23B3"/>
    <w:rsid w:val="00DD24AC"/>
    <w:rsid w:val="00DD2BB7"/>
    <w:rsid w:val="00DD3FE3"/>
    <w:rsid w:val="00DD40A3"/>
    <w:rsid w:val="00DD455D"/>
    <w:rsid w:val="00DD4B11"/>
    <w:rsid w:val="00DD4B9D"/>
    <w:rsid w:val="00DD75F9"/>
    <w:rsid w:val="00DD78AC"/>
    <w:rsid w:val="00DD7C96"/>
    <w:rsid w:val="00DD7DC6"/>
    <w:rsid w:val="00DE0243"/>
    <w:rsid w:val="00DE10FB"/>
    <w:rsid w:val="00DE1BB4"/>
    <w:rsid w:val="00DE21CD"/>
    <w:rsid w:val="00DE2A8E"/>
    <w:rsid w:val="00DE4973"/>
    <w:rsid w:val="00DE4CF3"/>
    <w:rsid w:val="00DE5695"/>
    <w:rsid w:val="00DE60BD"/>
    <w:rsid w:val="00DE6947"/>
    <w:rsid w:val="00DE77B7"/>
    <w:rsid w:val="00DE78EE"/>
    <w:rsid w:val="00DE7AEE"/>
    <w:rsid w:val="00DF1BC9"/>
    <w:rsid w:val="00DF25BB"/>
    <w:rsid w:val="00DF2613"/>
    <w:rsid w:val="00DF2A40"/>
    <w:rsid w:val="00DF2D5B"/>
    <w:rsid w:val="00DF4235"/>
    <w:rsid w:val="00DF4DE1"/>
    <w:rsid w:val="00DF4E2D"/>
    <w:rsid w:val="00DF6BE9"/>
    <w:rsid w:val="00DF7246"/>
    <w:rsid w:val="00DF78E0"/>
    <w:rsid w:val="00DF7B2E"/>
    <w:rsid w:val="00E00167"/>
    <w:rsid w:val="00E00D64"/>
    <w:rsid w:val="00E02A9D"/>
    <w:rsid w:val="00E02B4D"/>
    <w:rsid w:val="00E03589"/>
    <w:rsid w:val="00E039CE"/>
    <w:rsid w:val="00E040AC"/>
    <w:rsid w:val="00E04DDB"/>
    <w:rsid w:val="00E04FC2"/>
    <w:rsid w:val="00E062E1"/>
    <w:rsid w:val="00E06382"/>
    <w:rsid w:val="00E06D6E"/>
    <w:rsid w:val="00E06F6D"/>
    <w:rsid w:val="00E0746E"/>
    <w:rsid w:val="00E07E8B"/>
    <w:rsid w:val="00E11206"/>
    <w:rsid w:val="00E11453"/>
    <w:rsid w:val="00E12C32"/>
    <w:rsid w:val="00E12F8F"/>
    <w:rsid w:val="00E13383"/>
    <w:rsid w:val="00E16F02"/>
    <w:rsid w:val="00E175DD"/>
    <w:rsid w:val="00E20787"/>
    <w:rsid w:val="00E22B6F"/>
    <w:rsid w:val="00E2353E"/>
    <w:rsid w:val="00E235DD"/>
    <w:rsid w:val="00E240D5"/>
    <w:rsid w:val="00E243D3"/>
    <w:rsid w:val="00E24D72"/>
    <w:rsid w:val="00E261C8"/>
    <w:rsid w:val="00E2637C"/>
    <w:rsid w:val="00E26E2A"/>
    <w:rsid w:val="00E2788C"/>
    <w:rsid w:val="00E27E60"/>
    <w:rsid w:val="00E308CC"/>
    <w:rsid w:val="00E315A1"/>
    <w:rsid w:val="00E3225F"/>
    <w:rsid w:val="00E32EBA"/>
    <w:rsid w:val="00E32FAB"/>
    <w:rsid w:val="00E33583"/>
    <w:rsid w:val="00E34110"/>
    <w:rsid w:val="00E34447"/>
    <w:rsid w:val="00E34556"/>
    <w:rsid w:val="00E34855"/>
    <w:rsid w:val="00E34FE0"/>
    <w:rsid w:val="00E35807"/>
    <w:rsid w:val="00E35C2E"/>
    <w:rsid w:val="00E35D3A"/>
    <w:rsid w:val="00E366F5"/>
    <w:rsid w:val="00E36B7C"/>
    <w:rsid w:val="00E37F75"/>
    <w:rsid w:val="00E40EB8"/>
    <w:rsid w:val="00E432C0"/>
    <w:rsid w:val="00E43C2B"/>
    <w:rsid w:val="00E43F68"/>
    <w:rsid w:val="00E44E15"/>
    <w:rsid w:val="00E45F84"/>
    <w:rsid w:val="00E51896"/>
    <w:rsid w:val="00E51D26"/>
    <w:rsid w:val="00E52C3B"/>
    <w:rsid w:val="00E52E39"/>
    <w:rsid w:val="00E53AF5"/>
    <w:rsid w:val="00E53E06"/>
    <w:rsid w:val="00E54227"/>
    <w:rsid w:val="00E54280"/>
    <w:rsid w:val="00E54C84"/>
    <w:rsid w:val="00E55395"/>
    <w:rsid w:val="00E569B9"/>
    <w:rsid w:val="00E57A44"/>
    <w:rsid w:val="00E57F78"/>
    <w:rsid w:val="00E603C8"/>
    <w:rsid w:val="00E6122E"/>
    <w:rsid w:val="00E61EE2"/>
    <w:rsid w:val="00E621D9"/>
    <w:rsid w:val="00E62302"/>
    <w:rsid w:val="00E63C91"/>
    <w:rsid w:val="00E63E46"/>
    <w:rsid w:val="00E67DB9"/>
    <w:rsid w:val="00E70393"/>
    <w:rsid w:val="00E73597"/>
    <w:rsid w:val="00E73808"/>
    <w:rsid w:val="00E73B15"/>
    <w:rsid w:val="00E74C29"/>
    <w:rsid w:val="00E74D66"/>
    <w:rsid w:val="00E753EA"/>
    <w:rsid w:val="00E755ED"/>
    <w:rsid w:val="00E7571A"/>
    <w:rsid w:val="00E769B5"/>
    <w:rsid w:val="00E778AB"/>
    <w:rsid w:val="00E800CE"/>
    <w:rsid w:val="00E81270"/>
    <w:rsid w:val="00E81895"/>
    <w:rsid w:val="00E81D65"/>
    <w:rsid w:val="00E81F75"/>
    <w:rsid w:val="00E842BB"/>
    <w:rsid w:val="00E84A74"/>
    <w:rsid w:val="00E905BE"/>
    <w:rsid w:val="00E92C53"/>
    <w:rsid w:val="00E9349E"/>
    <w:rsid w:val="00E93C45"/>
    <w:rsid w:val="00E93F94"/>
    <w:rsid w:val="00E94561"/>
    <w:rsid w:val="00E94A9B"/>
    <w:rsid w:val="00EA1BB6"/>
    <w:rsid w:val="00EA3080"/>
    <w:rsid w:val="00EA444F"/>
    <w:rsid w:val="00EA451D"/>
    <w:rsid w:val="00EA45B0"/>
    <w:rsid w:val="00EA4C37"/>
    <w:rsid w:val="00EA5629"/>
    <w:rsid w:val="00EA618A"/>
    <w:rsid w:val="00EA642E"/>
    <w:rsid w:val="00EA67F5"/>
    <w:rsid w:val="00EA7154"/>
    <w:rsid w:val="00EB1F59"/>
    <w:rsid w:val="00EB47EE"/>
    <w:rsid w:val="00EB4C1E"/>
    <w:rsid w:val="00EB5399"/>
    <w:rsid w:val="00EB6D8C"/>
    <w:rsid w:val="00EB70D5"/>
    <w:rsid w:val="00EB78CF"/>
    <w:rsid w:val="00EB78D8"/>
    <w:rsid w:val="00EC0B89"/>
    <w:rsid w:val="00EC0E4E"/>
    <w:rsid w:val="00EC1502"/>
    <w:rsid w:val="00EC2F36"/>
    <w:rsid w:val="00EC3DA8"/>
    <w:rsid w:val="00EC4007"/>
    <w:rsid w:val="00EC5C02"/>
    <w:rsid w:val="00EC6DE8"/>
    <w:rsid w:val="00EC756F"/>
    <w:rsid w:val="00ED02EC"/>
    <w:rsid w:val="00ED1989"/>
    <w:rsid w:val="00ED21AF"/>
    <w:rsid w:val="00ED2779"/>
    <w:rsid w:val="00ED29BA"/>
    <w:rsid w:val="00ED2DA7"/>
    <w:rsid w:val="00ED4728"/>
    <w:rsid w:val="00ED5652"/>
    <w:rsid w:val="00ED5A8D"/>
    <w:rsid w:val="00ED75B8"/>
    <w:rsid w:val="00ED7686"/>
    <w:rsid w:val="00EE1A75"/>
    <w:rsid w:val="00EE1D89"/>
    <w:rsid w:val="00EE3833"/>
    <w:rsid w:val="00EE51CE"/>
    <w:rsid w:val="00EE7103"/>
    <w:rsid w:val="00EE755C"/>
    <w:rsid w:val="00EE7818"/>
    <w:rsid w:val="00EF01FE"/>
    <w:rsid w:val="00EF090B"/>
    <w:rsid w:val="00EF22A2"/>
    <w:rsid w:val="00EF234B"/>
    <w:rsid w:val="00EF29FA"/>
    <w:rsid w:val="00EF316C"/>
    <w:rsid w:val="00EF3BF2"/>
    <w:rsid w:val="00EF3D16"/>
    <w:rsid w:val="00EF3EEF"/>
    <w:rsid w:val="00EF4425"/>
    <w:rsid w:val="00EF58CB"/>
    <w:rsid w:val="00EF5A6A"/>
    <w:rsid w:val="00EF5F8C"/>
    <w:rsid w:val="00EF7F38"/>
    <w:rsid w:val="00F00738"/>
    <w:rsid w:val="00F00BED"/>
    <w:rsid w:val="00F00E06"/>
    <w:rsid w:val="00F032B4"/>
    <w:rsid w:val="00F0464B"/>
    <w:rsid w:val="00F04E93"/>
    <w:rsid w:val="00F0607A"/>
    <w:rsid w:val="00F0770E"/>
    <w:rsid w:val="00F10AA2"/>
    <w:rsid w:val="00F11947"/>
    <w:rsid w:val="00F11E9B"/>
    <w:rsid w:val="00F12757"/>
    <w:rsid w:val="00F12914"/>
    <w:rsid w:val="00F1363D"/>
    <w:rsid w:val="00F15969"/>
    <w:rsid w:val="00F15F52"/>
    <w:rsid w:val="00F21211"/>
    <w:rsid w:val="00F223F5"/>
    <w:rsid w:val="00F22C70"/>
    <w:rsid w:val="00F23228"/>
    <w:rsid w:val="00F2508B"/>
    <w:rsid w:val="00F260D7"/>
    <w:rsid w:val="00F26B2B"/>
    <w:rsid w:val="00F27322"/>
    <w:rsid w:val="00F277FB"/>
    <w:rsid w:val="00F27C6D"/>
    <w:rsid w:val="00F27E48"/>
    <w:rsid w:val="00F33573"/>
    <w:rsid w:val="00F3452B"/>
    <w:rsid w:val="00F35F7F"/>
    <w:rsid w:val="00F3745A"/>
    <w:rsid w:val="00F375EF"/>
    <w:rsid w:val="00F40143"/>
    <w:rsid w:val="00F41239"/>
    <w:rsid w:val="00F4225C"/>
    <w:rsid w:val="00F4272A"/>
    <w:rsid w:val="00F42B71"/>
    <w:rsid w:val="00F4309E"/>
    <w:rsid w:val="00F43657"/>
    <w:rsid w:val="00F44FC7"/>
    <w:rsid w:val="00F464A6"/>
    <w:rsid w:val="00F46A51"/>
    <w:rsid w:val="00F46AB1"/>
    <w:rsid w:val="00F46D34"/>
    <w:rsid w:val="00F477AF"/>
    <w:rsid w:val="00F52B96"/>
    <w:rsid w:val="00F53A07"/>
    <w:rsid w:val="00F53F95"/>
    <w:rsid w:val="00F56DF6"/>
    <w:rsid w:val="00F57550"/>
    <w:rsid w:val="00F57FA5"/>
    <w:rsid w:val="00F602A0"/>
    <w:rsid w:val="00F611C8"/>
    <w:rsid w:val="00F613B5"/>
    <w:rsid w:val="00F626FB"/>
    <w:rsid w:val="00F62798"/>
    <w:rsid w:val="00F6588A"/>
    <w:rsid w:val="00F66121"/>
    <w:rsid w:val="00F66B4B"/>
    <w:rsid w:val="00F66CCD"/>
    <w:rsid w:val="00F67582"/>
    <w:rsid w:val="00F67B80"/>
    <w:rsid w:val="00F67F0B"/>
    <w:rsid w:val="00F711BF"/>
    <w:rsid w:val="00F71961"/>
    <w:rsid w:val="00F72789"/>
    <w:rsid w:val="00F72ABE"/>
    <w:rsid w:val="00F730BE"/>
    <w:rsid w:val="00F73D42"/>
    <w:rsid w:val="00F74D0B"/>
    <w:rsid w:val="00F771D7"/>
    <w:rsid w:val="00F77324"/>
    <w:rsid w:val="00F81569"/>
    <w:rsid w:val="00F81A3A"/>
    <w:rsid w:val="00F82674"/>
    <w:rsid w:val="00F82F3F"/>
    <w:rsid w:val="00F8314C"/>
    <w:rsid w:val="00F83A13"/>
    <w:rsid w:val="00F83CC5"/>
    <w:rsid w:val="00F902D8"/>
    <w:rsid w:val="00F918B6"/>
    <w:rsid w:val="00F93540"/>
    <w:rsid w:val="00F93C10"/>
    <w:rsid w:val="00F955FA"/>
    <w:rsid w:val="00F969B6"/>
    <w:rsid w:val="00F972BE"/>
    <w:rsid w:val="00F974F3"/>
    <w:rsid w:val="00FA0AD0"/>
    <w:rsid w:val="00FA114D"/>
    <w:rsid w:val="00FA1E2D"/>
    <w:rsid w:val="00FA2289"/>
    <w:rsid w:val="00FA3002"/>
    <w:rsid w:val="00FA4F28"/>
    <w:rsid w:val="00FA5F8B"/>
    <w:rsid w:val="00FA64E1"/>
    <w:rsid w:val="00FA6C40"/>
    <w:rsid w:val="00FA7E03"/>
    <w:rsid w:val="00FA7E4D"/>
    <w:rsid w:val="00FB0296"/>
    <w:rsid w:val="00FB0F85"/>
    <w:rsid w:val="00FB0F97"/>
    <w:rsid w:val="00FB3027"/>
    <w:rsid w:val="00FB3048"/>
    <w:rsid w:val="00FB332E"/>
    <w:rsid w:val="00FB3382"/>
    <w:rsid w:val="00FB4EA3"/>
    <w:rsid w:val="00FB6F46"/>
    <w:rsid w:val="00FC0833"/>
    <w:rsid w:val="00FC0D2C"/>
    <w:rsid w:val="00FC1386"/>
    <w:rsid w:val="00FC18F5"/>
    <w:rsid w:val="00FC221C"/>
    <w:rsid w:val="00FC2EE2"/>
    <w:rsid w:val="00FC3E9F"/>
    <w:rsid w:val="00FC427E"/>
    <w:rsid w:val="00FC49BE"/>
    <w:rsid w:val="00FC7393"/>
    <w:rsid w:val="00FD0900"/>
    <w:rsid w:val="00FD16D0"/>
    <w:rsid w:val="00FD1937"/>
    <w:rsid w:val="00FD5789"/>
    <w:rsid w:val="00FD5AF7"/>
    <w:rsid w:val="00FD6B0C"/>
    <w:rsid w:val="00FE020E"/>
    <w:rsid w:val="00FE12CC"/>
    <w:rsid w:val="00FE1684"/>
    <w:rsid w:val="00FE1852"/>
    <w:rsid w:val="00FE1B5F"/>
    <w:rsid w:val="00FE28D5"/>
    <w:rsid w:val="00FE2C2E"/>
    <w:rsid w:val="00FE324F"/>
    <w:rsid w:val="00FE4724"/>
    <w:rsid w:val="00FE5019"/>
    <w:rsid w:val="00FE65D0"/>
    <w:rsid w:val="00FE6704"/>
    <w:rsid w:val="00FF0F21"/>
    <w:rsid w:val="00FF1E8D"/>
    <w:rsid w:val="00FF2D4D"/>
    <w:rsid w:val="00FF3517"/>
    <w:rsid w:val="00FF4519"/>
    <w:rsid w:val="00FF5C31"/>
    <w:rsid w:val="00FF5D4D"/>
    <w:rsid w:val="00FF6233"/>
    <w:rsid w:val="00FF6C28"/>
    <w:rsid w:val="00FF70FA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footnote reference" w:uiPriority="99"/>
    <w:lsdException w:name="annotation reference" w:uiPriority="99"/>
    <w:lsdException w:name="line number" w:uiPriority="99"/>
    <w:lsdException w:name="List Bullet" w:uiPriority="99"/>
    <w:lsdException w:name="Title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Document Map" w:uiPriority="99"/>
    <w:lsdException w:name="Normal (Web)" w:uiPriority="99"/>
    <w:lsdException w:name="No List" w:uiPriority="99"/>
    <w:lsdException w:name="Table List 3" w:uiPriority="99"/>
    <w:lsdException w:name="Table List 5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63C28"/>
    <w:rPr>
      <w:rFonts w:ascii="Arial" w:eastAsia="ヒラギノ角ゴ Pro W3" w:hAnsi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locked/>
    <w:rsid w:val="00291A08"/>
    <w:pPr>
      <w:keepNext/>
      <w:spacing w:before="240" w:after="60"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291A08"/>
    <w:pPr>
      <w:keepNext/>
      <w:spacing w:after="60"/>
      <w:outlineLvl w:val="1"/>
    </w:pPr>
    <w:rPr>
      <w:rFonts w:ascii="Times New Roman" w:eastAsia="Times New Roman" w:hAnsi="Times New Roman" w:cs="Arial"/>
      <w:b/>
      <w:bCs/>
      <w:iCs/>
      <w:color w:val="auto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91A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291A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D067CF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D067CF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D067CF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uiPriority w:val="99"/>
    <w:rsid w:val="00D067CF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uiPriority w:val="99"/>
    <w:rsid w:val="00D067CF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paragraph" w:customStyle="1" w:styleId="textbullets2">
    <w:name w:val="text bullets 2"/>
    <w:uiPriority w:val="99"/>
    <w:rsid w:val="00D067CF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uiPriority w:val="99"/>
    <w:rsid w:val="00D067CF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uiPriority w:val="99"/>
    <w:rsid w:val="00D067CF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D067CF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uiPriority w:val="99"/>
    <w:rsid w:val="00D067CF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uiPriority w:val="99"/>
    <w:rsid w:val="00D067CF"/>
    <w:rPr>
      <w:rFonts w:eastAsia="ヒラギノ角ゴ Pro W3"/>
      <w:color w:val="000000"/>
      <w:sz w:val="24"/>
    </w:rPr>
  </w:style>
  <w:style w:type="paragraph" w:customStyle="1" w:styleId="HeadingA">
    <w:name w:val="Heading A"/>
    <w:uiPriority w:val="99"/>
    <w:rsid w:val="00D067CF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D067CF"/>
  </w:style>
  <w:style w:type="paragraph" w:customStyle="1" w:styleId="FreeForm">
    <w:name w:val="Free Form"/>
    <w:rsid w:val="00D067CF"/>
    <w:rPr>
      <w:rFonts w:eastAsia="ヒラギノ角ゴ Pro W3"/>
      <w:color w:val="000000"/>
    </w:rPr>
  </w:style>
  <w:style w:type="paragraph" w:customStyle="1" w:styleId="TableGrid1">
    <w:name w:val="Table Grid1"/>
    <w:rsid w:val="00D067CF"/>
    <w:rPr>
      <w:rFonts w:eastAsia="ヒラギノ角ゴ Pro W3"/>
      <w:color w:val="000000"/>
    </w:rPr>
  </w:style>
  <w:style w:type="paragraph" w:customStyle="1" w:styleId="Task">
    <w:name w:val="Task"/>
    <w:rsid w:val="00D067CF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D067CF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D067CF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locked/>
    <w:rsid w:val="00172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729F3"/>
    <w:rPr>
      <w:rFonts w:ascii="Tahoma" w:eastAsia="ヒラギノ角ゴ Pro W3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locked/>
    <w:rsid w:val="00A82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A825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2543"/>
    <w:rPr>
      <w:rFonts w:ascii="Arial" w:eastAsia="ヒラギノ角ゴ Pro W3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A82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82543"/>
    <w:rPr>
      <w:rFonts w:ascii="Arial" w:eastAsia="ヒラギノ角ゴ Pro W3" w:hAnsi="Arial"/>
      <w:b/>
      <w:bCs/>
      <w:color w:val="000000"/>
    </w:rPr>
  </w:style>
  <w:style w:type="paragraph" w:styleId="Header">
    <w:name w:val="header"/>
    <w:basedOn w:val="Normal"/>
    <w:link w:val="HeaderChar"/>
    <w:uiPriority w:val="99"/>
    <w:locked/>
    <w:rsid w:val="00E62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302"/>
    <w:rPr>
      <w:rFonts w:ascii="Arial" w:eastAsia="ヒラギノ角ゴ Pro W3" w:hAnsi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E62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302"/>
    <w:rPr>
      <w:rFonts w:ascii="Arial" w:eastAsia="ヒラギノ角ゴ Pro W3" w:hAnsi="Arial"/>
      <w:color w:val="000000"/>
      <w:sz w:val="24"/>
      <w:szCs w:val="24"/>
    </w:rPr>
  </w:style>
  <w:style w:type="paragraph" w:customStyle="1" w:styleId="Style2">
    <w:name w:val="Style2"/>
    <w:basedOn w:val="Normal"/>
    <w:autoRedefine/>
    <w:rsid w:val="00F46A51"/>
    <w:pPr>
      <w:outlineLvl w:val="0"/>
    </w:pPr>
    <w:rPr>
      <w:rFonts w:eastAsia="Times New Roman" w:cs="Arial"/>
      <w:color w:val="auto"/>
      <w:lang w:val="en-CA" w:eastAsia="en-CA"/>
    </w:rPr>
  </w:style>
  <w:style w:type="paragraph" w:customStyle="1" w:styleId="ParagraphIndent">
    <w:name w:val="ParagraphIndent"/>
    <w:qFormat/>
    <w:rsid w:val="005245FC"/>
    <w:pPr>
      <w:ind w:firstLine="36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locked/>
    <w:rsid w:val="00BD13A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86ACE"/>
    <w:rPr>
      <w:rFonts w:ascii="Arial" w:eastAsia="ヒラギノ角ゴ Pro W3" w:hAnsi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395EC8"/>
    <w:pPr>
      <w:spacing w:before="100" w:beforeAutospacing="1" w:after="100" w:afterAutospacing="1"/>
    </w:pPr>
    <w:rPr>
      <w:rFonts w:ascii="Times New Roman" w:eastAsiaTheme="minorEastAsia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395EC8"/>
    <w:pPr>
      <w:ind w:left="720"/>
      <w:contextualSpacing/>
    </w:pPr>
    <w:rPr>
      <w:rFonts w:ascii="Times New Roman" w:eastAsiaTheme="minorEastAsia" w:hAnsi="Times New Roman"/>
      <w:color w:val="auto"/>
    </w:rPr>
  </w:style>
  <w:style w:type="paragraph" w:customStyle="1" w:styleId="clear">
    <w:name w:val="clear"/>
    <w:basedOn w:val="Normal"/>
    <w:rsid w:val="001915A0"/>
    <w:pPr>
      <w:shd w:val="clear" w:color="auto" w:fill="FFFFFF"/>
      <w:spacing w:beforeAutospacing="1" w:line="480" w:lineRule="auto"/>
      <w:jc w:val="both"/>
    </w:pPr>
    <w:rPr>
      <w:rFonts w:ascii="Times New Roman" w:eastAsia="MS Mincho" w:hAnsi="Times New Roman"/>
      <w:b/>
      <w:shd w:val="clear" w:color="auto" w:fill="FFFFFF"/>
      <w:lang w:eastAsia="ja-JP"/>
    </w:rPr>
  </w:style>
  <w:style w:type="paragraph" w:customStyle="1" w:styleId="Level7Heading">
    <w:name w:val="Level7Heading"/>
    <w:qFormat/>
    <w:rsid w:val="001915A0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6Heading">
    <w:name w:val="Level6Heading"/>
    <w:qFormat/>
    <w:rsid w:val="001915A0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041A8"/>
    <w:pPr>
      <w:suppressLineNumbers/>
    </w:pPr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A313E2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313E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locked/>
    <w:rsid w:val="0005385A"/>
    <w:pPr>
      <w:tabs>
        <w:tab w:val="right" w:leader="dot" w:pos="9350"/>
      </w:tabs>
    </w:pPr>
    <w:rPr>
      <w:rFonts w:ascii="Times New Roman" w:eastAsia="Times New Roman" w:hAnsi="Times New Roman"/>
      <w:b/>
      <w:noProof/>
      <w:color w:val="auto"/>
      <w:lang w:val="en-CA"/>
    </w:rPr>
  </w:style>
  <w:style w:type="paragraph" w:styleId="TOC2">
    <w:name w:val="toc 2"/>
    <w:basedOn w:val="Normal"/>
    <w:next w:val="Normal"/>
    <w:autoRedefine/>
    <w:uiPriority w:val="39"/>
    <w:locked/>
    <w:rsid w:val="005214BA"/>
    <w:pPr>
      <w:tabs>
        <w:tab w:val="right" w:leader="dot" w:pos="9350"/>
      </w:tabs>
      <w:ind w:left="240"/>
    </w:pPr>
    <w:rPr>
      <w:rFonts w:ascii="Times New Roman" w:eastAsia="Times New Roman" w:hAnsi="Times New Roman"/>
      <w:bCs/>
      <w:noProof/>
      <w:color w:val="auto"/>
    </w:rPr>
  </w:style>
  <w:style w:type="paragraph" w:customStyle="1" w:styleId="ChapterHeading">
    <w:name w:val="ChapterHeading"/>
    <w:qFormat/>
    <w:rsid w:val="00A313E2"/>
    <w:pPr>
      <w:keepNext/>
      <w:spacing w:before="240"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A313E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A313E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E73597"/>
    <w:pPr>
      <w:keepLines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A313E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3Heading">
    <w:name w:val="Level3Heading"/>
    <w:qFormat/>
    <w:rsid w:val="00A313E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Contents">
    <w:name w:val="Contents"/>
    <w:qFormat/>
    <w:rsid w:val="00A313E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313E2"/>
    <w:pPr>
      <w:keepNext/>
      <w:spacing w:before="240"/>
    </w:pPr>
    <w:rPr>
      <w:b/>
      <w:bCs/>
      <w:sz w:val="24"/>
      <w:szCs w:val="28"/>
    </w:rPr>
  </w:style>
  <w:style w:type="paragraph" w:customStyle="1" w:styleId="Bullet1">
    <w:name w:val="Bullet1"/>
    <w:qFormat/>
    <w:rsid w:val="00A313E2"/>
    <w:pPr>
      <w:numPr>
        <w:numId w:val="16"/>
      </w:numPr>
    </w:pPr>
    <w:rPr>
      <w:bCs/>
      <w:sz w:val="24"/>
      <w:szCs w:val="24"/>
    </w:rPr>
  </w:style>
  <w:style w:type="paragraph" w:customStyle="1" w:styleId="Bullet2">
    <w:name w:val="Bullet2"/>
    <w:qFormat/>
    <w:rsid w:val="00AC6422"/>
    <w:pPr>
      <w:numPr>
        <w:ilvl w:val="1"/>
        <w:numId w:val="16"/>
      </w:numPr>
      <w:ind w:left="1080"/>
    </w:pPr>
    <w:rPr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5214BA"/>
    <w:pPr>
      <w:tabs>
        <w:tab w:val="right" w:leader="dot" w:pos="9350"/>
      </w:tabs>
      <w:spacing w:after="100"/>
      <w:ind w:firstLine="240"/>
    </w:pPr>
    <w:rPr>
      <w:rFonts w:ascii="Times" w:eastAsia="MS Mincho" w:hAnsi="Times"/>
      <w:noProof/>
      <w:color w:val="auto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A313E2"/>
    <w:rPr>
      <w:rFonts w:ascii="Times" w:eastAsia="Times New Roman" w:hAnsi="Times" w:cs="Times"/>
      <w:color w:val="auto"/>
    </w:rPr>
  </w:style>
  <w:style w:type="character" w:customStyle="1" w:styleId="ParagraphNoIndentChar">
    <w:name w:val="ParagraphNoIndent Char"/>
    <w:link w:val="ParagraphNoIndent"/>
    <w:locked/>
    <w:rsid w:val="00C041A8"/>
    <w:rPr>
      <w:bCs/>
      <w:sz w:val="24"/>
      <w:szCs w:val="24"/>
    </w:rPr>
  </w:style>
  <w:style w:type="paragraph" w:customStyle="1" w:styleId="PageNumber">
    <w:name w:val="PageNumber"/>
    <w:qFormat/>
    <w:rsid w:val="00A313E2"/>
    <w:pPr>
      <w:jc w:val="center"/>
    </w:pPr>
    <w:rPr>
      <w:rFonts w:eastAsia="Calibri"/>
      <w:sz w:val="24"/>
      <w:szCs w:val="24"/>
    </w:rPr>
  </w:style>
  <w:style w:type="paragraph" w:customStyle="1" w:styleId="PreparedForText">
    <w:name w:val="PreparedForText"/>
    <w:qFormat/>
    <w:rsid w:val="00A313E2"/>
    <w:rPr>
      <w:bCs/>
      <w:sz w:val="24"/>
      <w:szCs w:val="24"/>
    </w:rPr>
  </w:style>
  <w:style w:type="paragraph" w:customStyle="1" w:styleId="ParagraphNoIndentBold">
    <w:name w:val="ParagraphNoIndentBold"/>
    <w:qFormat/>
    <w:rsid w:val="00A313E2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313E2"/>
    <w:rPr>
      <w:b/>
      <w:bCs/>
      <w:sz w:val="24"/>
      <w:szCs w:val="24"/>
    </w:rPr>
  </w:style>
  <w:style w:type="paragraph" w:customStyle="1" w:styleId="Investigators">
    <w:name w:val="Investigators"/>
    <w:qFormat/>
    <w:rsid w:val="00A313E2"/>
    <w:rPr>
      <w:bCs/>
      <w:sz w:val="24"/>
      <w:szCs w:val="24"/>
    </w:rPr>
  </w:style>
  <w:style w:type="paragraph" w:customStyle="1" w:styleId="PublicationNumberDate">
    <w:name w:val="PublicationNumberDate"/>
    <w:qFormat/>
    <w:rsid w:val="00A313E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313E2"/>
    <w:rPr>
      <w:bCs/>
      <w:sz w:val="24"/>
      <w:szCs w:val="24"/>
    </w:rPr>
  </w:style>
  <w:style w:type="paragraph" w:customStyle="1" w:styleId="TitlePageReportNumber">
    <w:name w:val="Title Page Report Number"/>
    <w:basedOn w:val="Normal"/>
    <w:rsid w:val="00A313E2"/>
    <w:rPr>
      <w:rFonts w:eastAsia="Times"/>
      <w:b/>
      <w:color w:val="auto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1A08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91A08"/>
    <w:rPr>
      <w:rFonts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1A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1A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ReportType">
    <w:name w:val="ReportType"/>
    <w:qFormat/>
    <w:rsid w:val="00291A08"/>
    <w:rPr>
      <w:b/>
      <w:bCs/>
      <w:i/>
      <w:sz w:val="36"/>
      <w:szCs w:val="36"/>
    </w:rPr>
  </w:style>
  <w:style w:type="paragraph" w:customStyle="1" w:styleId="NumberLine">
    <w:name w:val="NumberLine"/>
    <w:qFormat/>
    <w:rsid w:val="00291A08"/>
    <w:rPr>
      <w:rFonts w:ascii="Arial" w:hAnsi="Arial"/>
      <w:b/>
      <w:bCs/>
      <w:sz w:val="28"/>
      <w:szCs w:val="28"/>
    </w:rPr>
  </w:style>
  <w:style w:type="table" w:customStyle="1" w:styleId="AHRQ1">
    <w:name w:val="AHRQ1"/>
    <w:basedOn w:val="TableGrid"/>
    <w:rsid w:val="00291A08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locked/>
    <w:rsid w:val="00291A0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e">
    <w:name w:val="TableNote"/>
    <w:qFormat/>
    <w:rsid w:val="00C041A8"/>
    <w:pPr>
      <w:suppressLineNumbers/>
      <w:spacing w:after="240"/>
    </w:pPr>
    <w:rPr>
      <w:bCs/>
      <w:sz w:val="18"/>
      <w:szCs w:val="24"/>
    </w:rPr>
  </w:style>
  <w:style w:type="paragraph" w:customStyle="1" w:styleId="Reference">
    <w:name w:val="Reference"/>
    <w:qFormat/>
    <w:rsid w:val="00291A0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291A08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PreparedByText">
    <w:name w:val="PreparedByText"/>
    <w:qFormat/>
    <w:rsid w:val="00291A08"/>
    <w:rPr>
      <w:bCs/>
      <w:sz w:val="24"/>
      <w:szCs w:val="24"/>
    </w:rPr>
  </w:style>
  <w:style w:type="paragraph" w:customStyle="1" w:styleId="Level4Heading">
    <w:name w:val="Level4Heading"/>
    <w:qFormat/>
    <w:rsid w:val="00291A08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291A0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91A0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1A08"/>
    <w:rPr>
      <w:rFonts w:ascii="Arial" w:eastAsia="Calibri" w:hAnsi="Arial" w:cs="Arial"/>
      <w:sz w:val="18"/>
      <w:szCs w:val="18"/>
    </w:rPr>
  </w:style>
  <w:style w:type="paragraph" w:customStyle="1" w:styleId="Level8Heading">
    <w:name w:val="Level8Heading"/>
    <w:qFormat/>
    <w:rsid w:val="00291A08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291A0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91A08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91A08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91A08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291A08"/>
    <w:pPr>
      <w:keepLines/>
      <w:numPr>
        <w:numId w:val="17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91A08"/>
    <w:pPr>
      <w:numPr>
        <w:numId w:val="18"/>
      </w:numPr>
      <w:ind w:left="720"/>
    </w:pPr>
  </w:style>
  <w:style w:type="paragraph" w:customStyle="1" w:styleId="ReportSubtitle">
    <w:name w:val="ReportSubtitle"/>
    <w:qFormat/>
    <w:rsid w:val="00291A08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291A08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291A08"/>
    <w:pPr>
      <w:spacing w:after="120"/>
    </w:pPr>
    <w:rPr>
      <w:rFonts w:ascii="Times New Roman" w:eastAsia="Times New Roman" w:hAnsi="Times New Roman"/>
      <w:color w:val="auto"/>
    </w:rPr>
  </w:style>
  <w:style w:type="character" w:customStyle="1" w:styleId="BodyTextChar">
    <w:name w:val="BodyText Char"/>
    <w:basedOn w:val="DefaultParagraphFont"/>
    <w:link w:val="BodyText"/>
    <w:rsid w:val="00291A08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291A08"/>
    <w:pPr>
      <w:numPr>
        <w:numId w:val="19"/>
      </w:numPr>
      <w:contextualSpacing/>
    </w:pPr>
    <w:rPr>
      <w:rFonts w:ascii="Times" w:eastAsia="Calibri" w:hAnsi="Times"/>
      <w:color w:val="auto"/>
    </w:rPr>
  </w:style>
  <w:style w:type="paragraph" w:styleId="Caption">
    <w:name w:val="caption"/>
    <w:basedOn w:val="Normal"/>
    <w:next w:val="Normal"/>
    <w:unhideWhenUsed/>
    <w:qFormat/>
    <w:locked/>
    <w:rsid w:val="00291A08"/>
    <w:pPr>
      <w:keepNext/>
      <w:spacing w:after="200"/>
    </w:pPr>
    <w:rPr>
      <w:rFonts w:ascii="Times" w:eastAsia="Calibri" w:hAnsi="Times"/>
      <w:b/>
      <w:bCs/>
      <w:color w:val="auto"/>
      <w:sz w:val="18"/>
      <w:szCs w:val="18"/>
    </w:rPr>
  </w:style>
  <w:style w:type="paragraph" w:customStyle="1" w:styleId="instructionsbullets">
    <w:name w:val="instructions bullets"/>
    <w:basedOn w:val="Normal"/>
    <w:uiPriority w:val="99"/>
    <w:rsid w:val="00291A08"/>
    <w:pPr>
      <w:numPr>
        <w:numId w:val="20"/>
      </w:numPr>
      <w:shd w:val="clear" w:color="auto" w:fill="FFFFFF"/>
      <w:spacing w:before="120" w:after="120"/>
      <w:ind w:left="770"/>
      <w:contextualSpacing/>
    </w:pPr>
    <w:rPr>
      <w:rFonts w:eastAsia="Times New Roman" w:cs="Arial"/>
      <w:color w:val="auto"/>
      <w:sz w:val="20"/>
      <w:szCs w:val="22"/>
    </w:rPr>
  </w:style>
  <w:style w:type="table" w:styleId="TableList3">
    <w:name w:val="Table List 3"/>
    <w:basedOn w:val="TableNormal"/>
    <w:uiPriority w:val="99"/>
    <w:unhideWhenUsed/>
    <w:locked/>
    <w:rsid w:val="00291A08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entedbullets">
    <w:name w:val="indented bullets"/>
    <w:basedOn w:val="Normal"/>
    <w:uiPriority w:val="99"/>
    <w:rsid w:val="00291A08"/>
    <w:pPr>
      <w:shd w:val="clear" w:color="auto" w:fill="FFFFFF"/>
      <w:spacing w:line="360" w:lineRule="atLeast"/>
    </w:pPr>
    <w:rPr>
      <w:rFonts w:eastAsia="Times New Roman" w:cs="Arial"/>
      <w:color w:val="auto"/>
      <w:sz w:val="19"/>
      <w:szCs w:val="19"/>
    </w:rPr>
  </w:style>
  <w:style w:type="paragraph" w:customStyle="1" w:styleId="Lefttextheader">
    <w:name w:val="Left text header"/>
    <w:basedOn w:val="Normal"/>
    <w:uiPriority w:val="99"/>
    <w:rsid w:val="00291A08"/>
    <w:pPr>
      <w:shd w:val="clear" w:color="auto" w:fill="FFFFFF"/>
      <w:spacing w:line="360" w:lineRule="atLeast"/>
    </w:pPr>
    <w:rPr>
      <w:rFonts w:eastAsia="Times New Roman"/>
      <w:color w:val="auto"/>
      <w:sz w:val="19"/>
      <w:szCs w:val="20"/>
    </w:rPr>
  </w:style>
  <w:style w:type="paragraph" w:customStyle="1" w:styleId="Text0">
    <w:name w:val="Text"/>
    <w:basedOn w:val="Normal"/>
    <w:link w:val="TextChar"/>
    <w:uiPriority w:val="99"/>
    <w:rsid w:val="00291A08"/>
    <w:pPr>
      <w:shd w:val="clear" w:color="auto" w:fill="FFFFFF"/>
      <w:spacing w:before="60"/>
      <w:ind w:firstLine="360"/>
    </w:pPr>
    <w:rPr>
      <w:rFonts w:ascii="Times New Roman" w:eastAsia="Times New Roman" w:hAnsi="Times New Roman"/>
      <w:color w:val="auto"/>
    </w:rPr>
  </w:style>
  <w:style w:type="character" w:customStyle="1" w:styleId="TextChar">
    <w:name w:val="Text Char"/>
    <w:basedOn w:val="DefaultParagraphFont"/>
    <w:link w:val="Text0"/>
    <w:uiPriority w:val="99"/>
    <w:locked/>
    <w:rsid w:val="00291A08"/>
    <w:rPr>
      <w:sz w:val="24"/>
      <w:szCs w:val="24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locked/>
    <w:rsid w:val="00291A08"/>
    <w:pPr>
      <w:spacing w:after="120"/>
      <w:ind w:left="360"/>
    </w:pPr>
    <w:rPr>
      <w:rFonts w:ascii="Times" w:eastAsia="Times New Roman" w:hAnsi="Times"/>
      <w:color w:val="auto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91A08"/>
    <w:rPr>
      <w:rFonts w:ascii="Times" w:hAnsi="Times"/>
      <w:sz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1A08"/>
    <w:rPr>
      <w:color w:val="800080"/>
      <w:u w:val="single"/>
    </w:rPr>
  </w:style>
  <w:style w:type="character" w:customStyle="1" w:styleId="shadedheaderChar">
    <w:name w:val="shaded header Char"/>
    <w:basedOn w:val="DefaultParagraphFont"/>
    <w:link w:val="shadedheader"/>
    <w:rsid w:val="00291A08"/>
    <w:rPr>
      <w:rFonts w:ascii="Arial Bold" w:eastAsia="ヒラギノ角ゴ Pro W3" w:hAnsi="Arial Bold"/>
      <w:color w:val="000000"/>
      <w:shd w:val="clear" w:color="auto" w:fill="FFE8B4"/>
    </w:rPr>
  </w:style>
  <w:style w:type="table" w:customStyle="1" w:styleId="LightList1">
    <w:name w:val="Light List1"/>
    <w:basedOn w:val="TableNormal"/>
    <w:uiPriority w:val="61"/>
    <w:rsid w:val="00291A0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tyle1">
    <w:name w:val="Style1"/>
    <w:basedOn w:val="TableList5"/>
    <w:uiPriority w:val="99"/>
    <w:qFormat/>
    <w:rsid w:val="00291A0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uiPriority w:val="99"/>
    <w:unhideWhenUsed/>
    <w:locked/>
    <w:rsid w:val="00291A0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itsyn1">
    <w:name w:val="hit_syn1"/>
    <w:basedOn w:val="DefaultParagraphFont"/>
    <w:rsid w:val="00291A08"/>
    <w:rPr>
      <w:b/>
      <w:bCs/>
      <w:shd w:val="clear" w:color="auto" w:fill="FFFFDD"/>
    </w:rPr>
  </w:style>
  <w:style w:type="character" w:customStyle="1" w:styleId="hitorg1">
    <w:name w:val="hit_org1"/>
    <w:basedOn w:val="DefaultParagraphFont"/>
    <w:rsid w:val="00291A08"/>
    <w:rPr>
      <w:b/>
      <w:bCs/>
      <w:shd w:val="clear" w:color="auto" w:fill="FFEEDD"/>
    </w:rPr>
  </w:style>
  <w:style w:type="paragraph" w:styleId="DocumentMap">
    <w:name w:val="Document Map"/>
    <w:basedOn w:val="Normal"/>
    <w:link w:val="DocumentMapChar"/>
    <w:uiPriority w:val="99"/>
    <w:unhideWhenUsed/>
    <w:locked/>
    <w:rsid w:val="00291A08"/>
    <w:rPr>
      <w:rFonts w:ascii="Tahoma" w:eastAsia="Times New Roman" w:hAnsi="Tahoma" w:cs="Tahoma"/>
      <w:color w:val="auto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91A08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291A0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HRQnormal">
    <w:name w:val="AHRQ normal"/>
    <w:basedOn w:val="Normal"/>
    <w:qFormat/>
    <w:rsid w:val="00291A08"/>
    <w:pPr>
      <w:spacing w:before="60" w:after="60"/>
      <w:ind w:firstLine="432"/>
    </w:pPr>
    <w:rPr>
      <w:rFonts w:ascii="Times New Roman" w:eastAsia="Cambria" w:hAnsi="Times New Roman"/>
      <w:color w:val="auto"/>
    </w:rPr>
  </w:style>
  <w:style w:type="paragraph" w:customStyle="1" w:styleId="HeadLevel2">
    <w:name w:val="Head Level 2"/>
    <w:basedOn w:val="Normal"/>
    <w:uiPriority w:val="99"/>
    <w:rsid w:val="00291A08"/>
    <w:pPr>
      <w:keepNext/>
      <w:spacing w:before="240" w:after="120"/>
    </w:pPr>
    <w:rPr>
      <w:rFonts w:eastAsia="Times New Roman"/>
      <w:b/>
      <w:bCs/>
      <w:color w:val="auto"/>
      <w:sz w:val="32"/>
      <w:lang w:val="en-CA"/>
    </w:rPr>
  </w:style>
  <w:style w:type="paragraph" w:customStyle="1" w:styleId="NumberLineCover">
    <w:name w:val="NumberLineCover"/>
    <w:uiPriority w:val="99"/>
    <w:qFormat/>
    <w:rsid w:val="00291A08"/>
    <w:rPr>
      <w:bCs/>
      <w:sz w:val="28"/>
      <w:szCs w:val="28"/>
    </w:rPr>
  </w:style>
  <w:style w:type="paragraph" w:customStyle="1" w:styleId="ReportTypeCover">
    <w:name w:val="ReportTypeCover"/>
    <w:uiPriority w:val="99"/>
    <w:qFormat/>
    <w:rsid w:val="00291A08"/>
    <w:pPr>
      <w:pBdr>
        <w:bottom w:val="single" w:sz="12" w:space="1" w:color="auto"/>
      </w:pBdr>
    </w:pPr>
    <w:rPr>
      <w:bCs/>
      <w:i/>
      <w:sz w:val="36"/>
      <w:szCs w:val="36"/>
    </w:rPr>
  </w:style>
  <w:style w:type="character" w:styleId="Strong">
    <w:name w:val="Strong"/>
    <w:basedOn w:val="DefaultParagraphFont"/>
    <w:uiPriority w:val="99"/>
    <w:qFormat/>
    <w:locked/>
    <w:rsid w:val="00291A08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291A08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291A08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numbering" w:customStyle="1" w:styleId="NoList1">
    <w:name w:val="No List1"/>
    <w:next w:val="NoList"/>
    <w:uiPriority w:val="99"/>
    <w:semiHidden/>
    <w:unhideWhenUsed/>
    <w:rsid w:val="00291A08"/>
  </w:style>
  <w:style w:type="table" w:customStyle="1" w:styleId="AHRQ11">
    <w:name w:val="AHRQ11"/>
    <w:basedOn w:val="TableGrid"/>
    <w:uiPriority w:val="99"/>
    <w:rsid w:val="00291A08"/>
    <w:pPr>
      <w:ind w:left="187" w:hanging="187"/>
    </w:pPr>
    <w:rPr>
      <w:rFonts w:ascii="Arial" w:eastAsia="Times New Roman" w:hAnsi="Arial"/>
      <w:sz w:val="18"/>
      <w:szCs w:val="24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291A08"/>
    <w:rPr>
      <w:rFonts w:eastAsia="Calibr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91A08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291A08"/>
  </w:style>
  <w:style w:type="paragraph" w:styleId="FootnoteText">
    <w:name w:val="footnote text"/>
    <w:basedOn w:val="Normal"/>
    <w:link w:val="FootnoteTextChar"/>
    <w:uiPriority w:val="99"/>
    <w:unhideWhenUsed/>
    <w:locked/>
    <w:rsid w:val="00291A08"/>
    <w:rPr>
      <w:rFonts w:ascii="Times" w:eastAsia="Times New Roman" w:hAnsi="Times"/>
      <w:color w:val="auto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1A08"/>
    <w:rPr>
      <w:rFonts w:ascii="Times" w:hAnsi="Times"/>
      <w:szCs w:val="24"/>
    </w:rPr>
  </w:style>
  <w:style w:type="character" w:styleId="FootnoteReference">
    <w:name w:val="footnote reference"/>
    <w:basedOn w:val="DefaultParagraphFont"/>
    <w:uiPriority w:val="99"/>
    <w:unhideWhenUsed/>
    <w:locked/>
    <w:rsid w:val="00291A08"/>
    <w:rPr>
      <w:vertAlign w:val="superscript"/>
    </w:rPr>
  </w:style>
  <w:style w:type="character" w:styleId="LineNumber">
    <w:name w:val="line number"/>
    <w:basedOn w:val="DefaultParagraphFont"/>
    <w:uiPriority w:val="99"/>
    <w:unhideWhenUsed/>
    <w:locked/>
    <w:rsid w:val="00291A08"/>
  </w:style>
  <w:style w:type="character" w:customStyle="1" w:styleId="Style1Char">
    <w:name w:val="Style1 Char"/>
    <w:basedOn w:val="Heading3Char"/>
    <w:rsid w:val="00291A08"/>
    <w:rPr>
      <w:rFonts w:ascii="Times New Roman" w:eastAsia="Times New Roman" w:hAnsi="Times New Roman" w:cstheme="majorBidi"/>
      <w:b/>
      <w:bCs/>
      <w:color w:val="4F81BD" w:themeColor="accent1"/>
      <w:sz w:val="24"/>
      <w:szCs w:val="20"/>
      <w:u w:val="single"/>
    </w:rPr>
  </w:style>
  <w:style w:type="table" w:customStyle="1" w:styleId="AHRQ12">
    <w:name w:val="AHRQ12"/>
    <w:basedOn w:val="TableGrid"/>
    <w:rsid w:val="00291A08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styleId="Emphasis">
    <w:name w:val="Emphasis"/>
    <w:basedOn w:val="DefaultParagraphFont"/>
    <w:uiPriority w:val="20"/>
    <w:qFormat/>
    <w:locked/>
    <w:rsid w:val="00291A08"/>
    <w:rPr>
      <w:i/>
      <w:iCs/>
    </w:rPr>
  </w:style>
  <w:style w:type="character" w:customStyle="1" w:styleId="apple-converted-space">
    <w:name w:val="apple-converted-space"/>
    <w:basedOn w:val="DefaultParagraphFont"/>
    <w:rsid w:val="00291A08"/>
  </w:style>
  <w:style w:type="paragraph" w:styleId="TOC4">
    <w:name w:val="toc 4"/>
    <w:basedOn w:val="Normal"/>
    <w:next w:val="Normal"/>
    <w:autoRedefine/>
    <w:uiPriority w:val="39"/>
    <w:unhideWhenUsed/>
    <w:locked/>
    <w:rsid w:val="00291A08"/>
    <w:pPr>
      <w:spacing w:after="100" w:line="276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291A08"/>
    <w:pPr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291A08"/>
    <w:pPr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291A08"/>
    <w:pPr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291A08"/>
    <w:pPr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291A08"/>
    <w:pPr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BodyText0">
    <w:name w:val="Body Text"/>
    <w:basedOn w:val="Normal"/>
    <w:link w:val="BodyTextChar0"/>
    <w:uiPriority w:val="99"/>
    <w:unhideWhenUsed/>
    <w:locked/>
    <w:rsid w:val="00291A08"/>
    <w:pPr>
      <w:spacing w:after="120"/>
    </w:pPr>
    <w:rPr>
      <w:rFonts w:ascii="Times" w:eastAsia="Times New Roman" w:hAnsi="Times"/>
      <w:color w:val="auto"/>
      <w:szCs w:val="20"/>
    </w:rPr>
  </w:style>
  <w:style w:type="character" w:customStyle="1" w:styleId="BodyTextChar0">
    <w:name w:val="Body Text Char"/>
    <w:basedOn w:val="DefaultParagraphFont"/>
    <w:link w:val="BodyText0"/>
    <w:uiPriority w:val="99"/>
    <w:rsid w:val="00291A08"/>
    <w:rPr>
      <w:rFonts w:ascii="Times" w:hAnsi="Times"/>
      <w:sz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locked/>
    <w:rsid w:val="00291A08"/>
    <w:pPr>
      <w:spacing w:after="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291A08"/>
    <w:rPr>
      <w:rFonts w:ascii="Times" w:hAnsi="Times"/>
      <w:sz w:val="24"/>
    </w:rPr>
  </w:style>
  <w:style w:type="table" w:styleId="LightGrid">
    <w:name w:val="Light Grid"/>
    <w:basedOn w:val="TableNormal"/>
    <w:uiPriority w:val="62"/>
    <w:rsid w:val="0073548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Contemporary">
    <w:name w:val="Table Contemporary"/>
    <w:basedOn w:val="TableNormal"/>
    <w:locked/>
    <w:rsid w:val="006A4AF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Shading">
    <w:name w:val="Light Shading"/>
    <w:basedOn w:val="TableNormal"/>
    <w:uiPriority w:val="60"/>
    <w:rsid w:val="006A4AF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List1">
    <w:name w:val="Table List 1"/>
    <w:basedOn w:val="TableNormal"/>
    <w:locked/>
    <w:rsid w:val="006A4AF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2">
    <w:name w:val="Light Grid Accent 2"/>
    <w:basedOn w:val="TableNormal"/>
    <w:uiPriority w:val="62"/>
    <w:rsid w:val="006A4AF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ableTheme">
    <w:name w:val="Table Theme"/>
    <w:basedOn w:val="TableNormal"/>
    <w:locked/>
    <w:rsid w:val="001F2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C178E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">
    <w:name w:val="Light List"/>
    <w:basedOn w:val="TableNormal"/>
    <w:uiPriority w:val="61"/>
    <w:rsid w:val="00D352D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5">
    <w:name w:val="Table Grid 5"/>
    <w:basedOn w:val="TableNormal"/>
    <w:locked/>
    <w:rsid w:val="00D352D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locked/>
    <w:rsid w:val="00D352D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5">
    <w:name w:val="Light Grid Accent 5"/>
    <w:basedOn w:val="TableNormal"/>
    <w:uiPriority w:val="62"/>
    <w:rsid w:val="00D352D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8C14F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D352D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leGrid8">
    <w:name w:val="Table Grid 8"/>
    <w:basedOn w:val="TableNormal"/>
    <w:locked/>
    <w:rsid w:val="00F477A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Shading-Accent5">
    <w:name w:val="Colorful Shading Accent 5"/>
    <w:basedOn w:val="TableNormal"/>
    <w:uiPriority w:val="71"/>
    <w:rsid w:val="00F477A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4">
    <w:name w:val="Light List Accent 4"/>
    <w:basedOn w:val="TableNormal"/>
    <w:uiPriority w:val="61"/>
    <w:rsid w:val="00755A5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TableGrid10">
    <w:name w:val="Table Grid 1"/>
    <w:basedOn w:val="TableNormal"/>
    <w:locked/>
    <w:rsid w:val="00CF372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5">
    <w:name w:val="Light Shading Accent 5"/>
    <w:basedOn w:val="TableNormal"/>
    <w:uiPriority w:val="60"/>
    <w:rsid w:val="00F969B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footnote reference" w:uiPriority="99"/>
    <w:lsdException w:name="annotation reference" w:uiPriority="99"/>
    <w:lsdException w:name="line number" w:uiPriority="99"/>
    <w:lsdException w:name="List Bullet" w:uiPriority="99"/>
    <w:lsdException w:name="Title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Document Map" w:uiPriority="99"/>
    <w:lsdException w:name="Normal (Web)" w:uiPriority="99"/>
    <w:lsdException w:name="No List" w:uiPriority="99"/>
    <w:lsdException w:name="Table List 3" w:uiPriority="99"/>
    <w:lsdException w:name="Table List 5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63C28"/>
    <w:rPr>
      <w:rFonts w:ascii="Arial" w:eastAsia="ヒラギノ角ゴ Pro W3" w:hAnsi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locked/>
    <w:rsid w:val="00291A08"/>
    <w:pPr>
      <w:keepNext/>
      <w:spacing w:before="240" w:after="60"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291A08"/>
    <w:pPr>
      <w:keepNext/>
      <w:spacing w:after="60"/>
      <w:outlineLvl w:val="1"/>
    </w:pPr>
    <w:rPr>
      <w:rFonts w:ascii="Times New Roman" w:eastAsia="Times New Roman" w:hAnsi="Times New Roman" w:cs="Arial"/>
      <w:b/>
      <w:bCs/>
      <w:iCs/>
      <w:color w:val="auto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91A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291A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D067CF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D067CF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D067CF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uiPriority w:val="99"/>
    <w:rsid w:val="00D067CF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uiPriority w:val="99"/>
    <w:rsid w:val="00D067CF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paragraph" w:customStyle="1" w:styleId="textbullets2">
    <w:name w:val="text bullets 2"/>
    <w:uiPriority w:val="99"/>
    <w:rsid w:val="00D067CF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uiPriority w:val="99"/>
    <w:rsid w:val="00D067CF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uiPriority w:val="99"/>
    <w:rsid w:val="00D067CF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D067CF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uiPriority w:val="99"/>
    <w:rsid w:val="00D067CF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uiPriority w:val="99"/>
    <w:rsid w:val="00D067CF"/>
    <w:rPr>
      <w:rFonts w:eastAsia="ヒラギノ角ゴ Pro W3"/>
      <w:color w:val="000000"/>
      <w:sz w:val="24"/>
    </w:rPr>
  </w:style>
  <w:style w:type="paragraph" w:customStyle="1" w:styleId="HeadingA">
    <w:name w:val="Heading A"/>
    <w:uiPriority w:val="99"/>
    <w:rsid w:val="00D067CF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D067CF"/>
  </w:style>
  <w:style w:type="paragraph" w:customStyle="1" w:styleId="FreeForm">
    <w:name w:val="Free Form"/>
    <w:rsid w:val="00D067CF"/>
    <w:rPr>
      <w:rFonts w:eastAsia="ヒラギノ角ゴ Pro W3"/>
      <w:color w:val="000000"/>
    </w:rPr>
  </w:style>
  <w:style w:type="paragraph" w:customStyle="1" w:styleId="TableGrid1">
    <w:name w:val="Table Grid1"/>
    <w:rsid w:val="00D067CF"/>
    <w:rPr>
      <w:rFonts w:eastAsia="ヒラギノ角ゴ Pro W3"/>
      <w:color w:val="000000"/>
    </w:rPr>
  </w:style>
  <w:style w:type="paragraph" w:customStyle="1" w:styleId="Task">
    <w:name w:val="Task"/>
    <w:rsid w:val="00D067CF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D067CF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D067CF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locked/>
    <w:rsid w:val="00172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729F3"/>
    <w:rPr>
      <w:rFonts w:ascii="Tahoma" w:eastAsia="ヒラギノ角ゴ Pro W3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locked/>
    <w:rsid w:val="00A82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A825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2543"/>
    <w:rPr>
      <w:rFonts w:ascii="Arial" w:eastAsia="ヒラギノ角ゴ Pro W3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A82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82543"/>
    <w:rPr>
      <w:rFonts w:ascii="Arial" w:eastAsia="ヒラギノ角ゴ Pro W3" w:hAnsi="Arial"/>
      <w:b/>
      <w:bCs/>
      <w:color w:val="000000"/>
    </w:rPr>
  </w:style>
  <w:style w:type="paragraph" w:styleId="Header">
    <w:name w:val="header"/>
    <w:basedOn w:val="Normal"/>
    <w:link w:val="HeaderChar"/>
    <w:uiPriority w:val="99"/>
    <w:locked/>
    <w:rsid w:val="00E62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302"/>
    <w:rPr>
      <w:rFonts w:ascii="Arial" w:eastAsia="ヒラギノ角ゴ Pro W3" w:hAnsi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E62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302"/>
    <w:rPr>
      <w:rFonts w:ascii="Arial" w:eastAsia="ヒラギノ角ゴ Pro W3" w:hAnsi="Arial"/>
      <w:color w:val="000000"/>
      <w:sz w:val="24"/>
      <w:szCs w:val="24"/>
    </w:rPr>
  </w:style>
  <w:style w:type="paragraph" w:customStyle="1" w:styleId="Style2">
    <w:name w:val="Style2"/>
    <w:basedOn w:val="Normal"/>
    <w:autoRedefine/>
    <w:rsid w:val="00F46A51"/>
    <w:pPr>
      <w:outlineLvl w:val="0"/>
    </w:pPr>
    <w:rPr>
      <w:rFonts w:eastAsia="Times New Roman" w:cs="Arial"/>
      <w:color w:val="auto"/>
      <w:lang w:val="en-CA" w:eastAsia="en-CA"/>
    </w:rPr>
  </w:style>
  <w:style w:type="paragraph" w:customStyle="1" w:styleId="ParagraphIndent">
    <w:name w:val="ParagraphIndent"/>
    <w:qFormat/>
    <w:rsid w:val="005245FC"/>
    <w:pPr>
      <w:ind w:firstLine="36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locked/>
    <w:rsid w:val="00BD13A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86ACE"/>
    <w:rPr>
      <w:rFonts w:ascii="Arial" w:eastAsia="ヒラギノ角ゴ Pro W3" w:hAnsi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395EC8"/>
    <w:pPr>
      <w:spacing w:before="100" w:beforeAutospacing="1" w:after="100" w:afterAutospacing="1"/>
    </w:pPr>
    <w:rPr>
      <w:rFonts w:ascii="Times New Roman" w:eastAsiaTheme="minorEastAsia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395EC8"/>
    <w:pPr>
      <w:ind w:left="720"/>
      <w:contextualSpacing/>
    </w:pPr>
    <w:rPr>
      <w:rFonts w:ascii="Times New Roman" w:eastAsiaTheme="minorEastAsia" w:hAnsi="Times New Roman"/>
      <w:color w:val="auto"/>
    </w:rPr>
  </w:style>
  <w:style w:type="paragraph" w:customStyle="1" w:styleId="clear">
    <w:name w:val="clear"/>
    <w:basedOn w:val="Normal"/>
    <w:rsid w:val="001915A0"/>
    <w:pPr>
      <w:shd w:val="clear" w:color="auto" w:fill="FFFFFF"/>
      <w:spacing w:beforeAutospacing="1" w:line="480" w:lineRule="auto"/>
      <w:jc w:val="both"/>
    </w:pPr>
    <w:rPr>
      <w:rFonts w:ascii="Times New Roman" w:eastAsia="MS Mincho" w:hAnsi="Times New Roman"/>
      <w:b/>
      <w:shd w:val="clear" w:color="auto" w:fill="FFFFFF"/>
      <w:lang w:eastAsia="ja-JP"/>
    </w:rPr>
  </w:style>
  <w:style w:type="paragraph" w:customStyle="1" w:styleId="Level7Heading">
    <w:name w:val="Level7Heading"/>
    <w:qFormat/>
    <w:rsid w:val="001915A0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6Heading">
    <w:name w:val="Level6Heading"/>
    <w:qFormat/>
    <w:rsid w:val="001915A0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041A8"/>
    <w:pPr>
      <w:suppressLineNumbers/>
    </w:pPr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A313E2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313E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locked/>
    <w:rsid w:val="0005385A"/>
    <w:pPr>
      <w:tabs>
        <w:tab w:val="right" w:leader="dot" w:pos="9350"/>
      </w:tabs>
    </w:pPr>
    <w:rPr>
      <w:rFonts w:ascii="Times New Roman" w:eastAsia="Times New Roman" w:hAnsi="Times New Roman"/>
      <w:b/>
      <w:noProof/>
      <w:color w:val="auto"/>
      <w:lang w:val="en-CA"/>
    </w:rPr>
  </w:style>
  <w:style w:type="paragraph" w:styleId="TOC2">
    <w:name w:val="toc 2"/>
    <w:basedOn w:val="Normal"/>
    <w:next w:val="Normal"/>
    <w:autoRedefine/>
    <w:uiPriority w:val="39"/>
    <w:locked/>
    <w:rsid w:val="005214BA"/>
    <w:pPr>
      <w:tabs>
        <w:tab w:val="right" w:leader="dot" w:pos="9350"/>
      </w:tabs>
      <w:ind w:left="240"/>
    </w:pPr>
    <w:rPr>
      <w:rFonts w:ascii="Times New Roman" w:eastAsia="Times New Roman" w:hAnsi="Times New Roman"/>
      <w:bCs/>
      <w:noProof/>
      <w:color w:val="auto"/>
    </w:rPr>
  </w:style>
  <w:style w:type="paragraph" w:customStyle="1" w:styleId="ChapterHeading">
    <w:name w:val="ChapterHeading"/>
    <w:qFormat/>
    <w:rsid w:val="00A313E2"/>
    <w:pPr>
      <w:keepNext/>
      <w:spacing w:before="240"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A313E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A313E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E73597"/>
    <w:pPr>
      <w:keepLines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A313E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3Heading">
    <w:name w:val="Level3Heading"/>
    <w:qFormat/>
    <w:rsid w:val="00A313E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Contents">
    <w:name w:val="Contents"/>
    <w:qFormat/>
    <w:rsid w:val="00A313E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313E2"/>
    <w:pPr>
      <w:keepNext/>
      <w:spacing w:before="240"/>
    </w:pPr>
    <w:rPr>
      <w:b/>
      <w:bCs/>
      <w:sz w:val="24"/>
      <w:szCs w:val="28"/>
    </w:rPr>
  </w:style>
  <w:style w:type="paragraph" w:customStyle="1" w:styleId="Bullet1">
    <w:name w:val="Bullet1"/>
    <w:qFormat/>
    <w:rsid w:val="00A313E2"/>
    <w:pPr>
      <w:numPr>
        <w:numId w:val="16"/>
      </w:numPr>
    </w:pPr>
    <w:rPr>
      <w:bCs/>
      <w:sz w:val="24"/>
      <w:szCs w:val="24"/>
    </w:rPr>
  </w:style>
  <w:style w:type="paragraph" w:customStyle="1" w:styleId="Bullet2">
    <w:name w:val="Bullet2"/>
    <w:qFormat/>
    <w:rsid w:val="00AC6422"/>
    <w:pPr>
      <w:numPr>
        <w:ilvl w:val="1"/>
        <w:numId w:val="16"/>
      </w:numPr>
      <w:ind w:left="1080"/>
    </w:pPr>
    <w:rPr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5214BA"/>
    <w:pPr>
      <w:tabs>
        <w:tab w:val="right" w:leader="dot" w:pos="9350"/>
      </w:tabs>
      <w:spacing w:after="100"/>
      <w:ind w:firstLine="240"/>
    </w:pPr>
    <w:rPr>
      <w:rFonts w:ascii="Times" w:eastAsia="MS Mincho" w:hAnsi="Times"/>
      <w:noProof/>
      <w:color w:val="auto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A313E2"/>
    <w:rPr>
      <w:rFonts w:ascii="Times" w:eastAsia="Times New Roman" w:hAnsi="Times" w:cs="Times"/>
      <w:color w:val="auto"/>
    </w:rPr>
  </w:style>
  <w:style w:type="character" w:customStyle="1" w:styleId="ParagraphNoIndentChar">
    <w:name w:val="ParagraphNoIndent Char"/>
    <w:link w:val="ParagraphNoIndent"/>
    <w:locked/>
    <w:rsid w:val="00C041A8"/>
    <w:rPr>
      <w:bCs/>
      <w:sz w:val="24"/>
      <w:szCs w:val="24"/>
    </w:rPr>
  </w:style>
  <w:style w:type="paragraph" w:customStyle="1" w:styleId="PageNumber">
    <w:name w:val="PageNumber"/>
    <w:qFormat/>
    <w:rsid w:val="00A313E2"/>
    <w:pPr>
      <w:jc w:val="center"/>
    </w:pPr>
    <w:rPr>
      <w:rFonts w:eastAsia="Calibri"/>
      <w:sz w:val="24"/>
      <w:szCs w:val="24"/>
    </w:rPr>
  </w:style>
  <w:style w:type="paragraph" w:customStyle="1" w:styleId="PreparedForText">
    <w:name w:val="PreparedForText"/>
    <w:qFormat/>
    <w:rsid w:val="00A313E2"/>
    <w:rPr>
      <w:bCs/>
      <w:sz w:val="24"/>
      <w:szCs w:val="24"/>
    </w:rPr>
  </w:style>
  <w:style w:type="paragraph" w:customStyle="1" w:styleId="ParagraphNoIndentBold">
    <w:name w:val="ParagraphNoIndentBold"/>
    <w:qFormat/>
    <w:rsid w:val="00A313E2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313E2"/>
    <w:rPr>
      <w:b/>
      <w:bCs/>
      <w:sz w:val="24"/>
      <w:szCs w:val="24"/>
    </w:rPr>
  </w:style>
  <w:style w:type="paragraph" w:customStyle="1" w:styleId="Investigators">
    <w:name w:val="Investigators"/>
    <w:qFormat/>
    <w:rsid w:val="00A313E2"/>
    <w:rPr>
      <w:bCs/>
      <w:sz w:val="24"/>
      <w:szCs w:val="24"/>
    </w:rPr>
  </w:style>
  <w:style w:type="paragraph" w:customStyle="1" w:styleId="PublicationNumberDate">
    <w:name w:val="PublicationNumberDate"/>
    <w:qFormat/>
    <w:rsid w:val="00A313E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313E2"/>
    <w:rPr>
      <w:bCs/>
      <w:sz w:val="24"/>
      <w:szCs w:val="24"/>
    </w:rPr>
  </w:style>
  <w:style w:type="paragraph" w:customStyle="1" w:styleId="TitlePageReportNumber">
    <w:name w:val="Title Page Report Number"/>
    <w:basedOn w:val="Normal"/>
    <w:rsid w:val="00A313E2"/>
    <w:rPr>
      <w:rFonts w:eastAsia="Times"/>
      <w:b/>
      <w:color w:val="auto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1A08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91A08"/>
    <w:rPr>
      <w:rFonts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1A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1A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ReportType">
    <w:name w:val="ReportType"/>
    <w:qFormat/>
    <w:rsid w:val="00291A08"/>
    <w:rPr>
      <w:b/>
      <w:bCs/>
      <w:i/>
      <w:sz w:val="36"/>
      <w:szCs w:val="36"/>
    </w:rPr>
  </w:style>
  <w:style w:type="paragraph" w:customStyle="1" w:styleId="NumberLine">
    <w:name w:val="NumberLine"/>
    <w:qFormat/>
    <w:rsid w:val="00291A08"/>
    <w:rPr>
      <w:rFonts w:ascii="Arial" w:hAnsi="Arial"/>
      <w:b/>
      <w:bCs/>
      <w:sz w:val="28"/>
      <w:szCs w:val="28"/>
    </w:rPr>
  </w:style>
  <w:style w:type="table" w:customStyle="1" w:styleId="AHRQ1">
    <w:name w:val="AHRQ1"/>
    <w:basedOn w:val="TableGrid"/>
    <w:rsid w:val="00291A08"/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locked/>
    <w:rsid w:val="00291A0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Note">
    <w:name w:val="TableNote"/>
    <w:qFormat/>
    <w:rsid w:val="00C041A8"/>
    <w:pPr>
      <w:suppressLineNumbers/>
      <w:spacing w:after="240"/>
    </w:pPr>
    <w:rPr>
      <w:bCs/>
      <w:sz w:val="18"/>
      <w:szCs w:val="24"/>
    </w:rPr>
  </w:style>
  <w:style w:type="paragraph" w:customStyle="1" w:styleId="Reference">
    <w:name w:val="Reference"/>
    <w:qFormat/>
    <w:rsid w:val="00291A0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291A08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PreparedByText">
    <w:name w:val="PreparedByText"/>
    <w:qFormat/>
    <w:rsid w:val="00291A08"/>
    <w:rPr>
      <w:bCs/>
      <w:sz w:val="24"/>
      <w:szCs w:val="24"/>
    </w:rPr>
  </w:style>
  <w:style w:type="paragraph" w:customStyle="1" w:styleId="Level4Heading">
    <w:name w:val="Level4Heading"/>
    <w:qFormat/>
    <w:rsid w:val="00291A08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291A0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91A0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1A08"/>
    <w:rPr>
      <w:rFonts w:ascii="Arial" w:eastAsia="Calibri" w:hAnsi="Arial" w:cs="Arial"/>
      <w:sz w:val="18"/>
      <w:szCs w:val="18"/>
    </w:rPr>
  </w:style>
  <w:style w:type="paragraph" w:customStyle="1" w:styleId="Level8Heading">
    <w:name w:val="Level8Heading"/>
    <w:qFormat/>
    <w:rsid w:val="00291A08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291A0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91A08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91A08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91A08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291A08"/>
    <w:pPr>
      <w:keepLines/>
      <w:numPr>
        <w:numId w:val="17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91A08"/>
    <w:pPr>
      <w:numPr>
        <w:numId w:val="18"/>
      </w:numPr>
      <w:ind w:left="720"/>
    </w:pPr>
  </w:style>
  <w:style w:type="paragraph" w:customStyle="1" w:styleId="ReportSubtitle">
    <w:name w:val="ReportSubtitle"/>
    <w:qFormat/>
    <w:rsid w:val="00291A08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291A08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291A08"/>
    <w:pPr>
      <w:spacing w:after="120"/>
    </w:pPr>
    <w:rPr>
      <w:rFonts w:ascii="Times New Roman" w:eastAsia="Times New Roman" w:hAnsi="Times New Roman"/>
      <w:color w:val="auto"/>
    </w:rPr>
  </w:style>
  <w:style w:type="character" w:customStyle="1" w:styleId="BodyTextChar">
    <w:name w:val="BodyText Char"/>
    <w:basedOn w:val="DefaultParagraphFont"/>
    <w:link w:val="BodyText"/>
    <w:rsid w:val="00291A08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291A08"/>
    <w:pPr>
      <w:numPr>
        <w:numId w:val="19"/>
      </w:numPr>
      <w:contextualSpacing/>
    </w:pPr>
    <w:rPr>
      <w:rFonts w:ascii="Times" w:eastAsia="Calibri" w:hAnsi="Times"/>
      <w:color w:val="auto"/>
    </w:rPr>
  </w:style>
  <w:style w:type="paragraph" w:styleId="Caption">
    <w:name w:val="caption"/>
    <w:basedOn w:val="Normal"/>
    <w:next w:val="Normal"/>
    <w:unhideWhenUsed/>
    <w:qFormat/>
    <w:locked/>
    <w:rsid w:val="00291A08"/>
    <w:pPr>
      <w:keepNext/>
      <w:spacing w:after="200"/>
    </w:pPr>
    <w:rPr>
      <w:rFonts w:ascii="Times" w:eastAsia="Calibri" w:hAnsi="Times"/>
      <w:b/>
      <w:bCs/>
      <w:color w:val="auto"/>
      <w:sz w:val="18"/>
      <w:szCs w:val="18"/>
    </w:rPr>
  </w:style>
  <w:style w:type="paragraph" w:customStyle="1" w:styleId="instructionsbullets">
    <w:name w:val="instructions bullets"/>
    <w:basedOn w:val="Normal"/>
    <w:uiPriority w:val="99"/>
    <w:rsid w:val="00291A08"/>
    <w:pPr>
      <w:numPr>
        <w:numId w:val="20"/>
      </w:numPr>
      <w:shd w:val="clear" w:color="auto" w:fill="FFFFFF"/>
      <w:spacing w:before="120" w:after="120"/>
      <w:ind w:left="770"/>
      <w:contextualSpacing/>
    </w:pPr>
    <w:rPr>
      <w:rFonts w:eastAsia="Times New Roman" w:cs="Arial"/>
      <w:color w:val="auto"/>
      <w:sz w:val="20"/>
      <w:szCs w:val="22"/>
    </w:rPr>
  </w:style>
  <w:style w:type="table" w:styleId="TableList3">
    <w:name w:val="Table List 3"/>
    <w:basedOn w:val="TableNormal"/>
    <w:uiPriority w:val="99"/>
    <w:unhideWhenUsed/>
    <w:locked/>
    <w:rsid w:val="00291A08"/>
    <w:rPr>
      <w:rFonts w:ascii="Calibri" w:eastAsia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entedbullets">
    <w:name w:val="indented bullets"/>
    <w:basedOn w:val="Normal"/>
    <w:uiPriority w:val="99"/>
    <w:rsid w:val="00291A08"/>
    <w:pPr>
      <w:shd w:val="clear" w:color="auto" w:fill="FFFFFF"/>
      <w:spacing w:line="360" w:lineRule="atLeast"/>
    </w:pPr>
    <w:rPr>
      <w:rFonts w:eastAsia="Times New Roman" w:cs="Arial"/>
      <w:color w:val="auto"/>
      <w:sz w:val="19"/>
      <w:szCs w:val="19"/>
    </w:rPr>
  </w:style>
  <w:style w:type="paragraph" w:customStyle="1" w:styleId="Lefttextheader">
    <w:name w:val="Left text header"/>
    <w:basedOn w:val="Normal"/>
    <w:uiPriority w:val="99"/>
    <w:rsid w:val="00291A08"/>
    <w:pPr>
      <w:shd w:val="clear" w:color="auto" w:fill="FFFFFF"/>
      <w:spacing w:line="360" w:lineRule="atLeast"/>
    </w:pPr>
    <w:rPr>
      <w:rFonts w:eastAsia="Times New Roman"/>
      <w:color w:val="auto"/>
      <w:sz w:val="19"/>
      <w:szCs w:val="20"/>
    </w:rPr>
  </w:style>
  <w:style w:type="paragraph" w:customStyle="1" w:styleId="Text0">
    <w:name w:val="Text"/>
    <w:basedOn w:val="Normal"/>
    <w:link w:val="TextChar"/>
    <w:uiPriority w:val="99"/>
    <w:rsid w:val="00291A08"/>
    <w:pPr>
      <w:shd w:val="clear" w:color="auto" w:fill="FFFFFF"/>
      <w:spacing w:before="60"/>
      <w:ind w:firstLine="360"/>
    </w:pPr>
    <w:rPr>
      <w:rFonts w:ascii="Times New Roman" w:eastAsia="Times New Roman" w:hAnsi="Times New Roman"/>
      <w:color w:val="auto"/>
    </w:rPr>
  </w:style>
  <w:style w:type="character" w:customStyle="1" w:styleId="TextChar">
    <w:name w:val="Text Char"/>
    <w:basedOn w:val="DefaultParagraphFont"/>
    <w:link w:val="Text0"/>
    <w:uiPriority w:val="99"/>
    <w:locked/>
    <w:rsid w:val="00291A08"/>
    <w:rPr>
      <w:sz w:val="24"/>
      <w:szCs w:val="24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locked/>
    <w:rsid w:val="00291A08"/>
    <w:pPr>
      <w:spacing w:after="120"/>
      <w:ind w:left="360"/>
    </w:pPr>
    <w:rPr>
      <w:rFonts w:ascii="Times" w:eastAsia="Times New Roman" w:hAnsi="Times"/>
      <w:color w:val="auto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91A08"/>
    <w:rPr>
      <w:rFonts w:ascii="Times" w:hAnsi="Times"/>
      <w:sz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1A08"/>
    <w:rPr>
      <w:color w:val="800080"/>
      <w:u w:val="single"/>
    </w:rPr>
  </w:style>
  <w:style w:type="character" w:customStyle="1" w:styleId="shadedheaderChar">
    <w:name w:val="shaded header Char"/>
    <w:basedOn w:val="DefaultParagraphFont"/>
    <w:link w:val="shadedheader"/>
    <w:rsid w:val="00291A08"/>
    <w:rPr>
      <w:rFonts w:ascii="Arial Bold" w:eastAsia="ヒラギノ角ゴ Pro W3" w:hAnsi="Arial Bold"/>
      <w:color w:val="000000"/>
      <w:shd w:val="clear" w:color="auto" w:fill="FFE8B4"/>
    </w:rPr>
  </w:style>
  <w:style w:type="table" w:customStyle="1" w:styleId="LightList1">
    <w:name w:val="Light List1"/>
    <w:basedOn w:val="TableNormal"/>
    <w:uiPriority w:val="61"/>
    <w:rsid w:val="00291A0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tyle1">
    <w:name w:val="Style1"/>
    <w:basedOn w:val="TableList5"/>
    <w:uiPriority w:val="99"/>
    <w:qFormat/>
    <w:rsid w:val="00291A08"/>
    <w:tblPr/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uiPriority w:val="99"/>
    <w:unhideWhenUsed/>
    <w:locked/>
    <w:rsid w:val="00291A08"/>
    <w:rPr>
      <w:rFonts w:asciiTheme="minorHAnsi" w:eastAsiaTheme="minorHAnsi" w:hAnsiTheme="min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itsyn1">
    <w:name w:val="hit_syn1"/>
    <w:basedOn w:val="DefaultParagraphFont"/>
    <w:rsid w:val="00291A08"/>
    <w:rPr>
      <w:b/>
      <w:bCs/>
      <w:shd w:val="clear" w:color="auto" w:fill="FFFFDD"/>
    </w:rPr>
  </w:style>
  <w:style w:type="character" w:customStyle="1" w:styleId="hitorg1">
    <w:name w:val="hit_org1"/>
    <w:basedOn w:val="DefaultParagraphFont"/>
    <w:rsid w:val="00291A08"/>
    <w:rPr>
      <w:b/>
      <w:bCs/>
      <w:shd w:val="clear" w:color="auto" w:fill="FFEEDD"/>
    </w:rPr>
  </w:style>
  <w:style w:type="paragraph" w:styleId="DocumentMap">
    <w:name w:val="Document Map"/>
    <w:basedOn w:val="Normal"/>
    <w:link w:val="DocumentMapChar"/>
    <w:uiPriority w:val="99"/>
    <w:unhideWhenUsed/>
    <w:locked/>
    <w:rsid w:val="00291A08"/>
    <w:rPr>
      <w:rFonts w:ascii="Tahoma" w:eastAsia="Times New Roman" w:hAnsi="Tahoma" w:cs="Tahoma"/>
      <w:color w:val="auto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91A08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291A0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HRQnormal">
    <w:name w:val="AHRQ normal"/>
    <w:basedOn w:val="Normal"/>
    <w:qFormat/>
    <w:rsid w:val="00291A08"/>
    <w:pPr>
      <w:spacing w:before="60" w:after="60"/>
      <w:ind w:firstLine="432"/>
    </w:pPr>
    <w:rPr>
      <w:rFonts w:ascii="Times New Roman" w:eastAsia="Cambria" w:hAnsi="Times New Roman"/>
      <w:color w:val="auto"/>
    </w:rPr>
  </w:style>
  <w:style w:type="paragraph" w:customStyle="1" w:styleId="HeadLevel2">
    <w:name w:val="Head Level 2"/>
    <w:basedOn w:val="Normal"/>
    <w:uiPriority w:val="99"/>
    <w:rsid w:val="00291A08"/>
    <w:pPr>
      <w:keepNext/>
      <w:spacing w:before="240" w:after="120"/>
    </w:pPr>
    <w:rPr>
      <w:rFonts w:eastAsia="Times New Roman"/>
      <w:b/>
      <w:bCs/>
      <w:color w:val="auto"/>
      <w:sz w:val="32"/>
      <w:lang w:val="en-CA"/>
    </w:rPr>
  </w:style>
  <w:style w:type="paragraph" w:customStyle="1" w:styleId="NumberLineCover">
    <w:name w:val="NumberLineCover"/>
    <w:uiPriority w:val="99"/>
    <w:qFormat/>
    <w:rsid w:val="00291A08"/>
    <w:rPr>
      <w:bCs/>
      <w:sz w:val="28"/>
      <w:szCs w:val="28"/>
    </w:rPr>
  </w:style>
  <w:style w:type="paragraph" w:customStyle="1" w:styleId="ReportTypeCover">
    <w:name w:val="ReportTypeCover"/>
    <w:uiPriority w:val="99"/>
    <w:qFormat/>
    <w:rsid w:val="00291A08"/>
    <w:pPr>
      <w:pBdr>
        <w:bottom w:val="single" w:sz="12" w:space="1" w:color="auto"/>
      </w:pBdr>
    </w:pPr>
    <w:rPr>
      <w:bCs/>
      <w:i/>
      <w:sz w:val="36"/>
      <w:szCs w:val="36"/>
    </w:rPr>
  </w:style>
  <w:style w:type="character" w:styleId="Strong">
    <w:name w:val="Strong"/>
    <w:basedOn w:val="DefaultParagraphFont"/>
    <w:uiPriority w:val="99"/>
    <w:qFormat/>
    <w:locked/>
    <w:rsid w:val="00291A08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291A08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291A08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numbering" w:customStyle="1" w:styleId="NoList1">
    <w:name w:val="No List1"/>
    <w:next w:val="NoList"/>
    <w:uiPriority w:val="99"/>
    <w:semiHidden/>
    <w:unhideWhenUsed/>
    <w:rsid w:val="00291A08"/>
  </w:style>
  <w:style w:type="table" w:customStyle="1" w:styleId="AHRQ11">
    <w:name w:val="AHRQ11"/>
    <w:basedOn w:val="TableGrid"/>
    <w:uiPriority w:val="99"/>
    <w:rsid w:val="00291A08"/>
    <w:pPr>
      <w:ind w:left="187" w:hanging="187"/>
    </w:pPr>
    <w:rPr>
      <w:rFonts w:ascii="Arial" w:eastAsia="Times New Roman" w:hAnsi="Arial"/>
      <w:sz w:val="18"/>
      <w:szCs w:val="24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291A08"/>
    <w:rPr>
      <w:rFonts w:eastAsia="Calibr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91A08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291A08"/>
  </w:style>
  <w:style w:type="paragraph" w:styleId="FootnoteText">
    <w:name w:val="footnote text"/>
    <w:basedOn w:val="Normal"/>
    <w:link w:val="FootnoteTextChar"/>
    <w:uiPriority w:val="99"/>
    <w:unhideWhenUsed/>
    <w:locked/>
    <w:rsid w:val="00291A08"/>
    <w:rPr>
      <w:rFonts w:ascii="Times" w:eastAsia="Times New Roman" w:hAnsi="Times"/>
      <w:color w:val="auto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1A08"/>
    <w:rPr>
      <w:rFonts w:ascii="Times" w:hAnsi="Times"/>
      <w:szCs w:val="24"/>
    </w:rPr>
  </w:style>
  <w:style w:type="character" w:styleId="FootnoteReference">
    <w:name w:val="footnote reference"/>
    <w:basedOn w:val="DefaultParagraphFont"/>
    <w:uiPriority w:val="99"/>
    <w:unhideWhenUsed/>
    <w:locked/>
    <w:rsid w:val="00291A08"/>
    <w:rPr>
      <w:vertAlign w:val="superscript"/>
    </w:rPr>
  </w:style>
  <w:style w:type="character" w:styleId="LineNumber">
    <w:name w:val="line number"/>
    <w:basedOn w:val="DefaultParagraphFont"/>
    <w:uiPriority w:val="99"/>
    <w:unhideWhenUsed/>
    <w:locked/>
    <w:rsid w:val="00291A08"/>
  </w:style>
  <w:style w:type="character" w:customStyle="1" w:styleId="Style1Char">
    <w:name w:val="Style1 Char"/>
    <w:basedOn w:val="Heading3Char"/>
    <w:rsid w:val="00291A08"/>
    <w:rPr>
      <w:rFonts w:ascii="Times New Roman" w:eastAsia="Times New Roman" w:hAnsi="Times New Roman" w:cstheme="majorBidi"/>
      <w:b/>
      <w:bCs/>
      <w:color w:val="4F81BD" w:themeColor="accent1"/>
      <w:sz w:val="24"/>
      <w:szCs w:val="20"/>
      <w:u w:val="single"/>
    </w:rPr>
  </w:style>
  <w:style w:type="table" w:customStyle="1" w:styleId="AHRQ12">
    <w:name w:val="AHRQ12"/>
    <w:basedOn w:val="TableGrid"/>
    <w:rsid w:val="00291A08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styleId="Emphasis">
    <w:name w:val="Emphasis"/>
    <w:basedOn w:val="DefaultParagraphFont"/>
    <w:uiPriority w:val="20"/>
    <w:qFormat/>
    <w:locked/>
    <w:rsid w:val="00291A08"/>
    <w:rPr>
      <w:i/>
      <w:iCs/>
    </w:rPr>
  </w:style>
  <w:style w:type="character" w:customStyle="1" w:styleId="apple-converted-space">
    <w:name w:val="apple-converted-space"/>
    <w:basedOn w:val="DefaultParagraphFont"/>
    <w:rsid w:val="00291A08"/>
  </w:style>
  <w:style w:type="paragraph" w:styleId="TOC4">
    <w:name w:val="toc 4"/>
    <w:basedOn w:val="Normal"/>
    <w:next w:val="Normal"/>
    <w:autoRedefine/>
    <w:uiPriority w:val="39"/>
    <w:unhideWhenUsed/>
    <w:locked/>
    <w:rsid w:val="00291A08"/>
    <w:pPr>
      <w:spacing w:after="100" w:line="276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291A08"/>
    <w:pPr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291A08"/>
    <w:pPr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291A08"/>
    <w:pPr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291A08"/>
    <w:pPr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291A08"/>
    <w:pPr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BodyText0">
    <w:name w:val="Body Text"/>
    <w:basedOn w:val="Normal"/>
    <w:link w:val="BodyTextChar0"/>
    <w:uiPriority w:val="99"/>
    <w:unhideWhenUsed/>
    <w:locked/>
    <w:rsid w:val="00291A08"/>
    <w:pPr>
      <w:spacing w:after="120"/>
    </w:pPr>
    <w:rPr>
      <w:rFonts w:ascii="Times" w:eastAsia="Times New Roman" w:hAnsi="Times"/>
      <w:color w:val="auto"/>
      <w:szCs w:val="20"/>
    </w:rPr>
  </w:style>
  <w:style w:type="character" w:customStyle="1" w:styleId="BodyTextChar0">
    <w:name w:val="Body Text Char"/>
    <w:basedOn w:val="DefaultParagraphFont"/>
    <w:link w:val="BodyText0"/>
    <w:uiPriority w:val="99"/>
    <w:rsid w:val="00291A08"/>
    <w:rPr>
      <w:rFonts w:ascii="Times" w:hAnsi="Times"/>
      <w:sz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locked/>
    <w:rsid w:val="00291A08"/>
    <w:pPr>
      <w:spacing w:after="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291A08"/>
    <w:rPr>
      <w:rFonts w:ascii="Times" w:hAnsi="Times"/>
      <w:sz w:val="24"/>
    </w:rPr>
  </w:style>
  <w:style w:type="table" w:styleId="LightGrid">
    <w:name w:val="Light Grid"/>
    <w:basedOn w:val="TableNormal"/>
    <w:uiPriority w:val="62"/>
    <w:rsid w:val="0073548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Contemporary">
    <w:name w:val="Table Contemporary"/>
    <w:basedOn w:val="TableNormal"/>
    <w:locked/>
    <w:rsid w:val="006A4AF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Shading">
    <w:name w:val="Light Shading"/>
    <w:basedOn w:val="TableNormal"/>
    <w:uiPriority w:val="60"/>
    <w:rsid w:val="006A4AF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List1">
    <w:name w:val="Table List 1"/>
    <w:basedOn w:val="TableNormal"/>
    <w:locked/>
    <w:rsid w:val="006A4AF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2">
    <w:name w:val="Light Grid Accent 2"/>
    <w:basedOn w:val="TableNormal"/>
    <w:uiPriority w:val="62"/>
    <w:rsid w:val="006A4AF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ableTheme">
    <w:name w:val="Table Theme"/>
    <w:basedOn w:val="TableNormal"/>
    <w:locked/>
    <w:rsid w:val="001F2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C178E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">
    <w:name w:val="Light List"/>
    <w:basedOn w:val="TableNormal"/>
    <w:uiPriority w:val="61"/>
    <w:rsid w:val="00D352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5">
    <w:name w:val="Table Grid 5"/>
    <w:basedOn w:val="TableNormal"/>
    <w:locked/>
    <w:rsid w:val="00D352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locked/>
    <w:rsid w:val="00D352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5">
    <w:name w:val="Light Grid Accent 5"/>
    <w:basedOn w:val="TableNormal"/>
    <w:uiPriority w:val="62"/>
    <w:rsid w:val="00D352D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8C14F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D352D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leGrid8">
    <w:name w:val="Table Grid 8"/>
    <w:basedOn w:val="TableNormal"/>
    <w:locked/>
    <w:rsid w:val="00F477A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Shading-Accent5">
    <w:name w:val="Colorful Shading Accent 5"/>
    <w:basedOn w:val="TableNormal"/>
    <w:uiPriority w:val="71"/>
    <w:rsid w:val="00F477A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4">
    <w:name w:val="Light List Accent 4"/>
    <w:basedOn w:val="TableNormal"/>
    <w:uiPriority w:val="61"/>
    <w:rsid w:val="00755A5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TableGrid10">
    <w:name w:val="Table Grid 1"/>
    <w:basedOn w:val="TableNormal"/>
    <w:locked/>
    <w:rsid w:val="00CF37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5">
    <w:name w:val="Light Shading Accent 5"/>
    <w:basedOn w:val="TableNormal"/>
    <w:uiPriority w:val="60"/>
    <w:rsid w:val="00F969B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32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4975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156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808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43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1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0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116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42" Type="http://schemas.microsoft.com/office/2007/relationships/stylesWithEffects" Target="stylesWithEffects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d30a02-6c90-4ae4-bca5-9a3021344919">TECDOCS-19-93</_dlc_DocId>
    <_dlc_DocIdUrl xmlns="2bd30a02-6c90-4ae4-bca5-9a3021344919">
      <Url>http://mdcpappshr02wv:8085/sites/OCA/TEC/AHRQ/HNR/_layouts/DocIdRedir.aspx?ID=TECDOCS-19-93</Url>
      <Description>TECDOCS-19-93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48407CB0F1C48A17D431A4E2A9525" ma:contentTypeVersion="2" ma:contentTypeDescription="Create a new document." ma:contentTypeScope="" ma:versionID="d4dcba004326839cbfa663c12b3d7728">
  <xsd:schema xmlns:xsd="http://www.w3.org/2001/XMLSchema" xmlns:xs="http://www.w3.org/2001/XMLSchema" xmlns:p="http://schemas.microsoft.com/office/2006/metadata/properties" xmlns:ns2="2bd30a02-6c90-4ae4-bca5-9a3021344919" targetNamespace="http://schemas.microsoft.com/office/2006/metadata/properties" ma:root="true" ma:fieldsID="517a491490b24af7a6e018a82287b7d8" ns2:_="">
    <xsd:import namespace="2bd30a02-6c90-4ae4-bca5-9a30213449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30a02-6c90-4ae4-bca5-9a30213449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ACEB03-4027-4166-8041-77D824F03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BB927-9BCD-4862-A393-690902B76E16}">
  <ds:schemaRefs>
    <ds:schemaRef ds:uri="http://schemas.microsoft.com/office/2006/metadata/properties"/>
    <ds:schemaRef ds:uri="http://schemas.microsoft.com/office/infopath/2007/PartnerControls"/>
    <ds:schemaRef ds:uri="2bd30a02-6c90-4ae4-bca5-9a3021344919"/>
  </ds:schemaRefs>
</ds:datastoreItem>
</file>

<file path=customXml/itemProps3.xml><?xml version="1.0" encoding="utf-8"?>
<ds:datastoreItem xmlns:ds="http://schemas.openxmlformats.org/officeDocument/2006/customXml" ds:itemID="{8FD2E758-9C55-4617-9B82-A6B9EE1841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707830-49AA-46A3-8F0A-0CA227468E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4225595-37E4-4E75-AE17-62B91A96D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30a02-6c90-4ae4-bca5-9a3021344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Ratko, Thomas</dc:creator>
  <cp:lastModifiedBy>Venture</cp:lastModifiedBy>
  <cp:revision>3</cp:revision>
  <cp:lastPrinted>2014-12-01T15:17:00Z</cp:lastPrinted>
  <dcterms:created xsi:type="dcterms:W3CDTF">2014-12-31T09:33:00Z</dcterms:created>
  <dcterms:modified xsi:type="dcterms:W3CDTF">2014-12-31T09:57:00Z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0x01010067548407CB0F1C48A17D431A4E2A9525</vt:lpwstr>
  </property>
  <property fmtid="{D5CDD505-2E9C-101B-9397-08002B2CF9AE}" pid="3" name="_dlc_DocIdItemGuid">
    <vt:lpwstr>c891cad3-e9b0-4e01-ac04-1f3bbd877f4d</vt:lpwstr>
  </property>
</Properties>
</file>