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260"/>
          <w:tab w:val="left" w:pos="12150"/>
        </w:tabs>
        <w:spacing w:before="120" w:after="20"/>
      </w:pPr>
      <w:bookmarkStart w:id="0" w:name="_Ref365019542"/>
      <w:bookmarkStart w:id="1" w:name="_Ref363031768"/>
      <w:bookmarkStart w:id="2" w:name="_Toc363826584"/>
      <w:bookmarkStart w:id="3" w:name="_Toc365038582"/>
      <w:r w:rsidRPr="00766730">
        <w:t>Table C-</w:t>
      </w:r>
      <w:r>
        <w:rPr>
          <w:noProof/>
        </w:rPr>
        <w:t>41</w:t>
      </w:r>
      <w:bookmarkEnd w:id="0"/>
      <w:r w:rsidRPr="00766730">
        <w:rPr>
          <w:noProof/>
        </w:rPr>
        <w:t>a</w:t>
      </w:r>
      <w:r w:rsidRPr="00766730">
        <w:t>.</w:t>
      </w:r>
      <w:bookmarkEnd w:id="1"/>
      <w:r w:rsidRPr="00766730">
        <w:tab/>
        <w:t>Reported data: CT versus MRI for preoperative rectal staging N</w:t>
      </w:r>
      <w:bookmarkEnd w:id="2"/>
      <w:bookmarkEnd w:id="3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1237"/>
        <w:gridCol w:w="2294"/>
        <w:gridCol w:w="2381"/>
        <w:gridCol w:w="2644"/>
        <w:gridCol w:w="2611"/>
        <w:gridCol w:w="23"/>
      </w:tblGrid>
      <w:tr w:rsidR="00AD7791" w:rsidRPr="0084543C" w:rsidTr="00AD7791">
        <w:trPr>
          <w:trHeight w:val="290"/>
          <w:jc w:val="center"/>
        </w:trPr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4543C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N Patients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Author’s Conclusion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A078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A0781">
              <w:rPr>
                <w:b/>
              </w:rPr>
              <w:t>Outcomes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84543C">
              <w:rPr>
                <w:b/>
              </w:rPr>
              <w:t>CT</w:t>
            </w:r>
          </w:p>
          <w:p w:rsidR="00AD7791" w:rsidRPr="0084543C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</w:t>
            </w:r>
            <w:r w:rsidRPr="0084543C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84543C">
              <w:rPr>
                <w:b/>
              </w:rPr>
              <w:t xml:space="preserve">ata </w:t>
            </w:r>
            <w:r>
              <w:rPr>
                <w:b/>
              </w:rPr>
              <w:t>Regional L</w:t>
            </w:r>
            <w:r w:rsidRPr="0084543C">
              <w:rPr>
                <w:b/>
              </w:rPr>
              <w:t xml:space="preserve">ymph </w:t>
            </w:r>
            <w:r>
              <w:rPr>
                <w:b/>
              </w:rPr>
              <w:t>N</w:t>
            </w:r>
            <w:r w:rsidRPr="0084543C">
              <w:rPr>
                <w:b/>
              </w:rPr>
              <w:t>odes</w:t>
            </w:r>
          </w:p>
        </w:tc>
        <w:tc>
          <w:tcPr>
            <w:tcW w:w="24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84543C">
              <w:rPr>
                <w:b/>
              </w:rPr>
              <w:t>MRI</w:t>
            </w:r>
          </w:p>
          <w:p w:rsidR="00AD7791" w:rsidRPr="0084543C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</w:t>
            </w:r>
            <w:r w:rsidRPr="0084543C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84543C">
              <w:rPr>
                <w:b/>
              </w:rPr>
              <w:t xml:space="preserve">ata </w:t>
            </w:r>
            <w:r>
              <w:rPr>
                <w:b/>
              </w:rPr>
              <w:t>Regional L</w:t>
            </w:r>
            <w:r w:rsidRPr="0084543C">
              <w:rPr>
                <w:b/>
              </w:rPr>
              <w:t xml:space="preserve">ymph </w:t>
            </w:r>
            <w:r>
              <w:rPr>
                <w:b/>
              </w:rPr>
              <w:t>N</w:t>
            </w:r>
            <w:r w:rsidRPr="0084543C">
              <w:rPr>
                <w:b/>
              </w:rPr>
              <w:t>odes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84543C">
              <w:rPr>
                <w:b/>
              </w:rPr>
              <w:t>CT</w:t>
            </w:r>
          </w:p>
          <w:p w:rsidR="00AD7791" w:rsidRPr="0084543C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</w:t>
            </w:r>
            <w:r w:rsidRPr="0084543C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84543C">
              <w:rPr>
                <w:b/>
              </w:rPr>
              <w:t xml:space="preserve">ata </w:t>
            </w:r>
            <w:r>
              <w:rPr>
                <w:b/>
              </w:rPr>
              <w:br/>
              <w:t>L</w:t>
            </w:r>
            <w:r w:rsidRPr="0084543C">
              <w:rPr>
                <w:b/>
              </w:rPr>
              <w:t xml:space="preserve">ateral </w:t>
            </w:r>
            <w:r>
              <w:rPr>
                <w:b/>
              </w:rPr>
              <w:t>P</w:t>
            </w:r>
            <w:r w:rsidRPr="0084543C">
              <w:rPr>
                <w:b/>
              </w:rPr>
              <w:t xml:space="preserve">elvic </w:t>
            </w:r>
            <w:r>
              <w:rPr>
                <w:b/>
              </w:rPr>
              <w:t>Lymph N</w:t>
            </w:r>
            <w:r w:rsidRPr="0084543C">
              <w:rPr>
                <w:b/>
              </w:rPr>
              <w:t>odes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84543C">
              <w:rPr>
                <w:b/>
              </w:rPr>
              <w:t>MRI</w:t>
            </w:r>
          </w:p>
          <w:p w:rsidR="00AD7791" w:rsidRPr="0084543C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N S</w:t>
            </w:r>
            <w:r w:rsidRPr="0084543C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84543C">
              <w:rPr>
                <w:b/>
              </w:rPr>
              <w:t xml:space="preserve">ata </w:t>
            </w:r>
            <w:r>
              <w:rPr>
                <w:b/>
              </w:rPr>
              <w:br/>
              <w:t>L</w:t>
            </w:r>
            <w:r w:rsidRPr="0084543C">
              <w:rPr>
                <w:b/>
              </w:rPr>
              <w:t xml:space="preserve">ateral </w:t>
            </w:r>
            <w:r>
              <w:rPr>
                <w:b/>
              </w:rPr>
              <w:t>P</w:t>
            </w:r>
            <w:r w:rsidRPr="0084543C">
              <w:rPr>
                <w:b/>
              </w:rPr>
              <w:t xml:space="preserve">elvic </w:t>
            </w:r>
            <w:r>
              <w:rPr>
                <w:b/>
              </w:rPr>
              <w:t>Lymph N</w:t>
            </w:r>
            <w:r w:rsidRPr="0084543C">
              <w:rPr>
                <w:b/>
              </w:rPr>
              <w:t>odes</w:t>
            </w:r>
          </w:p>
        </w:tc>
      </w:tr>
      <w:tr w:rsidR="00AD7791" w:rsidRPr="0084543C" w:rsidTr="00AD7791">
        <w:trPr>
          <w:gridAfter w:val="1"/>
          <w:wAfter w:w="23" w:type="dxa"/>
          <w:trHeight w:val="290"/>
          <w:jc w:val="center"/>
        </w:trPr>
        <w:tc>
          <w:tcPr>
            <w:tcW w:w="1806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 w:rsidRPr="0084543C">
              <w:t>Arii et al. 2006</w:t>
            </w:r>
            <w:r w:rsidRPr="00215F35">
              <w:rPr>
                <w:vertAlign w:val="superscript"/>
              </w:rPr>
              <w:t>117</w:t>
            </w:r>
          </w:p>
          <w:p w:rsidR="00AD7791" w:rsidRDefault="00AD7791" w:rsidP="00AD7791">
            <w:pPr>
              <w:pStyle w:val="TableText"/>
              <w:spacing w:before="32" w:after="16"/>
            </w:pPr>
            <w:r w:rsidRPr="0084543C">
              <w:t>53 patients</w:t>
            </w:r>
          </w:p>
          <w:p w:rsidR="00AD7791" w:rsidRPr="0084543C" w:rsidRDefault="00AD7791" w:rsidP="00AD7791">
            <w:pPr>
              <w:pStyle w:val="TableText"/>
              <w:spacing w:before="240" w:after="16"/>
            </w:pPr>
            <w:r>
              <w:t>Conclusion:</w:t>
            </w:r>
            <w:r>
              <w:rPr>
                <w:b/>
              </w:rPr>
              <w:t>MRI is better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</w:pPr>
            <w:r w:rsidRPr="0084543C">
              <w:t>Accuracy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51%</w:t>
            </w: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64%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75%</w:t>
            </w:r>
          </w:p>
        </w:tc>
        <w:tc>
          <w:tcPr>
            <w:tcW w:w="2666" w:type="dxa"/>
            <w:tcBorders>
              <w:top w:val="double" w:sz="4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83%</w:t>
            </w:r>
          </w:p>
        </w:tc>
      </w:tr>
      <w:tr w:rsidR="00AD7791" w:rsidRPr="0084543C" w:rsidTr="00AD7791">
        <w:trPr>
          <w:gridAfter w:val="1"/>
          <w:wAfter w:w="23" w:type="dxa"/>
          <w:trHeight w:val="290"/>
          <w:jc w:val="center"/>
        </w:trPr>
        <w:tc>
          <w:tcPr>
            <w:tcW w:w="1806" w:type="dxa"/>
            <w:vMerge/>
          </w:tcPr>
          <w:p w:rsidR="00AD7791" w:rsidRPr="0084543C" w:rsidRDefault="00AD7791" w:rsidP="00AD7791">
            <w:pPr>
              <w:pStyle w:val="TableText"/>
              <w:spacing w:before="32" w:after="16"/>
            </w:pPr>
          </w:p>
        </w:tc>
        <w:tc>
          <w:tcPr>
            <w:tcW w:w="1260" w:type="dxa"/>
          </w:tcPr>
          <w:p w:rsidR="00AD7791" w:rsidRPr="0084543C" w:rsidRDefault="00AD7791" w:rsidP="00AD7791">
            <w:pPr>
              <w:pStyle w:val="TableText"/>
              <w:spacing w:before="32" w:after="16"/>
            </w:pPr>
            <w:r w:rsidRPr="0084543C">
              <w:t>N0 vs. N1/2</w:t>
            </w:r>
          </w:p>
          <w:p w:rsidR="00AD7791" w:rsidRPr="0084543C" w:rsidRDefault="00AD7791" w:rsidP="00AD7791">
            <w:pPr>
              <w:pStyle w:val="TableText"/>
              <w:spacing w:before="32" w:after="16"/>
            </w:pPr>
            <w:r w:rsidRPr="0084543C">
              <w:t>Sensitivity</w:t>
            </w:r>
          </w:p>
        </w:tc>
        <w:tc>
          <w:tcPr>
            <w:tcW w:w="2341" w:type="dxa"/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50%</w:t>
            </w:r>
          </w:p>
        </w:tc>
        <w:tc>
          <w:tcPr>
            <w:tcW w:w="2430" w:type="dxa"/>
          </w:tcPr>
          <w:p w:rsidR="00AD7791" w:rsidRPr="0084543C" w:rsidRDefault="00AD7791" w:rsidP="00AD7791">
            <w:pPr>
              <w:pStyle w:val="TableText"/>
              <w:tabs>
                <w:tab w:val="left" w:pos="510"/>
                <w:tab w:val="center" w:pos="680"/>
              </w:tabs>
              <w:spacing w:before="32" w:after="16"/>
              <w:jc w:val="center"/>
            </w:pPr>
            <w:r w:rsidRPr="0084543C">
              <w:t>71%</w:t>
            </w:r>
          </w:p>
        </w:tc>
        <w:tc>
          <w:tcPr>
            <w:tcW w:w="2700" w:type="dxa"/>
          </w:tcPr>
          <w:p w:rsidR="00AD7791" w:rsidRPr="0084543C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43C"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2666" w:type="dxa"/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>
              <w:t>56%</w:t>
            </w:r>
          </w:p>
        </w:tc>
      </w:tr>
      <w:tr w:rsidR="00AD7791" w:rsidRPr="0084543C" w:rsidTr="00AD7791">
        <w:trPr>
          <w:gridAfter w:val="1"/>
          <w:wAfter w:w="23" w:type="dxa"/>
          <w:trHeight w:val="290"/>
          <w:jc w:val="center"/>
        </w:trPr>
        <w:tc>
          <w:tcPr>
            <w:tcW w:w="1806" w:type="dxa"/>
            <w:vMerge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</w:pPr>
            <w:r w:rsidRPr="0084543C">
              <w:t>N0 vs. N1/2</w:t>
            </w:r>
          </w:p>
          <w:p w:rsidR="00AD7791" w:rsidRPr="0084543C" w:rsidRDefault="00AD7791" w:rsidP="00AD7791">
            <w:pPr>
              <w:pStyle w:val="TableText"/>
              <w:spacing w:before="32" w:after="16"/>
            </w:pPr>
            <w:r w:rsidRPr="0084543C">
              <w:t>Specificity</w:t>
            </w:r>
          </w:p>
        </w:tc>
        <w:tc>
          <w:tcPr>
            <w:tcW w:w="2341" w:type="dxa"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51%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61%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78%</w:t>
            </w:r>
          </w:p>
        </w:tc>
        <w:tc>
          <w:tcPr>
            <w:tcW w:w="2666" w:type="dxa"/>
            <w:tcBorders>
              <w:bottom w:val="single" w:sz="12" w:space="0" w:color="auto"/>
            </w:tcBorders>
          </w:tcPr>
          <w:p w:rsidR="00AD7791" w:rsidRPr="0084543C" w:rsidRDefault="00AD7791" w:rsidP="00AD7791">
            <w:pPr>
              <w:pStyle w:val="TableText"/>
              <w:spacing w:before="32" w:after="16"/>
              <w:jc w:val="center"/>
            </w:pPr>
            <w:r w:rsidRPr="0084543C">
              <w:t>97%</w:t>
            </w:r>
          </w:p>
        </w:tc>
      </w:tr>
    </w:tbl>
    <w:p w:rsidR="00AD7791" w:rsidRDefault="00AD7791" w:rsidP="00AD7791">
      <w:pPr>
        <w:pStyle w:val="TableNote"/>
        <w:ind w:left="180"/>
      </w:pPr>
      <w:r>
        <w:t>CT=Computed tomography; MRI=magnetic resonance imaging; N=nodal stage.</w:t>
      </w:r>
    </w:p>
    <w:sectPr w:rsidR="00AD7791" w:rsidSect="00EF425D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25" w:rsidRDefault="00583925">
      <w:r>
        <w:separator/>
      </w:r>
    </w:p>
  </w:endnote>
  <w:endnote w:type="continuationSeparator" w:id="1">
    <w:p w:rsidR="00583925" w:rsidRDefault="0058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5D" w:rsidRDefault="00EF425D" w:rsidP="00EF425D">
    <w:pPr>
      <w:pStyle w:val="PageNumber"/>
    </w:pPr>
    <w:r>
      <w:t>C-</w:t>
    </w:r>
    <w:r w:rsidR="00CA08DF">
      <w:t>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25" w:rsidRDefault="00583925">
      <w:r>
        <w:separator/>
      </w:r>
    </w:p>
  </w:footnote>
  <w:footnote w:type="continuationSeparator" w:id="1">
    <w:p w:rsidR="00583925" w:rsidRDefault="0058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091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925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7E4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8DF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56A6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25D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560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2014-10-11T09:01:00Z</dcterms:created>
  <dcterms:modified xsi:type="dcterms:W3CDTF">2014-10-11T10:21:00Z</dcterms:modified>
</cp:coreProperties>
</file>