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91" w:rsidRDefault="00AD7791" w:rsidP="00AD7791">
      <w:pPr>
        <w:pStyle w:val="TableTitle"/>
        <w:pageBreakBefore/>
        <w:tabs>
          <w:tab w:val="left" w:pos="1350"/>
        </w:tabs>
        <w:spacing w:after="20"/>
        <w:ind w:left="90"/>
      </w:pPr>
      <w:bookmarkStart w:id="0" w:name="_Ref366053520"/>
      <w:bookmarkStart w:id="1" w:name="_Ref363028595"/>
      <w:bookmarkStart w:id="2" w:name="_Toc363826561"/>
      <w:bookmarkStart w:id="3" w:name="_Toc365038559"/>
      <w:r w:rsidRPr="00F90BAD">
        <w:t>Table C-</w:t>
      </w:r>
      <w:r>
        <w:rPr>
          <w:noProof/>
        </w:rPr>
        <w:t>18</w:t>
      </w:r>
      <w:bookmarkEnd w:id="0"/>
      <w:r>
        <w:rPr>
          <w:noProof/>
        </w:rPr>
        <w:t>a</w:t>
      </w:r>
      <w:r w:rsidRPr="00F90BAD">
        <w:t>.</w:t>
      </w:r>
      <w:bookmarkEnd w:id="1"/>
      <w:r w:rsidRPr="00F90BAD">
        <w:tab/>
        <w:t>Reported data: MRI versus ERUS for rectal staging N</w:t>
      </w:r>
      <w:bookmarkEnd w:id="2"/>
      <w:bookmarkEnd w:id="3"/>
    </w:p>
    <w:tbl>
      <w:tblPr>
        <w:tblW w:w="12960" w:type="dxa"/>
        <w:tblInd w:w="78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3"/>
        <w:gridCol w:w="1675"/>
        <w:gridCol w:w="1587"/>
        <w:gridCol w:w="1499"/>
        <w:gridCol w:w="1236"/>
        <w:gridCol w:w="1323"/>
        <w:gridCol w:w="1587"/>
      </w:tblGrid>
      <w:tr w:rsidR="00AD7791" w:rsidTr="00AD7791">
        <w:trPr>
          <w:cantSplit/>
          <w:trHeight w:val="20"/>
          <w:tblHeader/>
        </w:trPr>
        <w:tc>
          <w:tcPr>
            <w:tcW w:w="414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0" w:after="15"/>
              <w:rPr>
                <w:b/>
              </w:rPr>
            </w:pPr>
            <w:r w:rsidRPr="007A61BD">
              <w:rPr>
                <w:b/>
              </w:rPr>
              <w:t>Study</w:t>
            </w:r>
            <w:r>
              <w:rPr>
                <w:b/>
              </w:rPr>
              <w:t xml:space="preserve">, </w:t>
            </w:r>
          </w:p>
          <w:p w:rsidR="00AD7791" w:rsidRDefault="00AD7791" w:rsidP="00AD7791">
            <w:pPr>
              <w:pStyle w:val="TableText"/>
              <w:spacing w:before="30" w:after="15"/>
              <w:rPr>
                <w:b/>
              </w:rPr>
            </w:pPr>
            <w:r>
              <w:rPr>
                <w:b/>
              </w:rPr>
              <w:t xml:space="preserve">N Patients, </w:t>
            </w:r>
          </w:p>
          <w:p w:rsidR="00AD7791" w:rsidRPr="007A61BD" w:rsidRDefault="00AD7791" w:rsidP="00AD7791">
            <w:pPr>
              <w:pStyle w:val="TableText"/>
              <w:spacing w:before="30" w:after="15"/>
              <w:rPr>
                <w:b/>
              </w:rPr>
            </w:pPr>
            <w:r>
              <w:rPr>
                <w:b/>
              </w:rPr>
              <w:t>Author’s Conclusion</w:t>
            </w:r>
          </w:p>
        </w:tc>
        <w:tc>
          <w:tcPr>
            <w:tcW w:w="17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7A61BD" w:rsidRDefault="00AD7791" w:rsidP="00AD7791">
            <w:pPr>
              <w:pStyle w:val="TableText"/>
              <w:spacing w:before="30" w:after="15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0" w:after="15"/>
              <w:jc w:val="center"/>
              <w:rPr>
                <w:b/>
              </w:rPr>
            </w:pPr>
            <w:r w:rsidRPr="007A61BD">
              <w:rPr>
                <w:b/>
              </w:rPr>
              <w:t>MRI</w:t>
            </w:r>
          </w:p>
          <w:p w:rsidR="00AD7791" w:rsidRPr="007A61BD" w:rsidRDefault="00AD7791" w:rsidP="00AD7791">
            <w:pPr>
              <w:pStyle w:val="TableText"/>
              <w:spacing w:before="30" w:after="15"/>
              <w:jc w:val="center"/>
              <w:rPr>
                <w:b/>
              </w:rPr>
            </w:pPr>
            <w:r>
              <w:rPr>
                <w:b/>
              </w:rPr>
              <w:t>Reported N Stage Data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AD7791" w:rsidRDefault="00AD7791" w:rsidP="00AD7791">
            <w:pPr>
              <w:pStyle w:val="TableText"/>
              <w:spacing w:before="30" w:after="15"/>
              <w:jc w:val="center"/>
              <w:rPr>
                <w:b/>
              </w:rPr>
            </w:pPr>
            <w:r w:rsidRPr="007A61BD">
              <w:rPr>
                <w:b/>
              </w:rPr>
              <w:t>ERUS</w:t>
            </w:r>
          </w:p>
          <w:p w:rsidR="00AD7791" w:rsidRPr="007A61BD" w:rsidRDefault="00AD7791" w:rsidP="00AD7791">
            <w:pPr>
              <w:pStyle w:val="TableText"/>
              <w:spacing w:before="30" w:after="15"/>
              <w:jc w:val="center"/>
              <w:rPr>
                <w:b/>
              </w:rPr>
            </w:pPr>
            <w:r>
              <w:rPr>
                <w:b/>
              </w:rPr>
              <w:t>Reported N Stage Data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AD7791" w:rsidRPr="007A61BD" w:rsidRDefault="00AD7791" w:rsidP="00AD7791">
            <w:pPr>
              <w:pStyle w:val="TableText"/>
              <w:spacing w:before="30" w:after="15"/>
              <w:jc w:val="center"/>
              <w:rPr>
                <w:b/>
              </w:rPr>
            </w:pPr>
            <w:r>
              <w:rPr>
                <w:b/>
              </w:rPr>
              <w:t>Stage by Pathology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D7791" w:rsidRPr="007A61BD" w:rsidRDefault="00AD7791" w:rsidP="00AD7791">
            <w:pPr>
              <w:pStyle w:val="TableText"/>
              <w:spacing w:before="30" w:after="15"/>
              <w:jc w:val="center"/>
              <w:rPr>
                <w:b/>
              </w:rPr>
            </w:pPr>
            <w:r>
              <w:rPr>
                <w:b/>
              </w:rPr>
              <w:t>MRI Stage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D7791" w:rsidRPr="007A61BD" w:rsidRDefault="00AD7791" w:rsidP="00AD7791">
            <w:pPr>
              <w:pStyle w:val="TableText"/>
              <w:spacing w:before="30" w:after="15"/>
              <w:jc w:val="center"/>
              <w:rPr>
                <w:b/>
              </w:rPr>
            </w:pPr>
            <w:r>
              <w:rPr>
                <w:b/>
              </w:rPr>
              <w:t>ERUS versus Pathological Stage</w:t>
            </w:r>
          </w:p>
        </w:tc>
      </w:tr>
      <w:tr w:rsidR="00AD7791" w:rsidTr="00AD7791">
        <w:trPr>
          <w:cantSplit/>
          <w:trHeight w:val="20"/>
        </w:trPr>
        <w:tc>
          <w:tcPr>
            <w:tcW w:w="4147" w:type="dxa"/>
            <w:vMerge w:val="restart"/>
            <w:tcBorders>
              <w:top w:val="doub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</w:pPr>
            <w:r>
              <w:t>Yimei et al. 2012</w:t>
            </w:r>
            <w:r w:rsidRPr="00215F35">
              <w:rPr>
                <w:vertAlign w:val="superscript"/>
              </w:rPr>
              <w:t>93</w:t>
            </w:r>
          </w:p>
          <w:p w:rsidR="00AD7791" w:rsidRDefault="00AD7791" w:rsidP="00AD7791">
            <w:pPr>
              <w:pStyle w:val="TableText"/>
              <w:spacing w:before="30" w:after="15"/>
            </w:pPr>
            <w:r>
              <w:t>69 MRI, 60 ERUS</w:t>
            </w:r>
          </w:p>
          <w:p w:rsidR="00AD7791" w:rsidRDefault="00AD7791" w:rsidP="00AD7791">
            <w:pPr>
              <w:pStyle w:val="TableText"/>
              <w:spacing w:before="240" w:after="15"/>
            </w:pPr>
            <w:r>
              <w:t xml:space="preserve">Conclusion: </w:t>
            </w:r>
            <w:r w:rsidRPr="00C12BAC">
              <w:rPr>
                <w:b/>
              </w:rPr>
              <w:t>ERUS is better for early stage, but</w:t>
            </w:r>
            <w:r>
              <w:rPr>
                <w:b/>
              </w:rPr>
              <w:t> </w:t>
            </w:r>
            <w:r w:rsidRPr="00C12BAC">
              <w:rPr>
                <w:b/>
              </w:rPr>
              <w:t>MRI is better for locally advanced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</w:pPr>
            <w:r>
              <w:t>Accuracy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76.8%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70.0%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pN0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N0: 31</w:t>
            </w:r>
          </w:p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N1+2: 4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N0: 31</w:t>
            </w:r>
          </w:p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N1+2: 9</w:t>
            </w:r>
          </w:p>
        </w:tc>
      </w:tr>
      <w:tr w:rsidR="00AD7791" w:rsidTr="00AD7791">
        <w:trPr>
          <w:cantSplit/>
          <w:trHeight w:val="20"/>
        </w:trPr>
        <w:tc>
          <w:tcPr>
            <w:tcW w:w="4147" w:type="dxa"/>
            <w:vMerge/>
          </w:tcPr>
          <w:p w:rsidR="00AD7791" w:rsidRDefault="00AD7791" w:rsidP="00AD7791">
            <w:pPr>
              <w:pStyle w:val="TableText"/>
              <w:spacing w:before="30" w:after="15"/>
            </w:pPr>
          </w:p>
        </w:tc>
        <w:tc>
          <w:tcPr>
            <w:tcW w:w="1710" w:type="dxa"/>
          </w:tcPr>
          <w:p w:rsidR="00AD7791" w:rsidRDefault="00AD7791" w:rsidP="00AD7791">
            <w:pPr>
              <w:pStyle w:val="TableText"/>
              <w:spacing w:before="30" w:after="15"/>
            </w:pPr>
            <w:r>
              <w:t>N0 vs. N1/2</w:t>
            </w:r>
          </w:p>
          <w:p w:rsidR="00AD7791" w:rsidRDefault="00AD7791" w:rsidP="00AD7791">
            <w:pPr>
              <w:pStyle w:val="TableText"/>
              <w:spacing w:before="30" w:after="15"/>
            </w:pPr>
            <w:r>
              <w:t>Sensitivity</w:t>
            </w:r>
          </w:p>
        </w:tc>
        <w:tc>
          <w:tcPr>
            <w:tcW w:w="1620" w:type="dxa"/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64.7%</w:t>
            </w:r>
          </w:p>
        </w:tc>
        <w:tc>
          <w:tcPr>
            <w:tcW w:w="1530" w:type="dxa"/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55.0%</w:t>
            </w:r>
          </w:p>
        </w:tc>
        <w:tc>
          <w:tcPr>
            <w:tcW w:w="1260" w:type="dxa"/>
            <w:vMerge w:val="restart"/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pN1+2</w:t>
            </w:r>
          </w:p>
        </w:tc>
        <w:tc>
          <w:tcPr>
            <w:tcW w:w="1350" w:type="dxa"/>
            <w:vMerge w:val="restart"/>
          </w:tcPr>
          <w:p w:rsidR="00AD7791" w:rsidRPr="002F08C3" w:rsidRDefault="00AD7791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N0: 12</w:t>
            </w:r>
          </w:p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N1+2: 22</w:t>
            </w:r>
          </w:p>
        </w:tc>
        <w:tc>
          <w:tcPr>
            <w:tcW w:w="1620" w:type="dxa"/>
            <w:vMerge w:val="restart"/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N0: 9</w:t>
            </w:r>
          </w:p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N1+2: 11</w:t>
            </w:r>
          </w:p>
        </w:tc>
      </w:tr>
      <w:tr w:rsidR="00AD7791" w:rsidTr="00AD7791">
        <w:trPr>
          <w:cantSplit/>
          <w:trHeight w:val="20"/>
        </w:trPr>
        <w:tc>
          <w:tcPr>
            <w:tcW w:w="4147" w:type="dxa"/>
            <w:vMerge/>
            <w:tcBorders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</w:pPr>
            <w:r>
              <w:t>N0 vs. N1/2</w:t>
            </w:r>
          </w:p>
          <w:p w:rsidR="00AD7791" w:rsidRDefault="00AD7791" w:rsidP="00AD7791">
            <w:pPr>
              <w:pStyle w:val="TableText"/>
              <w:spacing w:before="30" w:after="15"/>
            </w:pPr>
            <w:r>
              <w:t>Specificity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88.6%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77.5%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</w:pPr>
          </w:p>
        </w:tc>
      </w:tr>
      <w:tr w:rsidR="00AD7791" w:rsidTr="00AD7791">
        <w:trPr>
          <w:cantSplit/>
          <w:trHeight w:val="20"/>
        </w:trPr>
        <w:tc>
          <w:tcPr>
            <w:tcW w:w="41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</w:pPr>
            <w:r>
              <w:t>Halefoglu et al. 2008</w:t>
            </w:r>
            <w:r w:rsidRPr="00215F35">
              <w:rPr>
                <w:vertAlign w:val="superscript"/>
              </w:rPr>
              <w:t>228</w:t>
            </w:r>
          </w:p>
          <w:p w:rsidR="00AD7791" w:rsidRDefault="00AD7791" w:rsidP="00AD7791">
            <w:pPr>
              <w:pStyle w:val="TableText"/>
              <w:spacing w:before="30" w:after="15"/>
            </w:pPr>
            <w:r>
              <w:t>34 patients</w:t>
            </w:r>
          </w:p>
          <w:p w:rsidR="00AD7791" w:rsidRDefault="00AD7791" w:rsidP="00AD7791">
            <w:pPr>
              <w:pStyle w:val="TableText"/>
              <w:spacing w:before="240" w:after="15"/>
            </w:pPr>
            <w:r>
              <w:t xml:space="preserve">Conclusion: </w:t>
            </w:r>
            <w:r w:rsidRPr="000E3888">
              <w:rPr>
                <w:b/>
              </w:rPr>
              <w:t>MRI is as good as ERUS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</w:pPr>
            <w:r>
              <w:t>Accuracy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74.50%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76.47%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pN0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N0: 8</w:t>
            </w:r>
          </w:p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N1: 11</w:t>
            </w:r>
          </w:p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N2:0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N0:7</w:t>
            </w:r>
          </w:p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N1: 12</w:t>
            </w:r>
          </w:p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N2: 0</w:t>
            </w:r>
          </w:p>
        </w:tc>
      </w:tr>
      <w:tr w:rsidR="00AD7791" w:rsidTr="00AD7791">
        <w:trPr>
          <w:cantSplit/>
          <w:trHeight w:val="20"/>
        </w:trPr>
        <w:tc>
          <w:tcPr>
            <w:tcW w:w="4147" w:type="dxa"/>
            <w:vMerge/>
            <w:tcBorders>
              <w:top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</w:pPr>
            <w:r>
              <w:t>N0 vs. N1/2</w:t>
            </w:r>
          </w:p>
          <w:p w:rsidR="00AD7791" w:rsidRDefault="00AD7791" w:rsidP="00AD7791">
            <w:pPr>
              <w:pStyle w:val="TableText"/>
              <w:spacing w:before="30" w:after="15"/>
            </w:pPr>
            <w:r>
              <w:t>Sensitivity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61.76%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52.94%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pN1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N0:1</w:t>
            </w:r>
          </w:p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N1: 8</w:t>
            </w:r>
          </w:p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N2: 0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N0: 2</w:t>
            </w:r>
          </w:p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N1: 7</w:t>
            </w:r>
          </w:p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N2: 0</w:t>
            </w:r>
          </w:p>
        </w:tc>
      </w:tr>
      <w:tr w:rsidR="00AD7791" w:rsidTr="00AD7791">
        <w:trPr>
          <w:cantSplit/>
          <w:trHeight w:val="20"/>
        </w:trPr>
        <w:tc>
          <w:tcPr>
            <w:tcW w:w="4147" w:type="dxa"/>
            <w:vMerge/>
            <w:tcBorders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</w:pPr>
            <w:r>
              <w:t>N0 vs. N1/2</w:t>
            </w:r>
          </w:p>
          <w:p w:rsidR="00AD7791" w:rsidRDefault="00AD7791" w:rsidP="00AD7791">
            <w:pPr>
              <w:pStyle w:val="TableText"/>
              <w:spacing w:before="30" w:after="15"/>
            </w:pPr>
            <w:r>
              <w:t>Specificity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80.88%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84.31%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pN2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N0: 1</w:t>
            </w:r>
          </w:p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N1: 0</w:t>
            </w:r>
          </w:p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N2: 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N0: 2</w:t>
            </w:r>
          </w:p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N1: 0</w:t>
            </w:r>
          </w:p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N2:4</w:t>
            </w:r>
          </w:p>
        </w:tc>
      </w:tr>
      <w:tr w:rsidR="00AD7791" w:rsidTr="00AD7791">
        <w:trPr>
          <w:cantSplit/>
          <w:trHeight w:val="20"/>
        </w:trPr>
        <w:tc>
          <w:tcPr>
            <w:tcW w:w="41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</w:pPr>
            <w:r>
              <w:t>Starck et al. 1995</w:t>
            </w:r>
            <w:r w:rsidRPr="00215F35">
              <w:rPr>
                <w:vertAlign w:val="superscript"/>
              </w:rPr>
              <w:t>96</w:t>
            </w:r>
          </w:p>
          <w:p w:rsidR="00AD7791" w:rsidRDefault="00AD7791" w:rsidP="00AD7791">
            <w:pPr>
              <w:pStyle w:val="TableText"/>
              <w:spacing w:before="30" w:after="15"/>
            </w:pPr>
            <w:r>
              <w:t>35 MRI; 34 of these also had ERUS</w:t>
            </w:r>
          </w:p>
          <w:p w:rsidR="00AD7791" w:rsidRDefault="00AD7791" w:rsidP="00AD7791">
            <w:pPr>
              <w:pStyle w:val="TableText"/>
              <w:spacing w:before="240" w:after="15"/>
            </w:pPr>
            <w:r>
              <w:t xml:space="preserve">Conclusion: </w:t>
            </w:r>
            <w:r>
              <w:rPr>
                <w:b/>
              </w:rPr>
              <w:t xml:space="preserve">Neither was reliable for N </w:t>
            </w:r>
            <w:r w:rsidRPr="00FE12FE">
              <w:rPr>
                <w:b/>
              </w:rPr>
              <w:t>stage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</w:pPr>
            <w:r>
              <w:t>Accuracy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72%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71%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pN0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N0: 14</w:t>
            </w:r>
          </w:p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N1+2: 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N0: 13</w:t>
            </w:r>
          </w:p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N1+2: 4</w:t>
            </w:r>
          </w:p>
        </w:tc>
      </w:tr>
      <w:tr w:rsidR="00AD7791" w:rsidTr="00AD7791">
        <w:trPr>
          <w:cantSplit/>
          <w:trHeight w:val="20"/>
        </w:trPr>
        <w:tc>
          <w:tcPr>
            <w:tcW w:w="41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</w:pPr>
            <w:r>
              <w:t>N0 vs. N1/2</w:t>
            </w:r>
          </w:p>
          <w:p w:rsidR="00AD7791" w:rsidRDefault="00AD7791" w:rsidP="00AD7791">
            <w:pPr>
              <w:pStyle w:val="TableText"/>
              <w:spacing w:before="30" w:after="15"/>
            </w:pPr>
            <w:r>
              <w:t>Sensitivity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64.3%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64.3%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pN1+2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D7791" w:rsidRPr="002F08C3" w:rsidRDefault="00AD7791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N0: 5</w:t>
            </w:r>
          </w:p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N1+2: 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N0: 5</w:t>
            </w:r>
          </w:p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N1+2: 9</w:t>
            </w:r>
          </w:p>
        </w:tc>
      </w:tr>
      <w:tr w:rsidR="00AD7791" w:rsidTr="00AD7791">
        <w:trPr>
          <w:cantSplit/>
          <w:trHeight w:val="20"/>
        </w:trPr>
        <w:tc>
          <w:tcPr>
            <w:tcW w:w="41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</w:pPr>
            <w:r>
              <w:t>N0 vs. N1/2</w:t>
            </w:r>
          </w:p>
          <w:p w:rsidR="00AD7791" w:rsidRDefault="00AD7791" w:rsidP="00AD7791">
            <w:pPr>
              <w:pStyle w:val="TableText"/>
              <w:spacing w:before="30" w:after="15"/>
            </w:pPr>
            <w:r>
              <w:t>Specificity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77.8%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76.5%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</w:pPr>
          </w:p>
        </w:tc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</w:pPr>
          </w:p>
        </w:tc>
      </w:tr>
      <w:tr w:rsidR="00AD7791" w:rsidTr="00AD7791">
        <w:trPr>
          <w:cantSplit/>
          <w:trHeight w:val="20"/>
        </w:trPr>
        <w:tc>
          <w:tcPr>
            <w:tcW w:w="41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</w:pPr>
            <w:r>
              <w:t>Thaler et al. 1994</w:t>
            </w:r>
            <w:r w:rsidRPr="00215F35">
              <w:rPr>
                <w:vertAlign w:val="superscript"/>
              </w:rPr>
              <w:t>97</w:t>
            </w:r>
          </w:p>
          <w:p w:rsidR="00AD7791" w:rsidRDefault="00AD7791" w:rsidP="00AD7791">
            <w:pPr>
              <w:pStyle w:val="TableText"/>
              <w:spacing w:before="30" w:after="15"/>
            </w:pPr>
            <w:r>
              <w:t>25 patients</w:t>
            </w:r>
          </w:p>
          <w:p w:rsidR="00AD7791" w:rsidRDefault="00AD7791" w:rsidP="00AD7791">
            <w:pPr>
              <w:pStyle w:val="TableText"/>
              <w:spacing w:before="240" w:after="15"/>
            </w:pPr>
            <w:r>
              <w:t xml:space="preserve">Conclusion: </w:t>
            </w:r>
            <w:r w:rsidRPr="00FE12FE">
              <w:rPr>
                <w:b/>
              </w:rPr>
              <w:t>Neither was reliable for Nstage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</w:pPr>
            <w:r>
              <w:t>Accuracy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60.0%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80.0%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pN0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N0: 10</w:t>
            </w:r>
          </w:p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N1+2: 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N0: 11</w:t>
            </w:r>
          </w:p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N1+2: 0</w:t>
            </w:r>
          </w:p>
        </w:tc>
      </w:tr>
      <w:tr w:rsidR="00AD7791" w:rsidTr="00AD7791">
        <w:trPr>
          <w:cantSplit/>
          <w:trHeight w:val="20"/>
        </w:trPr>
        <w:tc>
          <w:tcPr>
            <w:tcW w:w="41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</w:pPr>
            <w:r>
              <w:t>N0 vs. N1/2</w:t>
            </w:r>
          </w:p>
          <w:p w:rsidR="00AD7791" w:rsidRDefault="00AD7791" w:rsidP="00AD7791">
            <w:pPr>
              <w:pStyle w:val="TableText"/>
              <w:spacing w:before="30" w:after="15"/>
            </w:pPr>
            <w:r>
              <w:t>Sensitivity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35.7%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64.3%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pN1+2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D7791" w:rsidRPr="002F08C3" w:rsidRDefault="00AD7791" w:rsidP="00AD7791">
            <w:pPr>
              <w:spacing w:before="30"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N0: 9</w:t>
            </w:r>
          </w:p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N1+2: 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N0: 5</w:t>
            </w:r>
          </w:p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N1+2: 9</w:t>
            </w:r>
          </w:p>
        </w:tc>
      </w:tr>
      <w:tr w:rsidR="00AD7791" w:rsidTr="00AD7791">
        <w:trPr>
          <w:cantSplit/>
          <w:trHeight w:val="20"/>
        </w:trPr>
        <w:tc>
          <w:tcPr>
            <w:tcW w:w="4147" w:type="dxa"/>
            <w:vMerge/>
            <w:tcBorders>
              <w:top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</w:pPr>
            <w:r>
              <w:t>N0 vs. N1/2</w:t>
            </w:r>
          </w:p>
          <w:p w:rsidR="00AD7791" w:rsidRDefault="00AD7791" w:rsidP="00AD7791">
            <w:pPr>
              <w:pStyle w:val="TableText"/>
              <w:spacing w:before="30" w:after="15"/>
            </w:pPr>
            <w:r>
              <w:t>Specificity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90.9%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  <w:r>
              <w:t>100.0%</w:t>
            </w:r>
          </w:p>
        </w:tc>
        <w:tc>
          <w:tcPr>
            <w:tcW w:w="1260" w:type="dxa"/>
            <w:vMerge/>
            <w:tcBorders>
              <w:top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  <w:jc w:val="center"/>
            </w:pPr>
          </w:p>
        </w:tc>
        <w:tc>
          <w:tcPr>
            <w:tcW w:w="1350" w:type="dxa"/>
            <w:vMerge/>
            <w:tcBorders>
              <w:top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</w:pPr>
          </w:p>
        </w:tc>
        <w:tc>
          <w:tcPr>
            <w:tcW w:w="1620" w:type="dxa"/>
            <w:vMerge/>
            <w:tcBorders>
              <w:top w:val="single" w:sz="4" w:space="0" w:color="auto"/>
            </w:tcBorders>
          </w:tcPr>
          <w:p w:rsidR="00AD7791" w:rsidRDefault="00AD7791" w:rsidP="00AD7791">
            <w:pPr>
              <w:pStyle w:val="TableText"/>
              <w:spacing w:before="30" w:after="15"/>
            </w:pPr>
          </w:p>
        </w:tc>
      </w:tr>
    </w:tbl>
    <w:p w:rsidR="00AD7791" w:rsidRDefault="00AD7791" w:rsidP="00AD7791">
      <w:pPr>
        <w:pStyle w:val="TableNote"/>
        <w:ind w:left="180" w:right="-180"/>
      </w:pPr>
      <w:r>
        <w:t>CI=Confidence interval; ERUS=endorectal ultrasound; MRI=magnetic resonance imaging; N=nodal stage; pN=pathologic nodal stage; pT=pathologic tumor stage; T=tumor stage.</w:t>
      </w:r>
    </w:p>
    <w:p w:rsidR="00AD7791" w:rsidRDefault="00AD7791" w:rsidP="00AD7791">
      <w:pPr>
        <w:pStyle w:val="TableNote"/>
        <w:ind w:left="180" w:right="-180"/>
      </w:pPr>
    </w:p>
    <w:p w:rsidR="00AD7791" w:rsidRDefault="00AD7791" w:rsidP="00771F82">
      <w:pPr>
        <w:pStyle w:val="TableTitle"/>
        <w:tabs>
          <w:tab w:val="left" w:pos="1350"/>
        </w:tabs>
        <w:spacing w:after="20"/>
      </w:pPr>
    </w:p>
    <w:sectPr w:rsidR="00AD7791" w:rsidSect="00771F82">
      <w:footerReference w:type="first" r:id="rId11"/>
      <w:pgSz w:w="15840" w:h="12240" w:orient="landscape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FE8" w:rsidRDefault="00EC4FE8">
      <w:r>
        <w:separator/>
      </w:r>
    </w:p>
  </w:endnote>
  <w:endnote w:type="continuationSeparator" w:id="1">
    <w:p w:rsidR="00EC4FE8" w:rsidRDefault="00EC4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F82" w:rsidRDefault="00771F82" w:rsidP="00771F82">
    <w:pPr>
      <w:pStyle w:val="PageNumber"/>
    </w:pPr>
    <w:r>
      <w:t>C-</w:t>
    </w:r>
    <w:r w:rsidR="00061B26">
      <w:t>31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FE8" w:rsidRDefault="00EC4FE8">
      <w:r>
        <w:separator/>
      </w:r>
    </w:p>
  </w:footnote>
  <w:footnote w:type="continuationSeparator" w:id="1">
    <w:p w:rsidR="00EC4FE8" w:rsidRDefault="00EC4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1B26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138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1F8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0184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08FF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4FE8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1494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2014-10-11T08:30:00Z</dcterms:created>
  <dcterms:modified xsi:type="dcterms:W3CDTF">2014-10-11T10:13:00Z</dcterms:modified>
</cp:coreProperties>
</file>