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Toc363826558"/>
      <w:bookmarkStart w:id="1" w:name="_Toc365038556"/>
      <w:r>
        <w:t>Table C-</w:t>
      </w:r>
      <w:r>
        <w:rPr>
          <w:noProof/>
        </w:rPr>
        <w:t>15</w:t>
      </w:r>
      <w:r>
        <w:t>.</w:t>
      </w:r>
      <w:r>
        <w:tab/>
        <w:t>Patient details: MRI versus ERUS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3352"/>
        <w:gridCol w:w="3353"/>
        <w:gridCol w:w="2903"/>
      </w:tblGrid>
      <w:tr w:rsidR="00AD7791" w:rsidRPr="00EA2445" w:rsidTr="00AD7791">
        <w:trPr>
          <w:cantSplit/>
          <w:trHeight w:val="20"/>
          <w:tblHeader/>
          <w:jc w:val="center"/>
        </w:trPr>
        <w:tc>
          <w:tcPr>
            <w:tcW w:w="33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Study</w:t>
            </w:r>
          </w:p>
        </w:tc>
        <w:tc>
          <w:tcPr>
            <w:tcW w:w="33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Type of C</w:t>
            </w:r>
            <w:r w:rsidRPr="00EA2445">
              <w:rPr>
                <w:b/>
              </w:rPr>
              <w:t>ancer</w:t>
            </w:r>
          </w:p>
        </w:tc>
        <w:tc>
          <w:tcPr>
            <w:tcW w:w="33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Age</w:t>
            </w:r>
          </w:p>
        </w:tc>
        <w:tc>
          <w:tcPr>
            <w:tcW w:w="2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EA2445">
              <w:rPr>
                <w:b/>
              </w:rPr>
              <w:t>% Male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Yimei et al. 2012</w:t>
            </w:r>
            <w:r w:rsidRPr="00215F35">
              <w:rPr>
                <w:vertAlign w:val="superscript"/>
              </w:rPr>
              <w:t>93</w:t>
            </w:r>
          </w:p>
        </w:tc>
        <w:tc>
          <w:tcPr>
            <w:tcW w:w="3352" w:type="dxa"/>
            <w:tcBorders>
              <w:top w:val="doub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  <w:tcBorders>
              <w:top w:val="doub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M</w:t>
            </w:r>
            <w:r w:rsidRPr="00D56F57">
              <w:t>ean</w:t>
            </w:r>
            <w:r>
              <w:t>: 62 years (R</w:t>
            </w:r>
            <w:r w:rsidRPr="00D56F57">
              <w:t>ange</w:t>
            </w:r>
            <w:r>
              <w:t>: 24–</w:t>
            </w:r>
            <w:r w:rsidRPr="00D56F57">
              <w:t>88)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59.7%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Halefoglu et al. 2008</w:t>
            </w:r>
            <w:r w:rsidRPr="00215F35">
              <w:rPr>
                <w:vertAlign w:val="superscript"/>
              </w:rPr>
              <w:t>94</w:t>
            </w:r>
          </w:p>
        </w:tc>
        <w:tc>
          <w:tcPr>
            <w:tcW w:w="3352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Mean: 58.7years (R</w:t>
            </w:r>
            <w:r w:rsidRPr="00D56F57">
              <w:t>ange</w:t>
            </w:r>
            <w:r>
              <w:t>:</w:t>
            </w:r>
            <w:r w:rsidRPr="00D56F57">
              <w:t xml:space="preserve"> 29</w:t>
            </w:r>
            <w:r>
              <w:t>–</w:t>
            </w:r>
            <w:r w:rsidRPr="00D56F57">
              <w:t>75</w:t>
            </w:r>
            <w:r>
              <w:t>)</w:t>
            </w:r>
          </w:p>
        </w:tc>
        <w:tc>
          <w:tcPr>
            <w:tcW w:w="2903" w:type="dxa"/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44.1%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Rafaelsen et al. 2008</w:t>
            </w:r>
            <w:r w:rsidRPr="00215F35">
              <w:rPr>
                <w:vertAlign w:val="superscript"/>
              </w:rPr>
              <w:t>188</w:t>
            </w:r>
          </w:p>
        </w:tc>
        <w:tc>
          <w:tcPr>
            <w:tcW w:w="3352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</w:tcPr>
          <w:p w:rsidR="00AD7791" w:rsidRPr="00F14884" w:rsidRDefault="00AD7791" w:rsidP="00AD7791">
            <w:pPr>
              <w:pStyle w:val="TableText"/>
              <w:spacing w:before="32" w:after="16"/>
            </w:pPr>
            <w:r>
              <w:t xml:space="preserve">Mean: </w:t>
            </w:r>
            <w:r w:rsidRPr="00F14884">
              <w:t xml:space="preserve">69.1 </w:t>
            </w:r>
            <w:r>
              <w:t xml:space="preserve">years </w:t>
            </w:r>
            <w:r w:rsidRPr="00F14884">
              <w:t>(Range: 38–89)</w:t>
            </w:r>
          </w:p>
        </w:tc>
        <w:tc>
          <w:tcPr>
            <w:tcW w:w="2903" w:type="dxa"/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>
              <w:t>N</w:t>
            </w:r>
            <w:r w:rsidRPr="00D56F57">
              <w:t>ot reported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Bianchi et al. 2005</w:t>
            </w:r>
            <w:r w:rsidRPr="00215F35">
              <w:rPr>
                <w:vertAlign w:val="superscript"/>
              </w:rPr>
              <w:t>95</w:t>
            </w:r>
          </w:p>
        </w:tc>
        <w:tc>
          <w:tcPr>
            <w:tcW w:w="3352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R</w:t>
            </w:r>
            <w:r w:rsidRPr="00D56F57">
              <w:t>esectable rectal cancer</w:t>
            </w:r>
          </w:p>
        </w:tc>
        <w:tc>
          <w:tcPr>
            <w:tcW w:w="3353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M</w:t>
            </w:r>
            <w:r w:rsidRPr="00D56F57">
              <w:t>ean</w:t>
            </w:r>
            <w:r>
              <w:t>: 64years (R</w:t>
            </w:r>
            <w:r w:rsidRPr="00D56F57">
              <w:t>ange</w:t>
            </w:r>
            <w:r>
              <w:t>:</w:t>
            </w:r>
            <w:r w:rsidRPr="00D56F57">
              <w:t xml:space="preserve"> 30</w:t>
            </w:r>
            <w:r>
              <w:t>–</w:t>
            </w:r>
            <w:r w:rsidRPr="00D56F57">
              <w:t>85</w:t>
            </w:r>
            <w:r>
              <w:t>)</w:t>
            </w:r>
          </w:p>
        </w:tc>
        <w:tc>
          <w:tcPr>
            <w:tcW w:w="2903" w:type="dxa"/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>
              <w:t>N</w:t>
            </w:r>
            <w:r w:rsidRPr="00D56F57">
              <w:t>ot reported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Brown et al. 2004</w:t>
            </w:r>
            <w:r w:rsidRPr="00215F35">
              <w:rPr>
                <w:vertAlign w:val="superscript"/>
              </w:rPr>
              <w:t>125</w:t>
            </w:r>
          </w:p>
        </w:tc>
        <w:tc>
          <w:tcPr>
            <w:tcW w:w="3352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D56F57">
              <w:t>rimary rectal</w:t>
            </w:r>
          </w:p>
        </w:tc>
        <w:tc>
          <w:tcPr>
            <w:tcW w:w="3353" w:type="dxa"/>
          </w:tcPr>
          <w:p w:rsidR="00AD7791" w:rsidRPr="00C37E18" w:rsidRDefault="00AD7791" w:rsidP="00AD7791">
            <w:pPr>
              <w:pStyle w:val="TableText"/>
              <w:spacing w:before="32" w:after="16"/>
            </w:pPr>
            <w:r w:rsidRPr="00C37E18">
              <w:t>Range: 28–89</w:t>
            </w:r>
          </w:p>
        </w:tc>
        <w:tc>
          <w:tcPr>
            <w:tcW w:w="2903" w:type="dxa"/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73.5%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Starck et al. 1995</w:t>
            </w:r>
            <w:r w:rsidRPr="00215F35">
              <w:rPr>
                <w:vertAlign w:val="superscript"/>
              </w:rPr>
              <w:t>96</w:t>
            </w:r>
          </w:p>
        </w:tc>
        <w:tc>
          <w:tcPr>
            <w:tcW w:w="3352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Mean</w:t>
            </w:r>
            <w:r>
              <w:t>: 68 years (R</w:t>
            </w:r>
            <w:r w:rsidRPr="00D56F57">
              <w:t>ange</w:t>
            </w:r>
            <w:r>
              <w:t>:</w:t>
            </w:r>
            <w:r w:rsidRPr="00D56F57">
              <w:t xml:space="preserve"> 47</w:t>
            </w:r>
            <w:r>
              <w:t>–</w:t>
            </w:r>
            <w:r w:rsidRPr="00D56F57">
              <w:t>84)</w:t>
            </w:r>
          </w:p>
        </w:tc>
        <w:tc>
          <w:tcPr>
            <w:tcW w:w="2903" w:type="dxa"/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68%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Thaler et al. 1994</w:t>
            </w:r>
            <w:r w:rsidRPr="00215F35">
              <w:rPr>
                <w:vertAlign w:val="superscript"/>
              </w:rPr>
              <w:t>97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Mean: 68.9 years (R</w:t>
            </w:r>
            <w:r w:rsidRPr="00D56F57">
              <w:t>ange</w:t>
            </w:r>
            <w:r>
              <w:t>:</w:t>
            </w:r>
            <w:r w:rsidRPr="00D56F57">
              <w:t xml:space="preserve"> 52</w:t>
            </w:r>
            <w:r>
              <w:t>–</w:t>
            </w:r>
            <w:r w:rsidRPr="00D56F57">
              <w:t>86</w:t>
            </w:r>
            <w:r>
              <w:t>)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67.8%</w:t>
            </w:r>
          </w:p>
        </w:tc>
      </w:tr>
      <w:tr w:rsidR="00AD7791" w:rsidRPr="00D56F57" w:rsidTr="00AD7791">
        <w:trPr>
          <w:cantSplit/>
          <w:trHeight w:val="300"/>
          <w:jc w:val="center"/>
        </w:trPr>
        <w:tc>
          <w:tcPr>
            <w:tcW w:w="3352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Waizer et al. 1991</w:t>
            </w:r>
            <w:r w:rsidRPr="00215F35">
              <w:rPr>
                <w:vertAlign w:val="superscript"/>
              </w:rPr>
              <w:t>98</w:t>
            </w:r>
          </w:p>
        </w:tc>
        <w:tc>
          <w:tcPr>
            <w:tcW w:w="3352" w:type="dxa"/>
            <w:tcBorders>
              <w:bottom w:val="single" w:sz="12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 w:rsidRPr="00D56F57">
              <w:t>Primary rectal</w:t>
            </w:r>
          </w:p>
        </w:tc>
        <w:tc>
          <w:tcPr>
            <w:tcW w:w="3353" w:type="dxa"/>
            <w:tcBorders>
              <w:bottom w:val="single" w:sz="12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</w:pPr>
            <w:r>
              <w:t>Mean: 66 years (R</w:t>
            </w:r>
            <w:r w:rsidRPr="00D56F57">
              <w:t>ange</w:t>
            </w:r>
            <w:r>
              <w:t>:</w:t>
            </w:r>
            <w:r w:rsidRPr="00D56F57">
              <w:t xml:space="preserve"> 60</w:t>
            </w:r>
            <w:r>
              <w:t>–</w:t>
            </w:r>
            <w:r w:rsidRPr="00D56F57">
              <w:t>80</w:t>
            </w:r>
            <w:r>
              <w:t>)</w:t>
            </w:r>
          </w:p>
        </w:tc>
        <w:tc>
          <w:tcPr>
            <w:tcW w:w="2903" w:type="dxa"/>
            <w:tcBorders>
              <w:bottom w:val="single" w:sz="12" w:space="0" w:color="auto"/>
            </w:tcBorders>
          </w:tcPr>
          <w:p w:rsidR="00AD7791" w:rsidRPr="00D56F57" w:rsidRDefault="00AD7791" w:rsidP="00AD7791">
            <w:pPr>
              <w:pStyle w:val="TableText"/>
              <w:spacing w:before="32" w:after="16"/>
              <w:jc w:val="center"/>
            </w:pPr>
            <w:r w:rsidRPr="00D56F57">
              <w:t>33.3%</w:t>
            </w:r>
          </w:p>
        </w:tc>
      </w:tr>
    </w:tbl>
    <w:p w:rsidR="00AD7791" w:rsidRDefault="00AD7791" w:rsidP="00AD7791">
      <w:pPr>
        <w:pStyle w:val="TableNote"/>
      </w:pPr>
    </w:p>
    <w:sectPr w:rsidR="00AD7791" w:rsidSect="00FC2669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FF" w:rsidRDefault="00EA1AFF">
      <w:r>
        <w:separator/>
      </w:r>
    </w:p>
  </w:endnote>
  <w:endnote w:type="continuationSeparator" w:id="1">
    <w:p w:rsidR="00EA1AFF" w:rsidRDefault="00EA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69" w:rsidRDefault="00FC2669" w:rsidP="00FC2669">
    <w:pPr>
      <w:pStyle w:val="PageNumber"/>
    </w:pPr>
    <w:r>
      <w:t>C-</w:t>
    </w:r>
    <w:r w:rsidR="001E2721"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FF" w:rsidRDefault="00EA1AFF">
      <w:r>
        <w:separator/>
      </w:r>
    </w:p>
  </w:footnote>
  <w:footnote w:type="continuationSeparator" w:id="1">
    <w:p w:rsidR="00EA1AFF" w:rsidRDefault="00EA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96FB5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1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C0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5D44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1AFF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66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678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2014-10-11T08:26:00Z</dcterms:created>
  <dcterms:modified xsi:type="dcterms:W3CDTF">2014-10-11T10:11:00Z</dcterms:modified>
</cp:coreProperties>
</file>