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B83C71" w:rsidRDefault="00936C13" w:rsidP="00936C13">
      <w:pPr>
        <w:pStyle w:val="TableTitle"/>
        <w:pageBreakBefore/>
        <w:tabs>
          <w:tab w:val="left" w:pos="900"/>
        </w:tabs>
        <w:spacing w:after="40"/>
      </w:pPr>
      <w:bookmarkStart w:id="0" w:name="_Ref326325217"/>
      <w:bookmarkStart w:id="1" w:name="_Ref326679686"/>
      <w:bookmarkStart w:id="2" w:name="_Ref325109984"/>
      <w:bookmarkStart w:id="3" w:name="_Toc345083137"/>
      <w:bookmarkStart w:id="4" w:name="_Toc351988132"/>
      <w:bookmarkStart w:id="5" w:name="_Toc354402735"/>
      <w:bookmarkStart w:id="6" w:name="_Toc354402793"/>
      <w:bookmarkStart w:id="7" w:name="_Toc354402851"/>
      <w:r w:rsidRPr="00423840">
        <w:t xml:space="preserve">Table </w:t>
      </w:r>
      <w:r>
        <w:t>F20</w:t>
      </w:r>
      <w:bookmarkEnd w:id="0"/>
      <w:bookmarkEnd w:id="1"/>
      <w:r w:rsidRPr="00423840">
        <w:t>.</w:t>
      </w:r>
      <w:r>
        <w:t xml:space="preserve"> Key Q</w:t>
      </w:r>
      <w:r w:rsidRPr="00423840">
        <w:t>uestion 2</w:t>
      </w:r>
      <w:r>
        <w:t>:</w:t>
      </w:r>
      <w:r w:rsidRPr="00423840">
        <w:t xml:space="preserve"> </w:t>
      </w:r>
      <w:r>
        <w:t>mental h</w:t>
      </w:r>
      <w:r w:rsidRPr="00423840">
        <w:t xml:space="preserve">ealth </w:t>
      </w:r>
      <w:r>
        <w:t>s</w:t>
      </w:r>
      <w:r w:rsidRPr="00423840">
        <w:t xml:space="preserve">ervice </w:t>
      </w:r>
      <w:r>
        <w:t>use</w:t>
      </w:r>
      <w:r w:rsidRPr="00423840">
        <w:t xml:space="preserve"> </w:t>
      </w:r>
      <w:r>
        <w:t>u</w:t>
      </w:r>
      <w:r w:rsidRPr="00423840">
        <w:t xml:space="preserve">pon </w:t>
      </w:r>
      <w:r>
        <w:t>r</w:t>
      </w:r>
      <w:r w:rsidRPr="00423840">
        <w:t>elease</w:t>
      </w:r>
      <w:bookmarkEnd w:id="2"/>
      <w:bookmarkEnd w:id="3"/>
      <w:bookmarkEnd w:id="4"/>
      <w:bookmarkEnd w:id="5"/>
      <w:bookmarkEnd w:id="6"/>
      <w:bookmarkEnd w:id="7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388"/>
        <w:gridCol w:w="1860"/>
        <w:gridCol w:w="1860"/>
        <w:gridCol w:w="1110"/>
        <w:gridCol w:w="1466"/>
        <w:gridCol w:w="2847"/>
        <w:gridCol w:w="2847"/>
      </w:tblGrid>
      <w:tr w:rsidR="00936C13" w:rsidRPr="00EB134A" w:rsidTr="00936C13">
        <w:trPr>
          <w:cantSplit/>
          <w:trHeight w:val="20"/>
          <w:tblHeader/>
        </w:trPr>
        <w:tc>
          <w:tcPr>
            <w:tcW w:w="51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EB134A" w:rsidRDefault="00936C13" w:rsidP="00936C13">
            <w:pPr>
              <w:pStyle w:val="TableColumnHead"/>
              <w:spacing w:before="40" w:after="40"/>
            </w:pPr>
            <w:r w:rsidRPr="00EB134A">
              <w:t>Study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EB134A" w:rsidRDefault="00936C13" w:rsidP="00936C13">
            <w:pPr>
              <w:pStyle w:val="TableColumnHead"/>
              <w:spacing w:before="40" w:after="40"/>
            </w:pPr>
            <w:r w:rsidRPr="00EB134A">
              <w:t>Group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EB134A" w:rsidRDefault="00936C13" w:rsidP="00936C13">
            <w:pPr>
              <w:pStyle w:val="TableColumnHead"/>
              <w:spacing w:before="40" w:after="40"/>
            </w:pPr>
            <w:r w:rsidRPr="00EB134A">
              <w:t>Outcome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EB134A" w:rsidRDefault="00936C13" w:rsidP="00936C13">
            <w:pPr>
              <w:pStyle w:val="TableColumnHead"/>
              <w:spacing w:before="40" w:after="40"/>
            </w:pPr>
            <w:r w:rsidRPr="00EB134A">
              <w:t>N</w:t>
            </w:r>
            <w:r>
              <w:t xml:space="preserve"> </w:t>
            </w:r>
            <w:r w:rsidRPr="00EB134A">
              <w:t>at Pre-treatment/</w:t>
            </w:r>
            <w:r w:rsidRPr="00EB134A">
              <w:br/>
              <w:t>Total N in Group (%)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EB134A" w:rsidRDefault="00936C13" w:rsidP="00936C13">
            <w:pPr>
              <w:pStyle w:val="TableColumnHead"/>
              <w:spacing w:before="40" w:after="40"/>
            </w:pPr>
            <w:r>
              <w:t>Mean (SD) or N at 3</w:t>
            </w:r>
            <w:r>
              <w:noBreakHyphen/>
              <w:t>month Follow</w:t>
            </w:r>
            <w:r w:rsidRPr="00EB134A">
              <w:t>up/</w:t>
            </w:r>
            <w:r w:rsidRPr="00EB134A">
              <w:br/>
              <w:t>Total N</w:t>
            </w:r>
            <w:r>
              <w:t xml:space="preserve"> i</w:t>
            </w:r>
            <w:r w:rsidRPr="00EB134A">
              <w:t>n Group (%)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EB134A" w:rsidRDefault="00936C13" w:rsidP="00936C13">
            <w:pPr>
              <w:pStyle w:val="TableColumnHead"/>
              <w:spacing w:before="40" w:after="40"/>
            </w:pPr>
            <w:r>
              <w:t xml:space="preserve">EPC-Calculated Between-Group </w:t>
            </w:r>
            <w:r w:rsidRPr="00EB134A">
              <w:t>Effect Size</w:t>
            </w:r>
            <w:r w:rsidRPr="00EB134A">
              <w:br/>
              <w:t>Odds Ratio (95% CI), p-Value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Author Reported R</w:t>
            </w:r>
            <w:r w:rsidRPr="00F67E51">
              <w:t>esults</w:t>
            </w:r>
          </w:p>
        </w:tc>
      </w:tr>
      <w:tr w:rsidR="00936C13" w:rsidRPr="00ED6EF4" w:rsidTr="00936C13">
        <w:trPr>
          <w:cantSplit/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Theurer and Lovell, 2008</w:t>
            </w:r>
            <w:r w:rsidRPr="00C9293B">
              <w:rPr>
                <w:vertAlign w:val="superscript"/>
              </w:rPr>
              <w:t>78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MIOCTP (64)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MH service use in first 90 days post-release (total hours)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NA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92 hours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Comparison was to larger control group so no effect size was calculated.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MIOCTP participants generally received pre-release services and continued service upon release, whereas pre-release services were rare and long delays were common for control subjects.</w:t>
            </w:r>
          </w:p>
        </w:tc>
      </w:tr>
      <w:tr w:rsidR="00936C13" w:rsidRPr="00ED6EF4" w:rsidTr="00936C13">
        <w:trPr>
          <w:cantSplit/>
          <w:trHeight w:val="692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Residential MH program residency while in prison; TAU upon release (287)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5.5 hours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ED6EF4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MIOCTP (64)</w:t>
            </w:r>
          </w:p>
        </w:tc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Average hours per service month in the first year post-prison</w:t>
            </w: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25 hours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Comparison was to larger control group so no effect size was calculated.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Once treatment was started, it was steadier and more intense for the MIOCTP participants than for controls.</w:t>
            </w:r>
          </w:p>
        </w:tc>
      </w:tr>
      <w:tr w:rsidR="00936C13" w:rsidRPr="00ED6EF4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Residential MH program residency while in prison; TAU upon release (287)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2.5 hours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ED6EF4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MIOCTP (64)</w:t>
            </w:r>
          </w:p>
        </w:tc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Mean days from release date to first community MH service receipt</w:t>
            </w: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 xml:space="preserve">2.3 days 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Comparison was to larger control group so no effect size was calculated.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MIOCTP participants generally received pre-release services and continued service upon release, whereas pre-release services were rare and long delays were common for control subjects.</w:t>
            </w:r>
          </w:p>
        </w:tc>
      </w:tr>
      <w:tr w:rsidR="00936C13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Residential MH program residency while in prison; TAU upon release (2,870)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D6EF4" w:rsidRDefault="00936C13" w:rsidP="00936C13">
            <w:pPr>
              <w:pStyle w:val="TableLeftText"/>
              <w:spacing w:before="40" w:after="40"/>
            </w:pPr>
            <w:r w:rsidRPr="00ED6EF4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EB134A" w:rsidRDefault="00936C13" w:rsidP="00936C13">
            <w:pPr>
              <w:pStyle w:val="TableLeftText"/>
              <w:spacing w:before="40" w:after="40"/>
            </w:pPr>
            <w:r w:rsidRPr="00ED6EF4">
              <w:t xml:space="preserve">185 days 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B134A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EB134A" w:rsidRDefault="00936C13" w:rsidP="00936C13">
            <w:pPr>
              <w:pStyle w:val="TableLeftText"/>
              <w:spacing w:before="40" w:after="40"/>
            </w:pPr>
          </w:p>
        </w:tc>
      </w:tr>
    </w:tbl>
    <w:p w:rsidR="002C41D9" w:rsidRDefault="002C41D9">
      <w:r>
        <w:br w:type="page"/>
      </w:r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388"/>
        <w:gridCol w:w="1860"/>
        <w:gridCol w:w="1860"/>
        <w:gridCol w:w="1110"/>
        <w:gridCol w:w="1466"/>
        <w:gridCol w:w="2847"/>
        <w:gridCol w:w="2847"/>
      </w:tblGrid>
      <w:tr w:rsidR="002C41D9" w:rsidRPr="00EB134A" w:rsidTr="002C41D9"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6A7E9D" w:rsidRDefault="002C41D9" w:rsidP="00AA7C1A">
            <w:pPr>
              <w:pStyle w:val="TableTitle"/>
              <w:tabs>
                <w:tab w:val="left" w:pos="900"/>
              </w:tabs>
              <w:spacing w:before="0"/>
              <w:rPr>
                <w:rFonts w:eastAsia="Times New Roman"/>
              </w:rPr>
            </w:pPr>
            <w:r w:rsidRPr="00423840">
              <w:lastRenderedPageBreak/>
              <w:t xml:space="preserve">Table </w:t>
            </w:r>
            <w:r>
              <w:t>F20</w:t>
            </w:r>
            <w:r w:rsidRPr="00423840">
              <w:t>.</w:t>
            </w:r>
            <w:r>
              <w:t xml:space="preserve"> Key Q</w:t>
            </w:r>
            <w:r w:rsidRPr="00423840">
              <w:t>uestion 2</w:t>
            </w:r>
            <w:r>
              <w:t>:</w:t>
            </w:r>
            <w:r w:rsidRPr="00423840">
              <w:t xml:space="preserve"> </w:t>
            </w:r>
            <w:r>
              <w:t>mental h</w:t>
            </w:r>
            <w:r w:rsidRPr="00423840">
              <w:t xml:space="preserve">ealth </w:t>
            </w:r>
            <w:r>
              <w:t>s</w:t>
            </w:r>
            <w:r w:rsidRPr="00423840">
              <w:t xml:space="preserve">ervice </w:t>
            </w:r>
            <w:r>
              <w:t>use</w:t>
            </w:r>
            <w:r w:rsidRPr="00423840">
              <w:t xml:space="preserve"> </w:t>
            </w:r>
            <w:r>
              <w:t>u</w:t>
            </w:r>
            <w:r w:rsidRPr="00423840">
              <w:t xml:space="preserve">pon </w:t>
            </w:r>
            <w:r>
              <w:t>r</w:t>
            </w:r>
            <w:r w:rsidRPr="00423840">
              <w:t>elease</w:t>
            </w:r>
            <w:r>
              <w:t xml:space="preserve"> (continued)</w:t>
            </w:r>
          </w:p>
        </w:tc>
      </w:tr>
      <w:tr w:rsidR="002C41D9" w:rsidRPr="00EB134A" w:rsidTr="002C41D9">
        <w:trPr>
          <w:cantSplit/>
          <w:trHeight w:val="20"/>
          <w:tblHeader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  <w:color w:val="000000"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</w:rPr>
            </w:pPr>
            <w:r w:rsidRPr="006A7E9D">
              <w:rPr>
                <w:b/>
              </w:rPr>
              <w:t>Group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</w:rPr>
            </w:pPr>
            <w:r w:rsidRPr="006A7E9D">
              <w:rPr>
                <w:b/>
              </w:rPr>
              <w:t>Outcome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</w:rPr>
            </w:pPr>
            <w:r w:rsidRPr="006A7E9D">
              <w:rPr>
                <w:b/>
              </w:rPr>
              <w:t>N at Pre-treatment/</w:t>
            </w:r>
            <w:r w:rsidRPr="006A7E9D">
              <w:rPr>
                <w:b/>
              </w:rPr>
              <w:br/>
              <w:t>Total N in Group (%)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</w:rPr>
            </w:pPr>
            <w:r w:rsidRPr="006A7E9D">
              <w:rPr>
                <w:b/>
              </w:rPr>
              <w:t>Mean (SD) or N at 3</w:t>
            </w:r>
            <w:r w:rsidRPr="006A7E9D">
              <w:rPr>
                <w:b/>
              </w:rPr>
              <w:noBreakHyphen/>
              <w:t>month Followup/</w:t>
            </w:r>
            <w:r w:rsidRPr="006A7E9D">
              <w:rPr>
                <w:b/>
              </w:rPr>
              <w:br/>
              <w:t>Total N in Group (%)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</w:rPr>
            </w:pPr>
            <w:r w:rsidRPr="006A7E9D">
              <w:rPr>
                <w:b/>
              </w:rPr>
              <w:t>EPC-Calculated Between-Group Effect Size</w:t>
            </w:r>
            <w:r w:rsidRPr="006A7E9D">
              <w:rPr>
                <w:b/>
              </w:rPr>
              <w:br/>
              <w:t>Odds Ratio (95% CI), p-Value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E9D" w:rsidRPr="006A7E9D" w:rsidRDefault="006A7E9D" w:rsidP="00AA7C1A">
            <w:pPr>
              <w:pStyle w:val="TableLeftText"/>
              <w:jc w:val="center"/>
              <w:rPr>
                <w:b/>
              </w:rPr>
            </w:pPr>
            <w:r w:rsidRPr="006A7E9D">
              <w:rPr>
                <w:b/>
              </w:rPr>
              <w:t>Author Reported Results</w:t>
            </w: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rPr>
                <w:color w:val="000000"/>
              </w:rPr>
              <w:t>Wenzlow et al., 2011</w:t>
            </w:r>
            <w:r w:rsidRPr="00C9293B">
              <w:rPr>
                <w:color w:val="000000"/>
                <w:vertAlign w:val="superscript"/>
              </w:rPr>
              <w:t>79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Medicaid enrollment on day of discharge or soon thereafter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% using any Medicaid MH service ≤90 days of release</w:t>
            </w:r>
            <w:r>
              <w:t xml:space="preserve"> (calculations are based on intent-to-treat analysis)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NA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18/77(23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41D9" w:rsidRPr="00EB134A" w:rsidRDefault="002C41D9" w:rsidP="00AA7C1A">
            <w:pPr>
              <w:pStyle w:val="TableLeftText"/>
            </w:pPr>
            <w:r>
              <w:t xml:space="preserve">Comparison was between pre- and post-intervention periods within the same facilities: </w:t>
            </w:r>
            <w:r w:rsidRPr="00EB134A">
              <w:t>4.27</w:t>
            </w:r>
            <w:r>
              <w:t> </w:t>
            </w:r>
            <w:r w:rsidRPr="00EB134A">
              <w:t xml:space="preserve">(1.98 to 9.24) </w:t>
            </w:r>
            <w:r w:rsidRPr="00EA0F30">
              <w:t>p&lt;0.000</w:t>
            </w:r>
          </w:p>
        </w:tc>
        <w:tc>
          <w:tcPr>
            <w:tcW w:w="10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 w:rsidRPr="00EB134A">
              <w:t>Authors’ calculation: program was associated with a 16% increase in service use, p</w:t>
            </w:r>
            <w:r>
              <w:t>=</w:t>
            </w:r>
            <w:r w:rsidRPr="00EB134A">
              <w:t>0.009; adjusting for age, race, ethnicity, gender, Test of Adult Basic Education score (TABE), length of incarceration</w:t>
            </w:r>
            <w:r>
              <w:t>, and Medicaid status at entry.</w:t>
            </w: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Pre-Medicaid program</w:t>
            </w:r>
            <w:r>
              <w:t>, same facilities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NA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13/195 (7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Medicaid enrollment on day of discharge or soon thereafter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13/195 (7)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18/77 (23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Comparison facilities at same point in time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11/284 (4)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3/130 (2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rPr>
                <w:color w:val="000000"/>
              </w:rPr>
              <w:t>Wenzlow et al., 2011</w:t>
            </w:r>
            <w:r w:rsidRPr="00C9293B">
              <w:rPr>
                <w:color w:val="000000"/>
                <w:vertAlign w:val="superscript"/>
              </w:rPr>
              <w:t>79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Medicaid enrollment on day of discharge or soon thereafter</w:t>
            </w:r>
          </w:p>
        </w:tc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% using outpatient Medicaid MH service ≤90 days of release</w:t>
            </w:r>
            <w:r>
              <w:t xml:space="preserve"> (calculations are based on intent-to-treat analysis)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NA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15/77 (20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>
              <w:t>Comparison was between pre- and post-intervention periods within the same facilities:</w:t>
            </w:r>
          </w:p>
          <w:p w:rsidR="002C41D9" w:rsidRPr="00EB134A" w:rsidRDefault="002C41D9" w:rsidP="00AA7C1A">
            <w:pPr>
              <w:pStyle w:val="TableLeftText"/>
            </w:pPr>
            <w:r w:rsidRPr="00EB134A">
              <w:t>5.00 (2.08 to 11.99</w:t>
            </w:r>
            <w:r w:rsidRPr="00D03E66">
              <w:t xml:space="preserve">) </w:t>
            </w:r>
            <w:r>
              <w:t>p</w:t>
            </w:r>
            <w:r w:rsidRPr="00D03E66">
              <w:t>&lt;0.000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 w:rsidRPr="00EB134A">
              <w:t>Authors’ calculation: program was associated with a 14% increase in service use, p</w:t>
            </w:r>
            <w:r>
              <w:t>=</w:t>
            </w:r>
            <w:r w:rsidRPr="00EB134A">
              <w:t>0.015; adjusting for age, race, ethnicity, gender, Test of Adult Basic Education score (TABE), length of incarceration, and Medicaid status at entry.</w:t>
            </w: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Pre-Medicaid program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9/195 (5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Medicaid enrollment on day of discharge or soon thereafter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9/195 (5</w:t>
            </w:r>
            <w:r>
              <w:t>%</w:t>
            </w:r>
            <w:r w:rsidRPr="00EB134A">
              <w:t>)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15/77 (20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Comparison facilities at same point in time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10/284 (4</w:t>
            </w:r>
            <w:r>
              <w:t>%</w:t>
            </w:r>
            <w:r w:rsidRPr="00EB134A">
              <w:t>)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3/130 (2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rPr>
                <w:color w:val="000000"/>
              </w:rPr>
              <w:t>Wenzlow et al., 2011</w:t>
            </w:r>
            <w:r w:rsidRPr="00C9293B">
              <w:rPr>
                <w:color w:val="000000"/>
                <w:vertAlign w:val="superscript"/>
              </w:rPr>
              <w:t>79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Medicaid enrollment on day of discharge or soon thereafter</w:t>
            </w:r>
          </w:p>
        </w:tc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% using prescription drug Medicaid MH service ≤90</w:t>
            </w:r>
            <w:r>
              <w:t xml:space="preserve"> </w:t>
            </w:r>
            <w:r w:rsidRPr="00EB134A">
              <w:t>days of release</w:t>
            </w:r>
            <w:r>
              <w:t xml:space="preserve"> (calculations are based on intent-to-treat analysis)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NA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11/77 (14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 xml:space="preserve">Comparison was between pre- and post-intervention periods within the same facilities: </w:t>
            </w:r>
            <w:r w:rsidRPr="00EB134A">
              <w:t>5.25</w:t>
            </w:r>
            <w:r>
              <w:t> </w:t>
            </w:r>
            <w:r w:rsidRPr="00EB134A">
              <w:t xml:space="preserve">(1.87 to 14.76) </w:t>
            </w:r>
            <w:r>
              <w:t>p=</w:t>
            </w:r>
            <w:r w:rsidRPr="00EB134A">
              <w:t>0.002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 w:rsidRPr="00EB134A">
              <w:t>Authors’ calculation: program was associated with a 10% increase in service use, p</w:t>
            </w:r>
            <w:r>
              <w:t>=</w:t>
            </w:r>
            <w:r w:rsidRPr="00EB134A">
              <w:t>0.041; adjusting for age, race, ethnicity, gender, Test of Adult Basic Education score (TABE), length of incarceration, and Medicaid status at entry.</w:t>
            </w: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Pre-Medicaid program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6/195 (3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Medicaid enrollment on day of discharge or soon thereafter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6/195 (3</w:t>
            </w:r>
            <w:r>
              <w:t>%</w:t>
            </w:r>
            <w:r w:rsidRPr="00EB134A">
              <w:t>)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11/77 (14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20"/>
        </w:trPr>
        <w:tc>
          <w:tcPr>
            <w:tcW w:w="5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Comparison facilities at same point in time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5/284 (2</w:t>
            </w:r>
            <w:r>
              <w:t>%</w:t>
            </w:r>
            <w:r w:rsidRPr="00EB134A"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 w:rsidRPr="00EB134A">
              <w:t>2/130 (2</w:t>
            </w:r>
            <w:r>
              <w:t>%</w:t>
            </w:r>
            <w:r w:rsidRPr="00EB134A">
              <w:t>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72"/>
        </w:trPr>
        <w:tc>
          <w:tcPr>
            <w:tcW w:w="51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497459" w:rsidRDefault="002C41D9" w:rsidP="00AA7C1A">
            <w:pPr>
              <w:pStyle w:val="TableLeftText"/>
              <w:keepNext/>
              <w:keepLines/>
            </w:pPr>
            <w:r>
              <w:lastRenderedPageBreak/>
              <w:t>Chandler and Spicer, 2006</w:t>
            </w:r>
            <w:r w:rsidRPr="00C9293B">
              <w:rPr>
                <w:vertAlign w:val="superscript"/>
              </w:rPr>
              <w:t>81</w:t>
            </w:r>
            <w: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  <w:keepNext/>
              <w:keepLines/>
            </w:pPr>
            <w:r>
              <w:t>Jail followed by high-fidelity IDDT (103)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>
              <w:t>Received engagement related services within 60 days of release</w:t>
            </w: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497459" w:rsidRDefault="002C41D9" w:rsidP="00AA7C1A">
            <w:pPr>
              <w:pStyle w:val="TableLeftText"/>
            </w:pPr>
            <w:r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497459" w:rsidRDefault="002C41D9" w:rsidP="00AA7C1A">
            <w:pPr>
              <w:pStyle w:val="TableLeftText"/>
            </w:pPr>
            <w:r>
              <w:t>80/103 (77%)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497459" w:rsidRDefault="002C41D9" w:rsidP="00AA7C1A">
            <w:pPr>
              <w:pStyle w:val="TableLeftText"/>
            </w:pPr>
            <w:r>
              <w:t>16.15 (7.70 to 33.87) p=0.000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>
              <w:t>NR</w:t>
            </w:r>
          </w:p>
        </w:tc>
      </w:tr>
      <w:tr w:rsidR="002C41D9" w:rsidRPr="00EB134A" w:rsidTr="00936C13">
        <w:trPr>
          <w:cantSplit/>
          <w:trHeight w:val="71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  <w:keepNext/>
              <w:keepLines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  <w:keepNext/>
              <w:keepLines/>
            </w:pPr>
            <w:r>
              <w:t>Jail followed by TAU (79)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Received engagement related services within 60 days of release</w:t>
            </w: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14/79 (18%)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  <w:tr w:rsidR="002C41D9" w:rsidRPr="00EB134A" w:rsidTr="00936C13">
        <w:trPr>
          <w:cantSplit/>
          <w:trHeight w:val="71"/>
        </w:trPr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Jail followed by high-fidelity IDDT (103)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Outpatient medication service received</w:t>
            </w:r>
          </w:p>
        </w:tc>
        <w:tc>
          <w:tcPr>
            <w:tcW w:w="415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>
              <w:t>82/103 (83%)</w:t>
            </w:r>
          </w:p>
          <w:p w:rsidR="002C41D9" w:rsidRDefault="002C41D9" w:rsidP="00AA7C1A">
            <w:pPr>
              <w:pStyle w:val="TableLeftText"/>
            </w:pPr>
            <w:r>
              <w:t>Schizophrenia: 81.0%</w:t>
            </w:r>
          </w:p>
          <w:p w:rsidR="002C41D9" w:rsidRPr="00EB134A" w:rsidRDefault="002C41D9" w:rsidP="00AA7C1A">
            <w:pPr>
              <w:pStyle w:val="TableLeftText"/>
            </w:pPr>
            <w:r>
              <w:t>Major depression: 79.0%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Pr="00497459" w:rsidRDefault="002C41D9" w:rsidP="00AA7C1A">
            <w:pPr>
              <w:pStyle w:val="TableLeftText"/>
            </w:pPr>
            <w:r>
              <w:t>2.39 (1.24 to 4.63) p=0.01</w:t>
            </w:r>
          </w:p>
        </w:tc>
        <w:tc>
          <w:tcPr>
            <w:tcW w:w="10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>
              <w:t>Chi-square=10.76, p&lt;0.001</w:t>
            </w:r>
          </w:p>
        </w:tc>
      </w:tr>
      <w:tr w:rsidR="002C41D9" w:rsidRPr="00EB134A" w:rsidTr="00936C13">
        <w:trPr>
          <w:cantSplit/>
          <w:trHeight w:val="71"/>
        </w:trPr>
        <w:tc>
          <w:tcPr>
            <w:tcW w:w="519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Jail followed by TAU (79)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Outpatient medication service received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  <w:r>
              <w:t>NA</w:t>
            </w:r>
          </w:p>
        </w:tc>
        <w:tc>
          <w:tcPr>
            <w:tcW w:w="548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Default="002C41D9" w:rsidP="00AA7C1A">
            <w:pPr>
              <w:pStyle w:val="TableLeftText"/>
            </w:pPr>
            <w:r>
              <w:t>49/79 (62.0%)</w:t>
            </w:r>
          </w:p>
          <w:p w:rsidR="002C41D9" w:rsidRDefault="002C41D9" w:rsidP="00AA7C1A">
            <w:pPr>
              <w:pStyle w:val="TableLeftText"/>
            </w:pPr>
            <w:r>
              <w:t>Schizophrenia: 64.0%</w:t>
            </w:r>
          </w:p>
          <w:p w:rsidR="002C41D9" w:rsidRPr="00EB134A" w:rsidRDefault="002C41D9" w:rsidP="00AA7C1A">
            <w:pPr>
              <w:pStyle w:val="TableLeftText"/>
            </w:pPr>
            <w:r>
              <w:t>Major depression: 33.0%</w:t>
            </w:r>
          </w:p>
        </w:tc>
        <w:tc>
          <w:tcPr>
            <w:tcW w:w="1064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  <w:tc>
          <w:tcPr>
            <w:tcW w:w="1064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C41D9" w:rsidRPr="00EB134A" w:rsidRDefault="002C41D9" w:rsidP="00AA7C1A">
            <w:pPr>
              <w:pStyle w:val="TableLeftText"/>
            </w:pPr>
          </w:p>
        </w:tc>
      </w:tr>
    </w:tbl>
    <w:p w:rsidR="00936C13" w:rsidRPr="006D53AC" w:rsidRDefault="00936C13" w:rsidP="00936C13">
      <w:pPr>
        <w:pStyle w:val="TableNote"/>
        <w:tabs>
          <w:tab w:val="left" w:pos="540"/>
        </w:tabs>
        <w:spacing w:before="60" w:after="0"/>
        <w:ind w:right="-252"/>
      </w:pPr>
      <w:r>
        <w:t xml:space="preserve">CI=Confidence interval; IDDT=integrated dual diagnosis treatment; MH=mental health; </w:t>
      </w:r>
      <w:r w:rsidRPr="001B6DED">
        <w:t>MIOCTP</w:t>
      </w:r>
      <w:r>
        <w:t>=</w:t>
      </w:r>
      <w:r w:rsidRPr="001B6DED">
        <w:t>Mentally Ill Offender Community Transition Program</w:t>
      </w:r>
      <w:r>
        <w:t>; N=number; NA=not applicable; NR=not reported; SD=standard deviation; TAU=t</w:t>
      </w:r>
      <w:r w:rsidRPr="006D53AC">
        <w:t>reatment as usual</w:t>
      </w:r>
    </w:p>
    <w:sectPr w:rsidR="00936C13" w:rsidRPr="006D53AC" w:rsidSect="00FC595F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E9" w:rsidRDefault="00D361E9">
      <w:r>
        <w:separator/>
      </w:r>
    </w:p>
  </w:endnote>
  <w:endnote w:type="continuationSeparator" w:id="0">
    <w:p w:rsidR="00D361E9" w:rsidRDefault="00D3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FC595F">
    <w:pPr>
      <w:pStyle w:val="PageNumber"/>
    </w:pPr>
    <w:r>
      <w:t>F</w:t>
    </w:r>
    <w:r w:rsidR="00782280">
      <w:t>-</w:t>
    </w:r>
    <w:fldSimple w:instr=" PAGE   \* MERGEFORMAT ">
      <w:r w:rsidR="00702F80">
        <w:rPr>
          <w:noProof/>
        </w:rPr>
        <w:t>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E9" w:rsidRDefault="00D361E9">
      <w:r>
        <w:separator/>
      </w:r>
    </w:p>
  </w:footnote>
  <w:footnote w:type="continuationSeparator" w:id="0">
    <w:p w:rsidR="00D361E9" w:rsidRDefault="00D3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4C8E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2F80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71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3A4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C35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61E9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595F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74B60-CB3B-429C-BE26-0479C010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2013-09-02T10:17:00Z</dcterms:created>
  <dcterms:modified xsi:type="dcterms:W3CDTF">2013-09-03T10:19:00Z</dcterms:modified>
</cp:coreProperties>
</file>