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7E7465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C5.  KQ1: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ontrol, </w:t>
      </w:r>
      <w:r>
        <w:rPr>
          <w:rFonts w:cs="Arial"/>
          <w:bCs w:val="0"/>
        </w:rPr>
        <w:t>s</w:t>
      </w:r>
      <w:r w:rsidRPr="00D92CDB">
        <w:rPr>
          <w:rFonts w:cs="Arial"/>
          <w:bCs w:val="0"/>
        </w:rPr>
        <w:t xml:space="preserve">tudy </w:t>
      </w:r>
      <w:r>
        <w:rPr>
          <w:rFonts w:cs="Arial"/>
          <w:bCs w:val="0"/>
        </w:rPr>
        <w:t>q</w:t>
      </w:r>
      <w:r w:rsidRPr="00D92CDB">
        <w:rPr>
          <w:rFonts w:cs="Arial"/>
          <w:bCs w:val="0"/>
        </w:rPr>
        <w:t xml:space="preserve">uality </w:t>
      </w:r>
    </w:p>
    <w:tbl>
      <w:tblPr>
        <w:tblW w:w="14760" w:type="dxa"/>
        <w:tblInd w:w="-4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347"/>
        <w:gridCol w:w="1100"/>
        <w:gridCol w:w="856"/>
        <w:gridCol w:w="929"/>
        <w:gridCol w:w="1346"/>
        <w:gridCol w:w="990"/>
        <w:gridCol w:w="990"/>
        <w:gridCol w:w="856"/>
        <w:gridCol w:w="988"/>
        <w:gridCol w:w="1114"/>
        <w:gridCol w:w="1963"/>
        <w:gridCol w:w="1096"/>
        <w:gridCol w:w="1185"/>
      </w:tblGrid>
      <w:tr w:rsidR="00C106B1" w:rsidRPr="00D92CDB" w:rsidTr="00266D88">
        <w:trPr>
          <w:trHeight w:val="450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author</w:t>
            </w: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Random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Random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MDQ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Random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IPD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Allocation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Allocation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MDQ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Allocation</w:t>
            </w:r>
          </w:p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IPD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Blinding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ITT or 10%</w:t>
            </w:r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Similar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High or low quality</w:t>
            </w:r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</w:p>
        </w:tc>
      </w:tr>
      <w:tr w:rsidR="00C106B1" w:rsidRPr="00D92CDB" w:rsidTr="00266D88">
        <w:trPr>
          <w:trHeight w:val="25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Hedenus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2003</w:t>
            </w:r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 (central randomization service)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yes, except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,  unclear for TVE</w:t>
            </w:r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more patients with indolent lymphoma were randomized to placebo and more patients with higher stage of disease were randomized to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Aranesp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high, low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, unclear for TVE</w:t>
            </w:r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full text publication, ODAC documents, IPD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Hernandez 2009</w:t>
            </w:r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yes, except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baseline levels were higher in placebo group, disease stage more advanced in placebo group (stage IV ESA 30%, placebo 43%)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high, low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full text, ODAC documents, IPD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  <w:lang w:val="es-ES"/>
              </w:rPr>
              <w:t>Kotasek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  <w:lang w:val="es-ES"/>
              </w:rPr>
              <w:t xml:space="preserve"> 2003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  <w:lang w:val="es-ES"/>
              </w:rPr>
              <w:t>a,b,c,d,e,f</w:t>
            </w:r>
            <w:proofErr w:type="spellEnd"/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yes, not  for transfusion</w:t>
            </w:r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92CDB">
              <w:rPr>
                <w:rFonts w:ascii="Arial" w:hAnsi="Arial" w:cs="Arial"/>
                <w:sz w:val="16"/>
                <w:szCs w:val="16"/>
              </w:rPr>
              <w:t>slightly</w:t>
            </w:r>
            <w:proofErr w:type="gramEnd"/>
            <w:r w:rsidRPr="00D92CDB">
              <w:rPr>
                <w:rFonts w:ascii="Arial" w:hAnsi="Arial" w:cs="Arial"/>
                <w:sz w:val="16"/>
                <w:szCs w:val="16"/>
              </w:rPr>
              <w:t xml:space="preserve"> higher proportion of patients in the 12 µg group had breast cancer (61%) compared with the other groups, which ranged from 15 to 38%. The 12 µg group had also a slightly higher mean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at baseline (10.4 g/d, compared with the other groups (9.7 to 10.2).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high, low for transfusion</w:t>
            </w:r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full text publication, IPD, ODAC documents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Overgaard 2009 </w:t>
            </w: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 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abstract, ODAC documents, protocol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Pirker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2008</w:t>
            </w:r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yes, except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high, low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full text publication, ODAC documents, IPD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Untch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2011</w:t>
            </w:r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 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abstract, ODAC documents,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IPD,full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text publications</w:t>
            </w:r>
          </w:p>
        </w:tc>
      </w:tr>
      <w:tr w:rsidR="00C106B1" w:rsidRPr="00D92CDB" w:rsidTr="00266D88">
        <w:trPr>
          <w:trHeight w:val="675"/>
        </w:trPr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Vansteenkiste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2002</w:t>
            </w:r>
          </w:p>
          <w:p w:rsidR="00645A60" w:rsidRDefault="00645A60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6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29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34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84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89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115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yes, except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7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high, low for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QoL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645A60" w:rsidRDefault="00C106B1" w:rsidP="007E74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full text publication, ODAC docs, IPD</w:t>
            </w:r>
          </w:p>
        </w:tc>
      </w:tr>
    </w:tbl>
    <w:p w:rsidR="00645A60" w:rsidRDefault="00645A60" w:rsidP="007E7465">
      <w:pPr>
        <w:spacing w:after="0" w:line="240" w:lineRule="auto"/>
        <w:rPr>
          <w:rFonts w:ascii="Arial" w:hAnsi="Arial" w:cs="Arial"/>
        </w:rPr>
      </w:pPr>
    </w:p>
    <w:sectPr w:rsidR="00645A60" w:rsidSect="00910F53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B1" w:rsidRDefault="006E2BB1" w:rsidP="00124C8F">
      <w:r>
        <w:separator/>
      </w:r>
    </w:p>
  </w:endnote>
  <w:endnote w:type="continuationSeparator" w:id="1">
    <w:p w:rsidR="006E2BB1" w:rsidRDefault="006E2BB1" w:rsidP="00124C8F">
      <w:r>
        <w:continuationSeparator/>
      </w:r>
    </w:p>
  </w:endnote>
  <w:endnote w:type="continuationNotice" w:id="2">
    <w:p w:rsidR="006E2BB1" w:rsidRDefault="006E2B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7E7465">
        <w:rPr>
          <w:noProof/>
        </w:rPr>
        <w:t>30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B1" w:rsidRDefault="006E2BB1" w:rsidP="00124C8F">
      <w:r>
        <w:separator/>
      </w:r>
    </w:p>
  </w:footnote>
  <w:footnote w:type="continuationSeparator" w:id="1">
    <w:p w:rsidR="006E2BB1" w:rsidRDefault="006E2BB1" w:rsidP="00124C8F">
      <w:r>
        <w:continuationSeparator/>
      </w:r>
    </w:p>
  </w:footnote>
  <w:footnote w:type="continuationNotice" w:id="2">
    <w:p w:rsidR="006E2BB1" w:rsidRDefault="006E2B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717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2891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2BB1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E7465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0F53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6A79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21A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E6E30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7E74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910F53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7E746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7465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2BAB7-8974-4874-882C-80E8B77CB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1841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2013-05-14T11:24:00Z</dcterms:created>
  <dcterms:modified xsi:type="dcterms:W3CDTF">2013-06-03T05:42:00Z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