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0D3FDC" w:rsidRDefault="002A3F3A" w:rsidP="002A3F3A">
      <w:pPr>
        <w:rPr>
          <w:rFonts w:ascii="Arial Bold" w:eastAsia="Calibri" w:hAnsi="Arial Bold" w:cs="Arial"/>
          <w:caps/>
          <w:sz w:val="28"/>
          <w:szCs w:val="28"/>
        </w:rPr>
      </w:pPr>
      <w:r w:rsidRPr="000D3FDC">
        <w:rPr>
          <w:rFonts w:ascii="Arial Bold" w:eastAsia="Calibri" w:hAnsi="Arial Bold" w:cs="Arial"/>
          <w:b/>
          <w:bCs/>
          <w:caps/>
          <w:sz w:val="28"/>
          <w:szCs w:val="28"/>
        </w:rPr>
        <w:t xml:space="preserve">Table </w:t>
      </w:r>
      <w:r>
        <w:rPr>
          <w:rFonts w:ascii="Arial Bold" w:eastAsia="Calibri" w:hAnsi="Arial Bold" w:cs="Arial"/>
          <w:b/>
          <w:bCs/>
          <w:caps/>
          <w:sz w:val="28"/>
          <w:szCs w:val="28"/>
        </w:rPr>
        <w:t>E</w:t>
      </w:r>
      <w:r w:rsidRPr="000D3FDC">
        <w:rPr>
          <w:rFonts w:ascii="Arial Bold" w:eastAsia="Calibri" w:hAnsi="Arial Bold" w:cs="Arial"/>
          <w:b/>
          <w:bCs/>
          <w:caps/>
          <w:sz w:val="28"/>
          <w:szCs w:val="28"/>
        </w:rPr>
        <w:t>1</w:t>
      </w:r>
      <w:r>
        <w:rPr>
          <w:rFonts w:ascii="Arial Bold" w:eastAsia="Calibri" w:hAnsi="Arial Bold" w:cs="Arial"/>
          <w:b/>
          <w:bCs/>
          <w:caps/>
          <w:sz w:val="28"/>
          <w:szCs w:val="28"/>
        </w:rPr>
        <w:t>5</w:t>
      </w:r>
      <w:r w:rsidRPr="000D3FDC">
        <w:rPr>
          <w:rFonts w:ascii="Arial Bold" w:eastAsia="Calibri" w:hAnsi="Arial Bold" w:cs="Arial"/>
          <w:b/>
          <w:bCs/>
          <w:caps/>
          <w:sz w:val="28"/>
          <w:szCs w:val="28"/>
        </w:rPr>
        <w:t>:  Summary Table of Sublingual Immunotherapy- Study Characteristics, Clinical Outcomes, and Risk of Bias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-SLIT</w:t>
      </w:r>
    </w:p>
    <w:tbl>
      <w:tblPr>
        <w:tblW w:w="543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992"/>
        <w:gridCol w:w="899"/>
        <w:gridCol w:w="1079"/>
        <w:gridCol w:w="899"/>
        <w:gridCol w:w="899"/>
        <w:gridCol w:w="996"/>
        <w:gridCol w:w="899"/>
        <w:gridCol w:w="990"/>
        <w:gridCol w:w="899"/>
        <w:gridCol w:w="813"/>
        <w:gridCol w:w="810"/>
        <w:gridCol w:w="990"/>
        <w:gridCol w:w="630"/>
        <w:gridCol w:w="632"/>
        <w:gridCol w:w="804"/>
      </w:tblGrid>
      <w:tr w:rsidR="002A3F3A" w:rsidRPr="000D3FDC" w:rsidTr="00084A78">
        <w:trPr>
          <w:trHeight w:val="440"/>
          <w:tblHeader/>
        </w:trPr>
        <w:tc>
          <w:tcPr>
            <w:tcW w:w="2391" w:type="pct"/>
            <w:gridSpan w:val="7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 Bold" w:eastAsia="Calibri" w:hAnsi="Arial Bold" w:cs="Arial"/>
                <w:b/>
                <w:bCs/>
                <w:caps/>
                <w:sz w:val="20"/>
              </w:rPr>
            </w:pPr>
            <w:r w:rsidRPr="000D3FDC">
              <w:rPr>
                <w:rFonts w:ascii="Arial Bold" w:eastAsia="Calibri" w:hAnsi="Arial Bold" w:cs="Arial"/>
                <w:b/>
                <w:bCs/>
                <w:caps/>
                <w:sz w:val="20"/>
              </w:rPr>
              <w:t>Study Characteristics</w:t>
            </w:r>
          </w:p>
        </w:tc>
        <w:tc>
          <w:tcPr>
            <w:tcW w:w="2328" w:type="pct"/>
            <w:gridSpan w:val="8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 Bold" w:eastAsia="Calibri" w:hAnsi="Arial Bold" w:cs="Arial"/>
                <w:b/>
                <w:bCs/>
                <w:caps/>
                <w:sz w:val="20"/>
              </w:rPr>
            </w:pPr>
            <w:r w:rsidRPr="000D3FDC">
              <w:rPr>
                <w:rFonts w:ascii="Arial Bold" w:eastAsia="Calibri" w:hAnsi="Arial Bold" w:cs="Arial"/>
                <w:b/>
                <w:bCs/>
                <w:caps/>
                <w:sz w:val="20"/>
              </w:rPr>
              <w:t>Clinical Outcomes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 Bold" w:eastAsia="Calibri" w:hAnsi="Arial Bold" w:cs="Arial"/>
                <w:b/>
                <w:bCs/>
                <w:caps/>
                <w:sz w:val="20"/>
              </w:rPr>
            </w:pPr>
            <w:r w:rsidRPr="000D3FDC">
              <w:rPr>
                <w:rFonts w:ascii="Arial Bold" w:eastAsia="Calibri" w:hAnsi="Arial Bold" w:cs="Arial"/>
                <w:b/>
                <w:bCs/>
                <w:caps/>
                <w:sz w:val="20"/>
              </w:rPr>
              <w:t>Quality</w:t>
            </w:r>
          </w:p>
        </w:tc>
      </w:tr>
      <w:tr w:rsidR="002A3F3A" w:rsidRPr="000D3FDC" w:rsidTr="00084A78">
        <w:trPr>
          <w:trHeight w:val="710"/>
          <w:tblHeader/>
        </w:trPr>
        <w:tc>
          <w:tcPr>
            <w:tcW w:w="377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347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Allergen</w:t>
            </w:r>
          </w:p>
        </w:tc>
        <w:tc>
          <w:tcPr>
            <w:tcW w:w="314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No.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377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Mono-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Sensitizd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Subjects</w:t>
            </w:r>
          </w:p>
        </w:tc>
        <w:tc>
          <w:tcPr>
            <w:tcW w:w="314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Children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Only</w:t>
            </w:r>
          </w:p>
        </w:tc>
        <w:tc>
          <w:tcPr>
            <w:tcW w:w="314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Treatm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348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µg per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314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Asthma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Asthma+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Rhinitis/ RC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Rhinitis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RC</w:t>
            </w:r>
          </w:p>
        </w:tc>
        <w:tc>
          <w:tcPr>
            <w:tcW w:w="284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Ocular</w:t>
            </w:r>
          </w:p>
        </w:tc>
        <w:tc>
          <w:tcPr>
            <w:tcW w:w="283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Medi-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cation</w:t>
            </w:r>
          </w:p>
        </w:tc>
        <w:tc>
          <w:tcPr>
            <w:tcW w:w="346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Medi-cation+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Symp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toms</w:t>
            </w:r>
          </w:p>
        </w:tc>
        <w:tc>
          <w:tcPr>
            <w:tcW w:w="220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QOL</w:t>
            </w:r>
          </w:p>
        </w:tc>
        <w:tc>
          <w:tcPr>
            <w:tcW w:w="221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PFT</w:t>
            </w:r>
          </w:p>
        </w:tc>
        <w:tc>
          <w:tcPr>
            <w:tcW w:w="281" w:type="pct"/>
            <w:vAlign w:val="center"/>
          </w:tcPr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Risk of</w:t>
            </w:r>
          </w:p>
          <w:p w:rsidR="002A3F3A" w:rsidRPr="00562693" w:rsidRDefault="002A3F3A" w:rsidP="00084A78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6269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Bias</w:t>
            </w:r>
          </w:p>
        </w:tc>
      </w:tr>
      <w:tr w:rsidR="002A3F3A" w:rsidRPr="000D3FDC" w:rsidTr="00084A78">
        <w:trPr>
          <w:trHeight w:val="75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Pajno, 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Dust mites: 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 xml:space="preserve">D.pter 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9.6 Der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4.8 Der f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620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Hirsch, 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Dust mites: 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D.pter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47.5 Der p1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O'Hehir, 2009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Dust mites:  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D.pter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1425 Der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283 Dep p2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Ippoliti,  2003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Dust mites: 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D.pter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9.6 Der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4.8 Der p2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Tari, 1990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Dust mites: D. pter/D.far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18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Lue,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500 Der f,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283.3 Der p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Sambugaro, 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24 weeks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500 Der f,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283.3 Der p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557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Tahamiler*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2-3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1070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weeks induction, 21 weeks mainten-ance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260 Derp,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451.7 Der f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Bahceciler2001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93.3 Der p1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81.67Der f1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683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Guez 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91.6 Der p1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70.83Der f1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683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Bush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D. far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12-18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2100 Der f1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683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 D. pter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values 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values 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 at 5 years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683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deBot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 D. pter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16.24 Der p1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Nelson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Animal: cat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105 days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12.9-257.1 Fel d1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Alvarez-Cuesta,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Animals: cats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NOTE:  outcomes reported only during challenges, 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15.3 Fel d1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73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Pozzan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Molds:  Alternaria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3.6 Alt a1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D'Ambrosio 1999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9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1.52Par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D'Ambrosio, 1996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Parietaria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8 months (mid Jan to end Sep)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1.44 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la Rosa 1999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2.2 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Pajno 2004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13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1.56 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Passalacqua, 1999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8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 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Bowen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Ragweed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months (estimated duration)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3480Amba1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Skoner,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Weeds: Ragweed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17 +/- 3 weeks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 1440 Amb a1,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  144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Hordijk, 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Novembre*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4.8 Der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2.4 Der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p2,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12.0 Group V grass 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Bet v1,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0.7 Par j1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Ott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seasons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500 Group V grass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Panzer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Roder*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tabs>
                <w:tab w:val="left" w:pos="1093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1260 Lol p5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Sabbah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Pradalier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233.75 Phl p5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Marogna*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Grass: Grass mix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 Phl p1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Feliziani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until end of pollen season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Pfaar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1.5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1200 Group V grass 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Stelmach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300 Group V grass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values 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 Blay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 Mix: Orchard,  Timothy Perennial ryegrass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275 Group III grass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Lima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Grass: Timothy 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18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900 Phl p5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746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Pajno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Grass:  Timothy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 months/yr for 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Horiguchi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Japanese cedar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7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6.0 Cry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Okubo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Japanese cedar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Makino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Japanese cedar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 Cry j1,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8-20 Cry j2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Fujimura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2011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Japanese cedar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20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6-16.8  Cry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(peak season)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White birch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3.5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8.5 Bet 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Voltolini 2009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Birch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 courses of 4 months    (pre/ co-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seasonally)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1.725 BetV1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 Birch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 year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8.3 Bet 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1223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Di Rienzo,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Mountain cedar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 to 5 months (Preseason December - April)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Vervloet2007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 Bald-cypress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76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6840 Jun a1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Vourdas1998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Olive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seasonal (5 to 6 months each year) for 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736.3 Ole e1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1502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Valovirta, 2006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Trees:  Tree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 weeks build-up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18 months mainte-nance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High:  120 Bet v1/Aln g1/Cor a1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  14.4 Bet v1/Aln g1/Cor a1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High: 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Low:NS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High: 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 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High: 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 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High: 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Low: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Trees: White birch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100 Bet 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Moreno-Ancillo, 2007</w:t>
            </w:r>
          </w:p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Grass: Grass mix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Trees: Olive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 Grp V grass,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90 Ole e1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Sambugaro* 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 : D.pter/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D.far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 xml:space="preserve"> Grass: Grass mix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Weeds: Ragweed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4.8 Der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2.4 Der p2,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12.0 GrpV grass,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Bet v1,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0.7 Par j1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Amar,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 xml:space="preserve">Grass: Timothy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 xml:space="preserve">Trees: Ash,Maple,  Red/green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American elm  Cottonwood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Weeds: Kochia,  ragweed, Sagebrush  Russian thistle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15 months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570  Phl p5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</w:p>
          <w:p w:rsidR="002A3F3A" w:rsidRPr="000D3FDC" w:rsidRDefault="002A3F3A" w:rsidP="00084A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Trees: White birch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mites: D.pter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Weeds: Mugwort/ Parietaria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Grass: Grass mix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3.25 Der f1/f2,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5.83 Phl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5.83 Par j1,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8,33 Bet 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  <w:tr w:rsidR="002A3F3A" w:rsidRPr="000D3FDC" w:rsidTr="00084A78">
        <w:trPr>
          <w:trHeight w:val="129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>Marogna</w:t>
            </w: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Dust mite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Trees: White birch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Grass: Grass mix  Weed:  Parietaria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216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X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40 De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40 Der p2,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3.33 Phl p1,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3.33 Par j1,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8,33 Bet v1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  <w:tr w:rsidR="002A3F3A" w:rsidRPr="000D3FDC" w:rsidTr="00084A78">
        <w:trPr>
          <w:trHeight w:val="575"/>
        </w:trPr>
        <w:tc>
          <w:tcPr>
            <w:tcW w:w="377" w:type="pct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Rodriguez*,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34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Note:  this study reported adverse events only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77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months</w:t>
            </w:r>
          </w:p>
        </w:tc>
        <w:tc>
          <w:tcPr>
            <w:tcW w:w="348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 Grp V grass</w:t>
            </w:r>
          </w:p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Der p1/2</w:t>
            </w:r>
          </w:p>
        </w:tc>
        <w:tc>
          <w:tcPr>
            <w:tcW w:w="31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4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3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46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0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21" w:type="pct"/>
            <w:vAlign w:val="center"/>
          </w:tcPr>
          <w:p w:rsidR="002A3F3A" w:rsidRPr="000D3FDC" w:rsidRDefault="002A3F3A" w:rsidP="00084A7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81" w:type="pct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sz w:val="16"/>
          <w:szCs w:val="16"/>
        </w:rPr>
      </w:pPr>
      <w:r w:rsidRPr="000D3FDC">
        <w:rPr>
          <w:rFonts w:ascii="Arial" w:eastAsia="Calibri" w:hAnsi="Arial" w:cs="Arial"/>
          <w:color w:val="000000"/>
          <w:sz w:val="16"/>
          <w:szCs w:val="16"/>
        </w:rPr>
        <w:t>RC; Rhinoconjunctivitis, D.Pter:  Dermatophagoides pteronyssinus, D.Far; Dermatophagoides farinae</w:t>
      </w:r>
    </w:p>
    <w:p w:rsidR="002A3F3A" w:rsidRPr="000D3FDC" w:rsidRDefault="002A3F3A" w:rsidP="002A3F3A">
      <w:pPr>
        <w:rPr>
          <w:rFonts w:ascii="Arial" w:eastAsia="Calibri" w:hAnsi="Arial" w:cs="Arial"/>
          <w:sz w:val="16"/>
          <w:szCs w:val="16"/>
        </w:rPr>
      </w:pPr>
      <w:r w:rsidRPr="000D3FDC">
        <w:rPr>
          <w:rFonts w:ascii="Arial" w:eastAsia="Calibri" w:hAnsi="Arial" w:cs="Arial"/>
          <w:sz w:val="16"/>
          <w:szCs w:val="16"/>
        </w:rPr>
        <w:t>*Denotes studies in which comparator is other than a placebo group.  These studies use pharmacotherapy/conventional therapy as a comparator:  4961, 1333, 4040, 4784, 3400, 3402, 3403, 3405.  Study 5470 compared 3 years of sublingual immunotherapy to 2 years of sublingual immunotherapy.  Study 4790 compared two groups of sublingual immunotherapy with identical maintenance dose, one group with updosing and the other without updosing.</w:t>
      </w:r>
    </w:p>
    <w:p w:rsidR="002A3F3A" w:rsidRPr="000D3FDC" w:rsidRDefault="002A3F3A" w:rsidP="002A3F3A">
      <w:pPr>
        <w:rPr>
          <w:rFonts w:ascii="Arial" w:eastAsia="Calibri" w:hAnsi="Arial" w:cs="Arial"/>
          <w:sz w:val="16"/>
          <w:szCs w:val="16"/>
        </w:rPr>
      </w:pPr>
      <w:r w:rsidRPr="000D3FDC">
        <w:rPr>
          <w:rFonts w:ascii="Arial" w:eastAsia="Calibri" w:hAnsi="Arial" w:cs="Arial"/>
          <w:sz w:val="16"/>
          <w:szCs w:val="16"/>
          <w:highlight w:val="lightGray"/>
        </w:rPr>
        <w:t>Studies shaded in gray</w:t>
      </w:r>
      <w:r w:rsidRPr="000D3FDC">
        <w:rPr>
          <w:rFonts w:ascii="Arial" w:eastAsia="Calibri" w:hAnsi="Arial" w:cs="Arial"/>
          <w:sz w:val="16"/>
          <w:szCs w:val="16"/>
        </w:rPr>
        <w:t xml:space="preserve"> did not report any significant findings in any of the outcome categories on this table.</w:t>
      </w:r>
    </w:p>
    <w:p w:rsidR="002A3F3A" w:rsidRPr="000D3FDC" w:rsidRDefault="002A3F3A" w:rsidP="002A3F3A">
      <w:pPr>
        <w:rPr>
          <w:rFonts w:ascii="Arial" w:eastAsia="Calibri" w:hAnsi="Arial" w:cs="Arial"/>
          <w:sz w:val="16"/>
          <w:szCs w:val="16"/>
        </w:rPr>
      </w:pPr>
      <w:r w:rsidRPr="000D3FDC">
        <w:rPr>
          <w:rFonts w:ascii="Arial" w:eastAsia="Calibri" w:hAnsi="Arial" w:cs="Arial"/>
          <w:sz w:val="16"/>
          <w:szCs w:val="16"/>
        </w:rPr>
        <w:t>S= significant improvement in sublingual group when compared to controls and/or comparison of pre-treatment to post-treatment scores.</w:t>
      </w:r>
    </w:p>
    <w:p w:rsidR="002A3F3A" w:rsidRPr="000D3FDC" w:rsidRDefault="002A3F3A" w:rsidP="002A3F3A">
      <w:pPr>
        <w:rPr>
          <w:rFonts w:ascii="Arial" w:eastAsia="Calibri" w:hAnsi="Arial" w:cs="Arial"/>
          <w:sz w:val="16"/>
          <w:szCs w:val="16"/>
        </w:rPr>
      </w:pPr>
      <w:r w:rsidRPr="000D3FDC">
        <w:rPr>
          <w:rFonts w:ascii="Arial" w:eastAsia="Calibri" w:hAnsi="Arial" w:cs="Arial"/>
          <w:sz w:val="16"/>
          <w:szCs w:val="16"/>
        </w:rPr>
        <w:t>NS= no significant improvement</w:t>
      </w:r>
    </w:p>
    <w:p w:rsidR="002A3F3A" w:rsidRPr="002868B0" w:rsidRDefault="002A3F3A" w:rsidP="00C76EB4">
      <w:pPr>
        <w:rPr>
          <w:rFonts w:ascii="Arial" w:hAnsi="Arial"/>
          <w:sz w:val="18"/>
        </w:rPr>
      </w:pPr>
      <w:r w:rsidRPr="000D3FDC">
        <w:rPr>
          <w:rFonts w:ascii="Arial" w:eastAsia="Calibri" w:hAnsi="Arial" w:cs="Arial"/>
          <w:sz w:val="16"/>
          <w:szCs w:val="16"/>
        </w:rPr>
        <w:t>NR=not reported</w:t>
      </w:r>
    </w:p>
    <w:sectPr w:rsidR="002A3F3A" w:rsidRPr="002868B0" w:rsidSect="001C45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84" w:rsidRDefault="00FB7584">
      <w:r>
        <w:separator/>
      </w:r>
    </w:p>
  </w:endnote>
  <w:endnote w:type="continuationSeparator" w:id="0">
    <w:p w:rsidR="00FB7584" w:rsidRDefault="00FB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5B8" w:rsidRDefault="001C45B8" w:rsidP="00084A78">
        <w:pPr>
          <w:pStyle w:val="Footer"/>
          <w:jc w:val="center"/>
        </w:pPr>
        <w:r>
          <w:t>E-</w:t>
        </w:r>
        <w:fldSimple w:instr=" PAGE   \* MERGEFORMAT ">
          <w:r w:rsidR="00E615CA">
            <w:rPr>
              <w:noProof/>
            </w:rPr>
            <w:t>72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84" w:rsidRDefault="00FB7584">
      <w:r>
        <w:separator/>
      </w:r>
    </w:p>
  </w:footnote>
  <w:footnote w:type="continuationSeparator" w:id="0">
    <w:p w:rsidR="00FB7584" w:rsidRDefault="00FB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B8" w:rsidRDefault="001C45B8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B6C7F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C45B8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0D66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BE32DC"/>
    <w:rsid w:val="00C058EE"/>
    <w:rsid w:val="00C2564B"/>
    <w:rsid w:val="00C76EB4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615CA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B7584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9265-54CB-4EE1-8097-425D5AC5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2013-04-18T09:15:00Z</dcterms:created>
  <dcterms:modified xsi:type="dcterms:W3CDTF">2013-04-18T14:33:00Z</dcterms:modified>
</cp:coreProperties>
</file>