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AC" w:rsidRDefault="001305AC" w:rsidP="001305AC">
      <w:pPr>
        <w:pStyle w:val="TableTitle"/>
        <w:rPr>
          <w:rFonts w:cs="Arial"/>
          <w:szCs w:val="20"/>
        </w:rPr>
      </w:pPr>
      <w:proofErr w:type="gramStart"/>
      <w:r>
        <w:t>Appendix C. Table 7.</w:t>
      </w:r>
      <w:proofErr w:type="gramEnd"/>
      <w:r>
        <w:t xml:space="preserve"> Inclusion and exclusion criteria </w:t>
      </w:r>
    </w:p>
    <w:tbl>
      <w:tblPr>
        <w:tblStyle w:val="AHRQ1"/>
        <w:tblW w:w="13154" w:type="dxa"/>
        <w:tblLook w:val="0480" w:firstRow="0" w:lastRow="0" w:firstColumn="1" w:lastColumn="0" w:noHBand="0" w:noVBand="1"/>
      </w:tblPr>
      <w:tblGrid>
        <w:gridCol w:w="1705"/>
        <w:gridCol w:w="1789"/>
        <w:gridCol w:w="5180"/>
        <w:gridCol w:w="4480"/>
      </w:tblGrid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6E0A58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>Study</w:t>
            </w:r>
          </w:p>
        </w:tc>
        <w:tc>
          <w:tcPr>
            <w:tcW w:w="1789" w:type="dxa"/>
            <w:noWrap/>
            <w:hideMark/>
          </w:tcPr>
          <w:p w:rsidR="001305AC" w:rsidRPr="006E0A58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Recruitment D</w:t>
            </w:r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>ate</w:t>
            </w:r>
          </w:p>
        </w:tc>
        <w:tc>
          <w:tcPr>
            <w:tcW w:w="5180" w:type="dxa"/>
            <w:noWrap/>
            <w:hideMark/>
          </w:tcPr>
          <w:p w:rsidR="001305AC" w:rsidRPr="006E0A58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Inclusion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>riteria</w:t>
            </w:r>
          </w:p>
        </w:tc>
        <w:tc>
          <w:tcPr>
            <w:tcW w:w="4480" w:type="dxa"/>
            <w:noWrap/>
            <w:hideMark/>
          </w:tcPr>
          <w:p w:rsidR="001305AC" w:rsidRPr="006E0A58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>Exlucsion</w:t>
            </w:r>
            <w:proofErr w:type="spellEnd"/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>riteria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FFR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RCT</w:t>
            </w:r>
            <w:proofErr w:type="spellEnd"/>
          </w:p>
        </w:tc>
        <w:tc>
          <w:tcPr>
            <w:tcW w:w="1789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80" w:type="dxa"/>
            <w:noWrap/>
            <w:hideMark/>
          </w:tcPr>
          <w:p w:rsidR="001305AC" w:rsidRDefault="001305AC" w:rsidP="003C2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480" w:type="dxa"/>
            <w:noWrap/>
            <w:hideMark/>
          </w:tcPr>
          <w:p w:rsidR="001305AC" w:rsidRDefault="001305AC" w:rsidP="003C2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DB66B1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DB66B1">
              <w:rPr>
                <w:rFonts w:ascii="Arial" w:hAnsi="Arial" w:cs="Arial"/>
                <w:color w:val="000000"/>
                <w:sz w:val="20"/>
              </w:rPr>
              <w:t>Tonino</w:t>
            </w:r>
            <w:proofErr w:type="spellEnd"/>
            <w:r w:rsidRPr="00DB66B1">
              <w:rPr>
                <w:rFonts w:ascii="Arial" w:hAnsi="Arial" w:cs="Arial"/>
                <w:color w:val="000000"/>
                <w:sz w:val="20"/>
              </w:rPr>
              <w:t xml:space="preserve"> 2009</w:t>
            </w:r>
          </w:p>
        </w:tc>
        <w:tc>
          <w:tcPr>
            <w:tcW w:w="1789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80" w:type="dxa"/>
            <w:noWrap/>
            <w:hideMark/>
          </w:tcPr>
          <w:p w:rsidR="001305AC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At least 2 ≥50% diameter </w:t>
            </w:r>
            <w:proofErr w:type="spellStart"/>
            <w:r w:rsidRPr="00363C05">
              <w:rPr>
                <w:b w:val="0"/>
                <w:sz w:val="20"/>
              </w:rPr>
              <w:t>stenoses</w:t>
            </w:r>
            <w:proofErr w:type="spellEnd"/>
            <w:r w:rsidRPr="00363C05">
              <w:rPr>
                <w:b w:val="0"/>
                <w:sz w:val="20"/>
              </w:rPr>
              <w:t xml:space="preserve"> ≥2 major </w:t>
            </w:r>
            <w:proofErr w:type="spellStart"/>
            <w:r w:rsidRPr="00363C05">
              <w:rPr>
                <w:b w:val="0"/>
                <w:sz w:val="20"/>
              </w:rPr>
              <w:t>epicardial</w:t>
            </w:r>
            <w:proofErr w:type="spellEnd"/>
            <w:r w:rsidRPr="00363C05">
              <w:rPr>
                <w:b w:val="0"/>
                <w:sz w:val="20"/>
              </w:rPr>
              <w:t xml:space="preserve"> vessels, both of which the investigator feels require stenting </w:t>
            </w:r>
          </w:p>
          <w:p w:rsidR="001305AC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Recent Non ST-segment elevation MI &lt; 5 days if the peak </w:t>
            </w:r>
            <w:proofErr w:type="spellStart"/>
            <w:r w:rsidRPr="00363C05">
              <w:rPr>
                <w:b w:val="0"/>
                <w:sz w:val="20"/>
              </w:rPr>
              <w:t>CK</w:t>
            </w:r>
            <w:proofErr w:type="spellEnd"/>
            <w:r w:rsidRPr="00363C05">
              <w:rPr>
                <w:b w:val="0"/>
                <w:sz w:val="20"/>
              </w:rPr>
              <w:t xml:space="preserve"> is &lt;1000 </w:t>
            </w:r>
            <w:proofErr w:type="spellStart"/>
            <w:r w:rsidRPr="00363C05">
              <w:rPr>
                <w:b w:val="0"/>
                <w:sz w:val="20"/>
              </w:rPr>
              <w:t>IU</w:t>
            </w:r>
            <w:proofErr w:type="spellEnd"/>
            <w:r w:rsidRPr="00363C05">
              <w:rPr>
                <w:b w:val="0"/>
                <w:sz w:val="20"/>
              </w:rPr>
              <w:t xml:space="preserve"> </w:t>
            </w:r>
          </w:p>
          <w:p w:rsidR="001305AC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B66B1">
              <w:rPr>
                <w:rFonts w:ascii="Arial" w:hAnsi="Arial" w:cs="Arial"/>
                <w:sz w:val="20"/>
              </w:rPr>
              <w:t>Previous PCI</w:t>
            </w:r>
          </w:p>
        </w:tc>
        <w:tc>
          <w:tcPr>
            <w:tcW w:w="4480" w:type="dxa"/>
            <w:noWrap/>
            <w:hideMark/>
          </w:tcPr>
          <w:p w:rsidR="001305AC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Left main coronary disease </w:t>
            </w:r>
          </w:p>
          <w:p w:rsidR="001305AC" w:rsidRPr="00363C05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Previous coronary bypass surgery </w:t>
            </w:r>
          </w:p>
          <w:p w:rsidR="001305AC" w:rsidRPr="00363C05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Recent ST elevation MI (&lt;5 days) </w:t>
            </w:r>
          </w:p>
          <w:p w:rsidR="001305AC" w:rsidRPr="00363C05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Recent Non ST elevation MI (&lt;5 days) if the peak </w:t>
            </w:r>
            <w:proofErr w:type="spellStart"/>
            <w:r w:rsidRPr="00363C05">
              <w:rPr>
                <w:b w:val="0"/>
                <w:sz w:val="20"/>
              </w:rPr>
              <w:t>CK</w:t>
            </w:r>
            <w:proofErr w:type="spellEnd"/>
            <w:r w:rsidRPr="00363C05">
              <w:rPr>
                <w:b w:val="0"/>
                <w:sz w:val="20"/>
              </w:rPr>
              <w:t xml:space="preserve"> is &gt;1000 </w:t>
            </w:r>
            <w:proofErr w:type="spellStart"/>
            <w:r w:rsidRPr="00363C05">
              <w:rPr>
                <w:b w:val="0"/>
                <w:sz w:val="20"/>
              </w:rPr>
              <w:t>IU</w:t>
            </w:r>
            <w:proofErr w:type="spellEnd"/>
            <w:r w:rsidRPr="00363C05">
              <w:rPr>
                <w:b w:val="0"/>
                <w:sz w:val="20"/>
              </w:rPr>
              <w:t xml:space="preserve"> </w:t>
            </w:r>
          </w:p>
          <w:p w:rsidR="001305AC" w:rsidRPr="00363C05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Cardiogenic shock </w:t>
            </w:r>
          </w:p>
          <w:p w:rsidR="001305AC" w:rsidRPr="00363C05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Extremely tortuous or calcified coronary </w:t>
            </w: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vessels </w:t>
            </w:r>
          </w:p>
          <w:p w:rsidR="001305AC" w:rsidRPr="00363C05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Life expectancy of &lt;2 y </w:t>
            </w:r>
          </w:p>
          <w:p w:rsidR="001305AC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Pregnancy </w:t>
            </w:r>
          </w:p>
          <w:p w:rsidR="001305AC" w:rsidRPr="00DB66B1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363C05">
              <w:rPr>
                <w:b w:val="0"/>
                <w:sz w:val="20"/>
              </w:rPr>
              <w:t xml:space="preserve">Contraindication for </w:t>
            </w:r>
            <w:r>
              <w:rPr>
                <w:b w:val="0"/>
                <w:sz w:val="20"/>
              </w:rPr>
              <w:t>drug-eluting stent</w:t>
            </w:r>
            <w:r w:rsidRPr="00363C05">
              <w:rPr>
                <w:b w:val="0"/>
                <w:sz w:val="20"/>
              </w:rPr>
              <w:t xml:space="preserve"> placement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DB6BCE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DB6BCE">
              <w:rPr>
                <w:rFonts w:ascii="Arial" w:hAnsi="Arial" w:cs="Arial"/>
                <w:b/>
                <w:bCs/>
                <w:color w:val="000000"/>
                <w:sz w:val="20"/>
              </w:rPr>
              <w:t>FFR</w:t>
            </w:r>
            <w:proofErr w:type="spellEnd"/>
            <w:r w:rsidRPr="00DB6B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nonrandomized studies</w:t>
            </w:r>
          </w:p>
        </w:tc>
        <w:tc>
          <w:tcPr>
            <w:tcW w:w="1789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80" w:type="dxa"/>
            <w:noWrap/>
            <w:hideMark/>
          </w:tcPr>
          <w:p w:rsidR="001305AC" w:rsidRPr="00495D00" w:rsidRDefault="001305AC" w:rsidP="003C26BE">
            <w:pPr>
              <w:pStyle w:val="TableFigureTitleEPC"/>
              <w:rPr>
                <w:color w:val="000000"/>
                <w:sz w:val="20"/>
              </w:rPr>
            </w:pPr>
          </w:p>
        </w:tc>
        <w:tc>
          <w:tcPr>
            <w:tcW w:w="4480" w:type="dxa"/>
            <w:noWrap/>
            <w:hideMark/>
          </w:tcPr>
          <w:p w:rsidR="001305AC" w:rsidRPr="00495D00" w:rsidRDefault="001305AC" w:rsidP="003C26BE">
            <w:pPr>
              <w:pStyle w:val="TableFigureTitleEPC"/>
              <w:rPr>
                <w:color w:val="000000"/>
                <w:sz w:val="20"/>
              </w:rPr>
            </w:pP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Wongpraparut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2005</w:t>
            </w:r>
          </w:p>
        </w:tc>
        <w:tc>
          <w:tcPr>
            <w:tcW w:w="1789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</w:rPr>
              <w:t>2000-2002</w:t>
            </w:r>
          </w:p>
        </w:tc>
        <w:tc>
          <w:tcPr>
            <w:tcW w:w="5180" w:type="dxa"/>
            <w:noWrap/>
            <w:hideMark/>
          </w:tcPr>
          <w:p w:rsidR="001305AC" w:rsidRPr="00DB6BCE" w:rsidRDefault="001305AC" w:rsidP="003C26BE">
            <w:pPr>
              <w:pStyle w:val="TableFigureTitleEPC"/>
              <w:rPr>
                <w:b w:val="0"/>
                <w:color w:val="00000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S</w:t>
            </w:r>
            <w:r w:rsidRPr="00DB6BCE">
              <w:rPr>
                <w:b w:val="0"/>
                <w:sz w:val="20"/>
              </w:rPr>
              <w:t>table angina and ≥2 single lesions located in different vessels</w:t>
            </w:r>
          </w:p>
        </w:tc>
        <w:tc>
          <w:tcPr>
            <w:tcW w:w="4480" w:type="dxa"/>
            <w:noWrap/>
            <w:hideMark/>
          </w:tcPr>
          <w:p w:rsidR="001305AC" w:rsidRPr="00DB6BCE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DB6BCE">
              <w:rPr>
                <w:b w:val="0"/>
                <w:sz w:val="20"/>
              </w:rPr>
              <w:t>Chest pain not responding to medical therapy</w:t>
            </w:r>
          </w:p>
          <w:p w:rsidR="001305AC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DB6BCE">
              <w:rPr>
                <w:b w:val="0"/>
                <w:sz w:val="20"/>
              </w:rPr>
              <w:t xml:space="preserve">Previous coronary artery bypass grafting </w:t>
            </w:r>
          </w:p>
          <w:p w:rsidR="001305AC" w:rsidRPr="00DB6BCE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DB6BCE">
              <w:rPr>
                <w:b w:val="0"/>
                <w:sz w:val="20"/>
              </w:rPr>
              <w:t xml:space="preserve">Vessels that were totally occluded or supplying an </w:t>
            </w:r>
            <w:proofErr w:type="spellStart"/>
            <w:r w:rsidRPr="00DB6BCE">
              <w:rPr>
                <w:b w:val="0"/>
                <w:sz w:val="20"/>
              </w:rPr>
              <w:t>akinetic</w:t>
            </w:r>
            <w:proofErr w:type="spellEnd"/>
            <w:r w:rsidRPr="00DB6BCE">
              <w:rPr>
                <w:b w:val="0"/>
                <w:sz w:val="20"/>
              </w:rPr>
              <w:t xml:space="preserve"> territory by visual assessment of the left ventricular angiogram</w:t>
            </w:r>
          </w:p>
          <w:p w:rsidR="001305AC" w:rsidRPr="00DB6BCE" w:rsidRDefault="001305AC" w:rsidP="003C26BE">
            <w:pPr>
              <w:pStyle w:val="TableFigureTitleEPC"/>
              <w:rPr>
                <w:b w:val="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DB6BCE">
              <w:rPr>
                <w:b w:val="0"/>
                <w:sz w:val="20"/>
              </w:rPr>
              <w:t>Recent myocardial infarction</w:t>
            </w:r>
          </w:p>
          <w:p w:rsidR="001305AC" w:rsidRPr="00DB6BCE" w:rsidRDefault="001305AC" w:rsidP="003C26BE">
            <w:pPr>
              <w:pStyle w:val="TableFigureTitleEPC"/>
              <w:rPr>
                <w:b w:val="0"/>
                <w:color w:val="00000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DB6BCE">
              <w:rPr>
                <w:b w:val="0"/>
                <w:sz w:val="20"/>
              </w:rPr>
              <w:t>Ejection fraction &lt;50%.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53E6F">
              <w:rPr>
                <w:rFonts w:ascii="Arial" w:hAnsi="Arial" w:cs="Arial"/>
                <w:sz w:val="20"/>
              </w:rPr>
              <w:t>Muramatsu</w:t>
            </w:r>
            <w:proofErr w:type="spellEnd"/>
            <w:r w:rsidRPr="00453E6F">
              <w:rPr>
                <w:rFonts w:ascii="Arial" w:hAnsi="Arial" w:cs="Arial"/>
                <w:sz w:val="20"/>
              </w:rPr>
              <w:t xml:space="preserve"> 2002</w:t>
            </w:r>
          </w:p>
        </w:tc>
        <w:tc>
          <w:tcPr>
            <w:tcW w:w="1789" w:type="dxa"/>
            <w:noWrap/>
            <w:hideMark/>
          </w:tcPr>
          <w:p w:rsidR="001305AC" w:rsidRPr="00DB6BCE" w:rsidRDefault="001305AC" w:rsidP="003C26BE">
            <w:pPr>
              <w:rPr>
                <w:rFonts w:ascii="Arial" w:hAnsi="Arial" w:cs="Arial"/>
                <w:color w:val="241F20"/>
                <w:sz w:val="20"/>
              </w:rPr>
            </w:pPr>
            <w:r w:rsidRPr="00DB6BCE">
              <w:rPr>
                <w:rFonts w:ascii="Arial" w:hAnsi="Arial" w:cs="Arial"/>
                <w:color w:val="241F20"/>
                <w:sz w:val="20"/>
              </w:rPr>
              <w:t>1997-1998</w:t>
            </w:r>
          </w:p>
        </w:tc>
        <w:tc>
          <w:tcPr>
            <w:tcW w:w="5180" w:type="dxa"/>
            <w:noWrap/>
            <w:hideMark/>
          </w:tcPr>
          <w:p w:rsidR="001305AC" w:rsidRPr="00DB6BCE" w:rsidRDefault="001305AC" w:rsidP="003C26BE">
            <w:pPr>
              <w:rPr>
                <w:rFonts w:ascii="Arial" w:hAnsi="Arial" w:cs="Arial"/>
                <w:color w:val="241F2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B6BCE">
              <w:rPr>
                <w:rFonts w:ascii="Arial" w:hAnsi="Arial" w:cs="Arial"/>
                <w:color w:val="241F20"/>
                <w:sz w:val="20"/>
              </w:rPr>
              <w:t>Consecutive patients admitted to a single hospital and diagnosed with first-time AMI</w:t>
            </w:r>
          </w:p>
        </w:tc>
        <w:tc>
          <w:tcPr>
            <w:tcW w:w="4480" w:type="dxa"/>
            <w:noWrap/>
            <w:hideMark/>
          </w:tcPr>
          <w:p w:rsidR="001305AC" w:rsidRPr="00DB6BCE" w:rsidRDefault="001305AC" w:rsidP="003C26BE">
            <w:pPr>
              <w:pStyle w:val="TableFigureTitleEPC"/>
              <w:rPr>
                <w:b w:val="0"/>
                <w:color w:val="000000"/>
                <w:sz w:val="20"/>
              </w:rPr>
            </w:pPr>
            <w:r w:rsidRPr="00495D00">
              <w:rPr>
                <w:color w:val="000000"/>
                <w:sz w:val="20"/>
              </w:rPr>
              <w:t>•</w:t>
            </w:r>
            <w:r>
              <w:rPr>
                <w:color w:val="000000"/>
                <w:sz w:val="20"/>
              </w:rPr>
              <w:t xml:space="preserve"> </w:t>
            </w:r>
            <w:r w:rsidRPr="00DB6BCE">
              <w:rPr>
                <w:b w:val="0"/>
                <w:color w:val="000000"/>
                <w:sz w:val="20"/>
              </w:rPr>
              <w:t>Not reported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t>RCT</w:t>
            </w:r>
            <w:proofErr w:type="spellEnd"/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789" w:type="dxa"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05AC" w:rsidRPr="00495D00" w:rsidTr="003C26BE">
        <w:trPr>
          <w:trHeight w:val="106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Mudra 2001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241F20"/>
                <w:sz w:val="20"/>
              </w:rPr>
            </w:pPr>
            <w:r w:rsidRPr="00495D00">
              <w:rPr>
                <w:rFonts w:ascii="Arial" w:hAnsi="Arial" w:cs="Arial"/>
                <w:color w:val="241F20"/>
                <w:sz w:val="20"/>
              </w:rPr>
              <w:t>1994 - 1998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241F2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Pr="00495D00">
              <w:rPr>
                <w:rFonts w:ascii="Arial" w:hAnsi="Arial" w:cs="Arial"/>
                <w:color w:val="241F20"/>
                <w:sz w:val="20"/>
              </w:rPr>
              <w:t xml:space="preserve">Angina or documented ischemia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241F2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Pr="00495D00">
              <w:rPr>
                <w:rFonts w:ascii="Arial" w:hAnsi="Arial" w:cs="Arial"/>
                <w:color w:val="241F20"/>
                <w:sz w:val="20"/>
              </w:rPr>
              <w:t xml:space="preserve">No contraindication to </w:t>
            </w:r>
            <w:proofErr w:type="spellStart"/>
            <w:r w:rsidRPr="00495D00">
              <w:rPr>
                <w:rFonts w:ascii="Arial" w:hAnsi="Arial" w:cs="Arial"/>
                <w:color w:val="241F20"/>
                <w:sz w:val="20"/>
              </w:rPr>
              <w:t>antiplatelets</w:t>
            </w:r>
            <w:proofErr w:type="spellEnd"/>
            <w:r w:rsidRPr="00495D00">
              <w:rPr>
                <w:rFonts w:ascii="Arial" w:hAnsi="Arial" w:cs="Arial"/>
                <w:color w:val="241F20"/>
                <w:sz w:val="20"/>
              </w:rPr>
              <w:t xml:space="preserve"> therapy 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241F2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Pr="00495D00">
              <w:rPr>
                <w:rFonts w:ascii="Arial" w:hAnsi="Arial" w:cs="Arial"/>
                <w:color w:val="241F20"/>
                <w:sz w:val="20"/>
              </w:rPr>
              <w:t>Lesion length ≤25 mm to be covered with 1 or 2 stents in an artery with a diameter of ≥2.5 mm.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Acute angina at rest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Complete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akinesia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in target artery supplied area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Significant left main lesion, bifurcation lesion, involvement of a side branch ≥2 mm in diameter with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ostial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stenosis.</w:t>
            </w:r>
          </w:p>
        </w:tc>
      </w:tr>
      <w:tr w:rsidR="001305AC" w:rsidRPr="00495D00" w:rsidTr="003C26BE">
        <w:trPr>
          <w:trHeight w:val="337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lastRenderedPageBreak/>
              <w:t>Russo 2009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1995 -1999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over 18 years 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Scheduled for elective coronary stent placement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Dissection not covered by stent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Thrombolysis in myocardial infarction flow grade &lt;3 after stent placement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Chronic total occlusion, stent placement in a sole remaining circulation or left main equivalent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Stent placement within an aneurysmal portion of a vessel such that complete stent vessel wall contact could not be achieved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A bypass graft supplying a native vessel &lt;2.0 mm by visual estimate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Cardiac transplantation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 xml:space="preserve">• Performance of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during the index procedure before stent placement</w:t>
            </w:r>
          </w:p>
        </w:tc>
      </w:tr>
      <w:tr w:rsidR="001305AC" w:rsidRPr="00495D00" w:rsidTr="003C26BE">
        <w:trPr>
          <w:trHeight w:val="273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Schiele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1998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1995 - 1997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Symptomatic coronary artery disease with demonstrable ischemia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Single-vessel or native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multivessel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disease with &gt;70% stenosis of the target lesion, who had percutaneous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transluminal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coronary angioplasty followed by stent implantation for extensive dissection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Single &lt;20-mm long stent deployment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Optimal angiographic result after stent implantation, without dissection or residual stenosis &gt;20% as assessed visually or with on-line quantitative coronary angiography.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Vessel diameter &lt;3.0 mm by visual estimation or on-line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QCA</w:t>
            </w:r>
            <w:proofErr w:type="spellEnd"/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Coronary lesion &gt;15 mm in length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Previous bypass surgery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Contraindication to antiplatelet therapy (aspirin 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ticlopidine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Treatment of acute or chronic total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occusion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,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Saphenous vein graft stenosis, recent (&lt;7 days) acute coronary syndromes</w:t>
            </w:r>
          </w:p>
        </w:tc>
      </w:tr>
      <w:tr w:rsidR="001305AC" w:rsidRPr="00495D00" w:rsidTr="003C26BE">
        <w:trPr>
          <w:trHeight w:val="98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Frey 2000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1996 - 1996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undergoing elective or urgent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PTCA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or primary stenting in vessels of diameter 2.2 and 4.6 mm.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undergoing emergency intervention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 xml:space="preserve">• Patients with planned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atherectomy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Those with chronic total occlusion of the target vessel</w:t>
            </w:r>
          </w:p>
        </w:tc>
      </w:tr>
      <w:tr w:rsidR="001305AC" w:rsidRPr="00495D00" w:rsidTr="003C26BE">
        <w:trPr>
          <w:trHeight w:val="116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Oemrawsingh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2003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1998 - 2001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having de novo,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nonostial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stenosis ≥20 mm length in a native coronary artery with a reference diameter that permitted implantation of ≥ 3-mm stents without involvement of significant side branches (diameter ≥ 2.0 mm).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recent (&lt;2 weeks) myocardial infarction (MI) or total occlusion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 xml:space="preserve">• Those with contraindications for combined antiplatelet therapy with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ticlopidine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and acetylsalicylic acid</w:t>
            </w:r>
          </w:p>
        </w:tc>
      </w:tr>
      <w:tr w:rsidR="001305AC" w:rsidRPr="00495D00" w:rsidTr="003C26BE">
        <w:trPr>
          <w:trHeight w:val="2339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lastRenderedPageBreak/>
              <w:t>Jakabcin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2011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231F20"/>
                <w:sz w:val="20"/>
              </w:rPr>
            </w:pPr>
            <w:r w:rsidRPr="00495D00">
              <w:rPr>
                <w:rFonts w:ascii="Arial" w:hAnsi="Arial" w:cs="Arial"/>
                <w:color w:val="231F20"/>
                <w:sz w:val="20"/>
              </w:rPr>
              <w:t>2004 - 2005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spacing w:after="240"/>
              <w:rPr>
                <w:rFonts w:ascii="Arial" w:hAnsi="Arial" w:cs="Arial"/>
                <w:color w:val="231F20"/>
                <w:sz w:val="20"/>
              </w:rPr>
            </w:pPr>
            <w:r w:rsidRPr="00495D00">
              <w:rPr>
                <w:rFonts w:ascii="Arial" w:hAnsi="Arial" w:cs="Arial"/>
                <w:color w:val="231F20"/>
                <w:sz w:val="20"/>
              </w:rPr>
              <w:t>Patients fulfilling following criteria were included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 xml:space="preserve">• Lesion type </w:t>
            </w:r>
            <w:proofErr w:type="spellStart"/>
            <w:r w:rsidRPr="00495D00">
              <w:rPr>
                <w:rFonts w:ascii="Arial" w:hAnsi="Arial" w:cs="Arial"/>
                <w:color w:val="231F20"/>
                <w:sz w:val="20"/>
              </w:rPr>
              <w:t>B2</w:t>
            </w:r>
            <w:proofErr w:type="spellEnd"/>
            <w:r w:rsidRPr="00495D00">
              <w:rPr>
                <w:rFonts w:ascii="Arial" w:hAnsi="Arial" w:cs="Arial"/>
                <w:color w:val="231F20"/>
                <w:sz w:val="20"/>
              </w:rPr>
              <w:t xml:space="preserve"> and C according to the American Heart Association 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 xml:space="preserve">• Proximal left anterior descending artery 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>• Left main disease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>• Reference vessel diameter &lt;2.5 mm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>• Lesion length &gt;20 mm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 xml:space="preserve">• </w:t>
            </w:r>
            <w:proofErr w:type="spellStart"/>
            <w:r w:rsidRPr="00495D00">
              <w:rPr>
                <w:rFonts w:ascii="Arial" w:hAnsi="Arial" w:cs="Arial"/>
                <w:color w:val="231F20"/>
                <w:sz w:val="20"/>
              </w:rPr>
              <w:t>Instent</w:t>
            </w:r>
            <w:proofErr w:type="spellEnd"/>
            <w:r w:rsidRPr="00495D00">
              <w:rPr>
                <w:rFonts w:ascii="Arial" w:hAnsi="Arial" w:cs="Arial"/>
                <w:color w:val="231F20"/>
                <w:sz w:val="20"/>
              </w:rPr>
              <w:t xml:space="preserve"> restenosis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>• Insulin dependent diabetes mellitus</w:t>
            </w:r>
            <w:r w:rsidRPr="00495D00">
              <w:rPr>
                <w:rFonts w:ascii="Arial" w:hAnsi="Arial" w:cs="Arial"/>
                <w:color w:val="231F20"/>
                <w:sz w:val="20"/>
              </w:rPr>
              <w:br/>
              <w:t>• Acute coronary syndrome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Kawata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1997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angina pectoris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Age 44 to 79 years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Coronary artery diameter &lt;2.0 mm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Chronic total occlusion</w:t>
            </w:r>
          </w:p>
        </w:tc>
      </w:tr>
      <w:tr w:rsidR="001305AC" w:rsidRPr="00495D00" w:rsidTr="003C26BE">
        <w:trPr>
          <w:trHeight w:val="30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Mueller 2002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Diabetic, consecutive patients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</w:tr>
      <w:tr w:rsidR="001305AC" w:rsidRPr="00495D00" w:rsidTr="003C26BE">
        <w:trPr>
          <w:trHeight w:val="148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Gaster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2003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Male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With stable angina pectoris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With de novo lesions in native coronary arteries, needed PCI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 of the Odense University Hospital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One or two coronary artery lesions by &gt; 50%.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AMI &lt; 3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mo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before scheduled PCI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Unstable angina within a month before the procedure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Left bundle branch block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Atrial fibrillation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Increased serum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creatinine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concentration (&gt; 200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mmol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/l),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A total occlusion that could not be crossed with a guide wire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No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pullback. </w:t>
            </w:r>
          </w:p>
        </w:tc>
      </w:tr>
      <w:tr w:rsidR="001305AC" w:rsidRPr="00495D00" w:rsidTr="003C26BE">
        <w:trPr>
          <w:trHeight w:val="106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Gill 2007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Stable angina pectoris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Aged 18-70 years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1 or 2 de novo vessel disease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Vessel reference diameter &gt;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2.75mm</w:t>
            </w:r>
            <w:proofErr w:type="spellEnd"/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Lesion length up to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25mm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Recent myocardial infarction or unstable angina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Large calcifications seen on angiography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Large (&gt;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2mm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in diameter) side branch in segment to be stented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Chronic total occlusion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5140B4" w:rsidRDefault="001305AC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 xml:space="preserve">Prospective </w:t>
            </w:r>
          </w:p>
        </w:tc>
        <w:tc>
          <w:tcPr>
            <w:tcW w:w="1789" w:type="dxa"/>
          </w:tcPr>
          <w:p w:rsidR="005140B4" w:rsidRDefault="001305AC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t>Cohort</w:t>
            </w:r>
          </w:p>
        </w:tc>
        <w:tc>
          <w:tcPr>
            <w:tcW w:w="5180" w:type="dxa"/>
            <w:hideMark/>
          </w:tcPr>
          <w:p w:rsidR="005140B4" w:rsidRDefault="001305AC">
            <w:pPr>
              <w:keepNext/>
              <w:keepLines/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80" w:type="dxa"/>
            <w:hideMark/>
          </w:tcPr>
          <w:p w:rsidR="005140B4" w:rsidRDefault="001305AC">
            <w:pPr>
              <w:keepNext/>
              <w:keepLines/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05AC" w:rsidRPr="00495D00" w:rsidTr="003C26BE">
        <w:trPr>
          <w:trHeight w:val="1655"/>
        </w:trPr>
        <w:tc>
          <w:tcPr>
            <w:tcW w:w="1705" w:type="dxa"/>
            <w:hideMark/>
          </w:tcPr>
          <w:p w:rsidR="005140B4" w:rsidRDefault="001305AC">
            <w:pPr>
              <w:keepNext/>
              <w:keepLines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Blasini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1998</w:t>
            </w:r>
          </w:p>
        </w:tc>
        <w:tc>
          <w:tcPr>
            <w:tcW w:w="1789" w:type="dxa"/>
            <w:hideMark/>
          </w:tcPr>
          <w:p w:rsidR="005140B4" w:rsidRDefault="001305AC">
            <w:pPr>
              <w:keepNext/>
              <w:keepLines/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1994 -1995 </w:t>
            </w:r>
          </w:p>
        </w:tc>
        <w:tc>
          <w:tcPr>
            <w:tcW w:w="5180" w:type="dxa"/>
            <w:hideMark/>
          </w:tcPr>
          <w:p w:rsidR="005140B4" w:rsidRDefault="001305AC">
            <w:pPr>
              <w:keepNext/>
              <w:keepLines/>
              <w:spacing w:after="240"/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with symptomatic ischemic heart disease in whom coronary stents were successfully placed after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PTCA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>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 xml:space="preserve">• Patients with indications for stent placement as coronary artery dissections, complete vessel closure, and residual stenosis of 30% or more of the vessel diameter after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PTCA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480" w:type="dxa"/>
            <w:hideMark/>
          </w:tcPr>
          <w:p w:rsidR="005140B4" w:rsidRDefault="001305AC">
            <w:pPr>
              <w:keepNext/>
              <w:keepLines/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acute myocardial infarction</w:t>
            </w:r>
          </w:p>
        </w:tc>
      </w:tr>
      <w:tr w:rsidR="001305AC" w:rsidRPr="00495D00" w:rsidTr="003C26BE">
        <w:trPr>
          <w:trHeight w:val="1961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Sakamoto 1999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1994 - 1997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Consecutive patients with in-stent restenosis after prior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Palmaz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-Schatz stent identified by coronary angiography and underwent repeat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PTCA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. The first 20 consecutive patients were treated by balloon angioplasty without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(22 lesions; quantitative coronary angiography [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QCA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] group). The subsequent 20 consecutive patients were treated by balloon angioplasty with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(21 lesions;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group).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with coronary occlusion due to acute 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subacute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coronary thrombosis with 1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mo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after stent implantation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multiple stent implantation</w:t>
            </w:r>
          </w:p>
        </w:tc>
      </w:tr>
      <w:tr w:rsidR="001305AC" w:rsidRPr="00495D00" w:rsidTr="003C26BE">
        <w:trPr>
          <w:trHeight w:val="237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Fitzgerald 2000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1996 - 1997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symptomatic ischemic heart disease.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 xml:space="preserve">• Patients with new 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restenotic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lesions of the native coronary circulation.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Planned stent implantation with up to 2 stents deployed per patient.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 requiring revascularization of lesions other than the stented lesion.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 xml:space="preserve">• Patients in </w:t>
            </w:r>
            <w:proofErr w:type="gramStart"/>
            <w:r w:rsidRPr="00495D00">
              <w:rPr>
                <w:rFonts w:ascii="Arial" w:hAnsi="Arial" w:cs="Arial"/>
                <w:color w:val="000000"/>
                <w:sz w:val="20"/>
              </w:rPr>
              <w:t>whom</w:t>
            </w:r>
            <w:proofErr w:type="gram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use of aspirin,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ticlopidine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, 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cumarin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was contraindicated.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Patients with the presence of a left main coronary artery lesion.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Those having MI within the past 7 days.</w:t>
            </w:r>
            <w:r w:rsidRPr="00495D00">
              <w:rPr>
                <w:rFonts w:ascii="Arial" w:hAnsi="Arial" w:cs="Arial"/>
                <w:color w:val="000000"/>
                <w:sz w:val="20"/>
              </w:rPr>
              <w:br/>
              <w:t>• Patients with occurrence of a stroke/transient ischemic neurological attack within the past 3 months.</w:t>
            </w:r>
          </w:p>
        </w:tc>
      </w:tr>
      <w:tr w:rsidR="001305AC" w:rsidRPr="00495D00" w:rsidTr="003C26BE">
        <w:trPr>
          <w:trHeight w:val="1709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Gerber 2009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2007 - 2008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Complex lesions.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guided lesions were matched according to diabetes, vessel type, reference vessel diameter, minimum lumen diameter, and lesion length with a group of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angio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treated lesions. All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optimized lesions matched 1:1 with angiographic optimized lesions from another institution. Matching was blinded to the final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QCA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results in both groups.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No lesions were excluded.</w:t>
            </w:r>
          </w:p>
        </w:tc>
      </w:tr>
      <w:tr w:rsidR="001305AC" w:rsidRPr="00495D00" w:rsidTr="003C26BE">
        <w:trPr>
          <w:trHeight w:val="106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lastRenderedPageBreak/>
              <w:t>Ozaki 2007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Included patients had: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Unstable or stable angina,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A single target lesion in a native coronary artery with a vessel diameter &lt;4 mm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Planned stent implantation with up to 2 stents and agreement to follow-up angiography.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Contraindication to anticoagulation and antiplatelet therapy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Graft disease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Left main coronary artery disease.</w:t>
            </w:r>
          </w:p>
        </w:tc>
      </w:tr>
      <w:tr w:rsidR="001305AC" w:rsidRPr="00495D00" w:rsidTr="003C26BE">
        <w:trPr>
          <w:trHeight w:val="108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Orford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2004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Patients undergoing stent implantation who consented for a follow-up angiography initially, followed by any patients without prerequisite for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angio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. Some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patients were enrolled at the discretion of operator.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Initial exclusion </w:t>
            </w:r>
            <w:proofErr w:type="gramStart"/>
            <w:r w:rsidRPr="00495D00">
              <w:rPr>
                <w:rFonts w:ascii="Arial" w:hAnsi="Arial" w:cs="Arial"/>
                <w:color w:val="000000"/>
                <w:sz w:val="20"/>
              </w:rPr>
              <w:t>who</w:t>
            </w:r>
            <w:proofErr w:type="gram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did not undergo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followup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angiography.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t>Retrospective</w:t>
            </w:r>
          </w:p>
        </w:tc>
        <w:tc>
          <w:tcPr>
            <w:tcW w:w="1789" w:type="dxa"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t>Cohort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05AC" w:rsidRPr="00495D00" w:rsidTr="003C26BE">
        <w:trPr>
          <w:trHeight w:val="165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Albiero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1997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1993 - 1995 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Had angiographic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followup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with a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QCA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. Matched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group (in Italy) with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angio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only group (in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germany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). For the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group,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cannot be used before stenting. Matching was based on (1) sex, (2) history of diabetes, (3) previous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PTCA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at the same site, (4) vessel treated, (5) reference diameter ±0.3 mm, (6) baseline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MLD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±0.1 mm, and (7) number ±0.5 of stents deployed.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</w:tr>
      <w:tr w:rsidR="001305AC" w:rsidRPr="00495D00" w:rsidTr="003C26BE">
        <w:trPr>
          <w:trHeight w:val="78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Yoshitomi 1999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1996 - 1997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Stable angina pectoris or previous MI or acute MI. Two groups were patients of different time periods. Like historical controls.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Chronic total coronary artery occlusion.</w:t>
            </w:r>
          </w:p>
        </w:tc>
      </w:tr>
      <w:tr w:rsidR="001305AC" w:rsidRPr="00495D00" w:rsidTr="003C26BE">
        <w:trPr>
          <w:trHeight w:val="728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Choi 2001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1997 - 1998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symptomatic coronary artery disease who underwent elective and emergency coronary artery stenting of a single native coronary vessel.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receiving stent implantations of saphenous vein grafts or multiple vessels 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Faulknier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2004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2001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Randomly selected cases undergone PCI in a single community hospital center.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Agostoni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2005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2002 - 2003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Unprotected left main disease for elective drug eluting stent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Acute MI or cardiogenic shock undergoing emergency PCI 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LMCA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CABG</w:t>
            </w:r>
            <w:proofErr w:type="spellEnd"/>
          </w:p>
        </w:tc>
      </w:tr>
      <w:tr w:rsidR="001305AC" w:rsidRPr="00495D00" w:rsidTr="003C26BE">
        <w:trPr>
          <w:trHeight w:val="39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Fujimoto 2008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2004 - 2006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who had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sirolimus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>-eluting stent implantation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Park 2001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Symptomatic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LMCA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disease, OR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Documented myocardial ischemia and angiographic ≥50% diameter stenosis.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Contraindication to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antiplatelets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or anticoagulation therapy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LVEF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&lt;40%.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Youn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2A4EFF">
              <w:rPr>
                <w:rFonts w:ascii="Arial" w:hAnsi="Arial" w:cs="Arial"/>
                <w:color w:val="000000"/>
                <w:sz w:val="20"/>
              </w:rPr>
              <w:t>2003-2008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 w:rsidRPr="002A4EFF">
              <w:rPr>
                <w:rFonts w:ascii="Arial" w:hAnsi="Arial" w:cs="Arial"/>
                <w:color w:val="000000"/>
                <w:sz w:val="20"/>
              </w:rPr>
              <w:t>Patients with ST-elevated myocardial infarction (</w:t>
            </w:r>
            <w:proofErr w:type="spellStart"/>
            <w:r w:rsidRPr="002A4EFF">
              <w:rPr>
                <w:rFonts w:ascii="Arial" w:hAnsi="Arial" w:cs="Arial"/>
                <w:color w:val="000000"/>
                <w:sz w:val="20"/>
              </w:rPr>
              <w:t>STEMI</w:t>
            </w:r>
            <w:proofErr w:type="spellEnd"/>
            <w:r w:rsidRPr="002A4EFF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 w:rsidRPr="002A4EFF">
              <w:rPr>
                <w:rFonts w:ascii="Arial" w:hAnsi="Arial" w:cs="Arial"/>
                <w:color w:val="000000"/>
                <w:sz w:val="20"/>
              </w:rPr>
              <w:t>Patients who died first hospitalization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Default="001305AC" w:rsidP="003C26B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Nasu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2004</w:t>
            </w:r>
          </w:p>
        </w:tc>
        <w:tc>
          <w:tcPr>
            <w:tcW w:w="1789" w:type="dxa"/>
            <w:hideMark/>
          </w:tcPr>
          <w:p w:rsidR="001305AC" w:rsidRPr="002A4EFF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1992-1997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Patients who had undergone successful stand-alone directional coronary </w:t>
            </w:r>
            <w:proofErr w:type="spellStart"/>
            <w:r>
              <w:rPr>
                <w:rFonts w:ascii="Arial" w:hAnsi="Arial" w:cs="Arial"/>
                <w:sz w:val="20"/>
              </w:rPr>
              <w:t>atherectomy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had short-term follow-up angiography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Patients who had died, or had any target vessel revascularization</w:t>
            </w:r>
          </w:p>
        </w:tc>
      </w:tr>
      <w:tr w:rsidR="001305AC" w:rsidRPr="00495D00" w:rsidTr="003C26BE">
        <w:trPr>
          <w:trHeight w:val="570"/>
        </w:trPr>
        <w:tc>
          <w:tcPr>
            <w:tcW w:w="1705" w:type="dxa"/>
            <w:hideMark/>
          </w:tcPr>
          <w:p w:rsidR="001305AC" w:rsidRDefault="001305AC" w:rsidP="003C26B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MS Mincho" w:hAnsi="Arial" w:cs="Arial" w:hint="eastAsia"/>
                <w:sz w:val="20"/>
                <w:lang w:eastAsia="ja-JP"/>
              </w:rPr>
              <w:t>Seo</w:t>
            </w:r>
            <w:proofErr w:type="spellEnd"/>
            <w:r>
              <w:rPr>
                <w:rFonts w:ascii="Arial" w:eastAsia="MS Mincho" w:hAnsi="Arial" w:cs="Arial" w:hint="eastAsia"/>
                <w:sz w:val="20"/>
                <w:lang w:eastAsia="ja-JP"/>
              </w:rPr>
              <w:t xml:space="preserve"> 1996</w:t>
            </w:r>
          </w:p>
        </w:tc>
        <w:tc>
          <w:tcPr>
            <w:tcW w:w="1789" w:type="dxa"/>
            <w:hideMark/>
          </w:tcPr>
          <w:p w:rsidR="001305AC" w:rsidRPr="002A4EFF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MS Mincho" w:hAnsi="Arial" w:cs="Arial" w:hint="eastAsia"/>
                <w:sz w:val="20"/>
                <w:lang w:eastAsia="ja-JP"/>
              </w:rPr>
              <w:t>1992-1994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eastAsia="MS Mincho" w:hAnsi="Arial" w:cs="Arial" w:hint="eastAsia"/>
                <w:sz w:val="20"/>
                <w:lang w:eastAsia="ja-JP"/>
              </w:rPr>
              <w:t xml:space="preserve">Patients with angina pectoris who had undergone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percutaneous coronary angioplasty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Diameter</w:t>
            </w:r>
            <w:r>
              <w:rPr>
                <w:rFonts w:ascii="Arial" w:eastAsia="MS Mincho" w:hAnsi="Arial" w:cs="Arial" w:hint="eastAsia"/>
                <w:sz w:val="20"/>
                <w:lang w:eastAsia="ja-JP"/>
              </w:rPr>
              <w:t xml:space="preserve"> of the distal coronary artery 1.5 mm or less and impossible to advance the </w:t>
            </w:r>
            <w:proofErr w:type="spellStart"/>
            <w:r>
              <w:rPr>
                <w:rFonts w:ascii="Arial" w:eastAsia="MS Mincho" w:hAnsi="Arial" w:cs="Arial" w:hint="eastAsia"/>
                <w:sz w:val="20"/>
                <w:lang w:eastAsia="ja-JP"/>
              </w:rPr>
              <w:t>IVUS</w:t>
            </w:r>
            <w:proofErr w:type="spellEnd"/>
            <w:r>
              <w:rPr>
                <w:rFonts w:ascii="Arial" w:eastAsia="MS Mincho" w:hAnsi="Arial" w:cs="Arial" w:hint="eastAsia"/>
                <w:sz w:val="20"/>
                <w:lang w:eastAsia="ja-JP"/>
              </w:rPr>
              <w:t xml:space="preserve"> catheter; possibility of ischemia due to a catheter insertion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D00">
              <w:rPr>
                <w:rFonts w:ascii="Arial" w:hAnsi="Arial" w:cs="Arial"/>
                <w:b/>
                <w:bCs/>
                <w:color w:val="000000"/>
                <w:sz w:val="20"/>
              </w:rPr>
              <w:t>Registry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Ahmed 2011</w:t>
            </w:r>
          </w:p>
        </w:tc>
        <w:tc>
          <w:tcPr>
            <w:tcW w:w="1789" w:type="dxa"/>
            <w:hideMark/>
          </w:tcPr>
          <w:p w:rsidR="001305AC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2006-2010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Patients with </w:t>
            </w:r>
            <w:r w:rsidRPr="002A4EFF">
              <w:rPr>
                <w:rFonts w:ascii="Arial" w:hAnsi="Arial" w:cs="Arial"/>
                <w:color w:val="000000"/>
                <w:sz w:val="20"/>
              </w:rPr>
              <w:t>AMI and had PCI</w:t>
            </w:r>
          </w:p>
        </w:tc>
        <w:tc>
          <w:tcPr>
            <w:tcW w:w="4480" w:type="dxa"/>
            <w:hideMark/>
          </w:tcPr>
          <w:p w:rsidR="001305AC" w:rsidRPr="002A4EFF" w:rsidRDefault="001305AC" w:rsidP="003C26BE">
            <w:pPr>
              <w:rPr>
                <w:rFonts w:ascii="Arial" w:eastAsia="Calibri" w:hAnsi="Arial" w:cs="Arial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Calibri" w:hAnsi="Arial" w:cs="Arial"/>
                <w:sz w:val="20"/>
              </w:rPr>
              <w:t>C</w:t>
            </w:r>
            <w:r w:rsidRPr="002A4EFF">
              <w:rPr>
                <w:rFonts w:ascii="Arial" w:eastAsia="Calibri" w:hAnsi="Arial" w:cs="Arial"/>
                <w:sz w:val="20"/>
              </w:rPr>
              <w:t>ardiogenic shock, rescue PCI after IV thrombolysis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Default="001305AC" w:rsidP="003C26B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Biondi-Zocccai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2011</w:t>
            </w:r>
          </w:p>
        </w:tc>
        <w:tc>
          <w:tcPr>
            <w:tcW w:w="1789" w:type="dxa"/>
            <w:hideMark/>
          </w:tcPr>
          <w:p w:rsidR="001305AC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2A4EFF">
              <w:rPr>
                <w:rFonts w:ascii="Arial" w:hAnsi="Arial" w:cs="Arial"/>
                <w:color w:val="000000"/>
                <w:sz w:val="20"/>
              </w:rPr>
              <w:t>2002-2006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</w:t>
            </w:r>
            <w:r w:rsidRPr="002A4EFF">
              <w:rPr>
                <w:rFonts w:ascii="Arial" w:hAnsi="Arial" w:cs="Arial"/>
                <w:color w:val="000000"/>
                <w:sz w:val="20"/>
              </w:rPr>
              <w:t>onsecutive p</w:t>
            </w:r>
            <w:r>
              <w:rPr>
                <w:rFonts w:ascii="Arial" w:hAnsi="Arial" w:cs="Arial"/>
                <w:color w:val="000000"/>
                <w:sz w:val="20"/>
              </w:rPr>
              <w:t>atien</w:t>
            </w:r>
            <w:r w:rsidRPr="002A4EFF">
              <w:rPr>
                <w:rFonts w:ascii="Arial" w:hAnsi="Arial" w:cs="Arial"/>
                <w:color w:val="000000"/>
                <w:sz w:val="20"/>
              </w:rPr>
              <w:t xml:space="preserve">ts undergoing PCI at a bifurcation lesion of a  major </w:t>
            </w:r>
            <w:proofErr w:type="spellStart"/>
            <w:r w:rsidRPr="002A4EFF">
              <w:rPr>
                <w:rFonts w:ascii="Arial" w:hAnsi="Arial" w:cs="Arial"/>
                <w:color w:val="000000"/>
                <w:sz w:val="20"/>
              </w:rPr>
              <w:t>epicardial</w:t>
            </w:r>
            <w:proofErr w:type="spellEnd"/>
            <w:r w:rsidRPr="002A4EFF">
              <w:rPr>
                <w:rFonts w:ascii="Arial" w:hAnsi="Arial" w:cs="Arial"/>
                <w:color w:val="000000"/>
                <w:sz w:val="20"/>
              </w:rPr>
              <w:t xml:space="preserve"> vessel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 specific exclusion criteria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Claessen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2004-2006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F0FAF">
              <w:rPr>
                <w:rFonts w:ascii="Arial" w:hAnsi="Arial" w:cs="Arial"/>
                <w:color w:val="000000"/>
                <w:sz w:val="20"/>
              </w:rPr>
              <w:t xml:space="preserve">Diagnosed with single- or </w:t>
            </w:r>
            <w:proofErr w:type="spellStart"/>
            <w:r w:rsidRPr="00DF0FAF">
              <w:rPr>
                <w:rFonts w:ascii="Arial" w:hAnsi="Arial" w:cs="Arial"/>
                <w:color w:val="000000"/>
                <w:sz w:val="20"/>
              </w:rPr>
              <w:t>multivessel</w:t>
            </w:r>
            <w:proofErr w:type="spellEnd"/>
            <w:r w:rsidRPr="00DF0FAF">
              <w:rPr>
                <w:rFonts w:ascii="Arial" w:hAnsi="Arial" w:cs="Arial"/>
                <w:color w:val="000000"/>
                <w:sz w:val="20"/>
              </w:rPr>
              <w:t xml:space="preserve"> coronary artery disease, undergoing PCI with at least 1 </w:t>
            </w:r>
            <w:r>
              <w:rPr>
                <w:rFonts w:ascii="Arial" w:hAnsi="Arial" w:cs="Arial"/>
                <w:color w:val="000000"/>
                <w:sz w:val="20"/>
              </w:rPr>
              <w:t>stent</w:t>
            </w:r>
            <w:r w:rsidRPr="00DF0FAF">
              <w:rPr>
                <w:rFonts w:ascii="Arial" w:hAnsi="Arial" w:cs="Arial"/>
                <w:color w:val="000000"/>
                <w:sz w:val="20"/>
              </w:rPr>
              <w:t xml:space="preserve"> placement, de novo or </w:t>
            </w:r>
            <w:proofErr w:type="spellStart"/>
            <w:r w:rsidRPr="00DF0FAF">
              <w:rPr>
                <w:rFonts w:ascii="Arial" w:hAnsi="Arial" w:cs="Arial"/>
                <w:color w:val="000000"/>
                <w:sz w:val="20"/>
              </w:rPr>
              <w:t>restenotic</w:t>
            </w:r>
            <w:proofErr w:type="spellEnd"/>
            <w:r w:rsidRPr="00DF0FAF">
              <w:rPr>
                <w:rFonts w:ascii="Arial" w:hAnsi="Arial" w:cs="Arial"/>
                <w:color w:val="000000"/>
                <w:sz w:val="20"/>
              </w:rPr>
              <w:t xml:space="preserve"> (including in-stent restenosis and coronary brachytherapy failure) lesions needing stent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Pr="006A57C5">
              <w:rPr>
                <w:rFonts w:ascii="Arial" w:eastAsia="Calibri" w:hAnsi="Arial" w:cs="Arial"/>
                <w:sz w:val="20"/>
              </w:rPr>
              <w:t xml:space="preserve">Allergic to aspirin, </w:t>
            </w:r>
            <w:proofErr w:type="spellStart"/>
            <w:r w:rsidRPr="006A57C5">
              <w:rPr>
                <w:rFonts w:ascii="Arial" w:eastAsia="Calibri" w:hAnsi="Arial" w:cs="Arial"/>
                <w:sz w:val="20"/>
              </w:rPr>
              <w:t>clopidogrel</w:t>
            </w:r>
            <w:proofErr w:type="spellEnd"/>
            <w:r w:rsidRPr="006A57C5">
              <w:rPr>
                <w:rFonts w:ascii="Arial" w:eastAsia="Calibri" w:hAnsi="Arial" w:cs="Arial"/>
                <w:sz w:val="20"/>
              </w:rPr>
              <w:t xml:space="preserve"> or </w:t>
            </w:r>
            <w:proofErr w:type="spellStart"/>
            <w:r w:rsidRPr="006A57C5">
              <w:rPr>
                <w:rFonts w:ascii="Arial" w:eastAsia="Calibri" w:hAnsi="Arial" w:cs="Arial"/>
                <w:sz w:val="20"/>
              </w:rPr>
              <w:t>ticlopidine</w:t>
            </w:r>
            <w:proofErr w:type="spellEnd"/>
            <w:r w:rsidRPr="006A57C5">
              <w:rPr>
                <w:rFonts w:ascii="Arial" w:eastAsia="Calibri" w:hAnsi="Arial" w:cs="Arial"/>
                <w:sz w:val="20"/>
              </w:rPr>
              <w:t xml:space="preserve">, heparin, </w:t>
            </w:r>
            <w:proofErr w:type="spellStart"/>
            <w:r w:rsidRPr="006A57C5">
              <w:rPr>
                <w:rFonts w:ascii="Arial" w:eastAsia="Calibri" w:hAnsi="Arial" w:cs="Arial"/>
                <w:sz w:val="20"/>
              </w:rPr>
              <w:t>bivalirudin</w:t>
            </w:r>
            <w:proofErr w:type="spellEnd"/>
          </w:p>
        </w:tc>
      </w:tr>
      <w:tr w:rsidR="001305AC" w:rsidRPr="00495D00" w:rsidTr="003C26BE">
        <w:trPr>
          <w:trHeight w:val="58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Park 2009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2000 - 2006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Elective PCI for unprotected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LMCA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stenosis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Prior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CABG</w:t>
            </w:r>
            <w:proofErr w:type="spellEnd"/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Concomitant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valvular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or aortic surgery, presented with cardiogenic shock or MI.</w:t>
            </w:r>
          </w:p>
        </w:tc>
      </w:tr>
      <w:tr w:rsidR="001305AC" w:rsidRPr="00495D00" w:rsidTr="003C26BE">
        <w:trPr>
          <w:trHeight w:val="151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Roy 2008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2003 - 2006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Registry of consecutive patients in Washington Hospital Center had drug-eluting stents (DES) implantation. Sample of patients with </w:t>
            </w: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and a sample of propensity score-matched patients with angiographic guidance only were analyzed. Score was matched for clinical and angiographic characteristics.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</w:tr>
      <w:tr w:rsidR="001305AC" w:rsidRPr="00495D00" w:rsidTr="003C26BE">
        <w:trPr>
          <w:trHeight w:val="52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95D00">
              <w:rPr>
                <w:rFonts w:ascii="Arial" w:hAnsi="Arial" w:cs="Arial"/>
                <w:color w:val="000000"/>
                <w:sz w:val="20"/>
              </w:rPr>
              <w:t>Maluenda</w:t>
            </w:r>
            <w:proofErr w:type="spellEnd"/>
            <w:r w:rsidRPr="00495D00">
              <w:rPr>
                <w:rFonts w:ascii="Arial" w:hAnsi="Arial" w:cs="Arial"/>
                <w:color w:val="000000"/>
                <w:sz w:val="20"/>
              </w:rPr>
              <w:t xml:space="preserve"> 2011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2003 - 2007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surviving the hospitalization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Patients with cardiogenic shock and rescue PCI after intravenous thrombolysis</w:t>
            </w:r>
          </w:p>
        </w:tc>
      </w:tr>
      <w:tr w:rsidR="001305AC" w:rsidRPr="00495D00" w:rsidTr="003C26BE">
        <w:trPr>
          <w:trHeight w:val="124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sz w:val="20"/>
              </w:rPr>
              <w:lastRenderedPageBreak/>
              <w:t>Kim 2011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sz w:val="20"/>
              </w:rPr>
              <w:t xml:space="preserve">2004 - 2006 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sz w:val="20"/>
              </w:rPr>
              <w:t>• Main vessel (MV) diameter ≥2.5 mm and side branch (SB) diameter ≥2.0 mm</w:t>
            </w:r>
            <w:r w:rsidRPr="00495D00">
              <w:rPr>
                <w:rFonts w:ascii="Arial" w:hAnsi="Arial" w:cs="Arial"/>
                <w:sz w:val="20"/>
              </w:rPr>
              <w:br/>
              <w:t xml:space="preserve">• Sample of patients with </w:t>
            </w:r>
            <w:proofErr w:type="spellStart"/>
            <w:r w:rsidRPr="00495D00">
              <w:rPr>
                <w:rFonts w:ascii="Arial" w:hAnsi="Arial" w:cs="Arial"/>
                <w:sz w:val="20"/>
              </w:rPr>
              <w:t>IVUS</w:t>
            </w:r>
            <w:proofErr w:type="spellEnd"/>
            <w:r w:rsidRPr="00495D00">
              <w:rPr>
                <w:rFonts w:ascii="Arial" w:hAnsi="Arial" w:cs="Arial"/>
                <w:sz w:val="20"/>
              </w:rPr>
              <w:t xml:space="preserve"> guidance and a sample of propensity score-matched patients with angiographic guidance were analyzed.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Pr="00495D00">
              <w:rPr>
                <w:rFonts w:ascii="Arial" w:hAnsi="Arial" w:cs="Arial"/>
                <w:sz w:val="20"/>
              </w:rPr>
              <w:t>Cardiogenic shock</w:t>
            </w:r>
          </w:p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Pr="00495D00">
              <w:rPr>
                <w:rFonts w:ascii="Arial" w:hAnsi="Arial" w:cs="Arial"/>
                <w:sz w:val="20"/>
              </w:rPr>
              <w:t>ST-segment elevation acute myocardial infarction within the previous 48 hours</w:t>
            </w:r>
          </w:p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L</w:t>
            </w:r>
            <w:r w:rsidRPr="00495D00">
              <w:rPr>
                <w:rFonts w:ascii="Arial" w:hAnsi="Arial" w:cs="Arial"/>
                <w:sz w:val="20"/>
              </w:rPr>
              <w:t xml:space="preserve">ife expectancy &lt;1 </w:t>
            </w:r>
            <w:proofErr w:type="spellStart"/>
            <w:r w:rsidRPr="00495D00">
              <w:rPr>
                <w:rFonts w:ascii="Arial" w:hAnsi="Arial" w:cs="Arial"/>
                <w:sz w:val="20"/>
              </w:rPr>
              <w:t>yr</w:t>
            </w:r>
            <w:proofErr w:type="spellEnd"/>
          </w:p>
          <w:p w:rsidR="001305AC" w:rsidRPr="00495D00" w:rsidRDefault="001305AC" w:rsidP="003C26BE">
            <w:pPr>
              <w:rPr>
                <w:rFonts w:ascii="Arial" w:hAnsi="Arial" w:cs="Arial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Le</w:t>
            </w:r>
            <w:r w:rsidRPr="00495D00">
              <w:rPr>
                <w:rFonts w:ascii="Arial" w:hAnsi="Arial" w:cs="Arial"/>
                <w:sz w:val="20"/>
              </w:rPr>
              <w:t>ft main bifurcation</w:t>
            </w:r>
          </w:p>
        </w:tc>
      </w:tr>
      <w:tr w:rsidR="001305AC" w:rsidRPr="00495D00" w:rsidTr="003C26BE">
        <w:trPr>
          <w:trHeight w:val="300"/>
        </w:trPr>
        <w:tc>
          <w:tcPr>
            <w:tcW w:w="1705" w:type="dxa"/>
            <w:noWrap/>
            <w:hideMark/>
          </w:tcPr>
          <w:p w:rsidR="001305AC" w:rsidRPr="006E0A58" w:rsidRDefault="001305AC" w:rsidP="003C26B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E0A58">
              <w:rPr>
                <w:rFonts w:ascii="Arial" w:hAnsi="Arial" w:cs="Arial"/>
                <w:b/>
                <w:bCs/>
                <w:color w:val="000000"/>
                <w:sz w:val="20"/>
              </w:rPr>
              <w:t>Cross-Sectional</w:t>
            </w:r>
          </w:p>
        </w:tc>
        <w:tc>
          <w:tcPr>
            <w:tcW w:w="1789" w:type="dxa"/>
          </w:tcPr>
          <w:p w:rsidR="001305AC" w:rsidRPr="00495D00" w:rsidRDefault="001305AC" w:rsidP="003C26BE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05AC" w:rsidRPr="008C39CB" w:rsidTr="003C26BE">
        <w:trPr>
          <w:trHeight w:val="855"/>
        </w:trPr>
        <w:tc>
          <w:tcPr>
            <w:tcW w:w="1705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Talley 1996</w:t>
            </w:r>
          </w:p>
        </w:tc>
        <w:tc>
          <w:tcPr>
            <w:tcW w:w="1789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ND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 xml:space="preserve">• Patients going through elective standard balloon angioplasty. </w:t>
            </w:r>
          </w:p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Note: group assignment was based on patients’ clinical characteristics.</w:t>
            </w:r>
          </w:p>
        </w:tc>
        <w:tc>
          <w:tcPr>
            <w:tcW w:w="4480" w:type="dxa"/>
            <w:hideMark/>
          </w:tcPr>
          <w:p w:rsidR="001305AC" w:rsidRPr="008C39CB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 Multiple vessel coronary angioplasty</w:t>
            </w:r>
          </w:p>
        </w:tc>
      </w:tr>
      <w:tr w:rsidR="001305AC" w:rsidRPr="00495D00" w:rsidTr="003C26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705" w:type="dxa"/>
            <w:hideMark/>
          </w:tcPr>
          <w:p w:rsidR="001305AC" w:rsidRPr="00DB6BCE" w:rsidRDefault="001305AC" w:rsidP="003C26BE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FFR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V</w:t>
            </w:r>
            <w:r w:rsidRPr="00DB6BCE">
              <w:rPr>
                <w:rFonts w:ascii="Arial" w:hAnsi="Arial" w:cs="Arial"/>
                <w:b/>
                <w:sz w:val="20"/>
              </w:rPr>
              <w:t xml:space="preserve">ersus </w:t>
            </w:r>
            <w:proofErr w:type="spellStart"/>
            <w:r w:rsidRPr="00DB6BCE">
              <w:rPr>
                <w:rFonts w:ascii="Arial" w:hAnsi="Arial" w:cs="Arial"/>
                <w:b/>
                <w:sz w:val="20"/>
              </w:rPr>
              <w:t>IVUS</w:t>
            </w:r>
            <w:proofErr w:type="spellEnd"/>
          </w:p>
        </w:tc>
        <w:tc>
          <w:tcPr>
            <w:tcW w:w="1789" w:type="dxa"/>
            <w:hideMark/>
          </w:tcPr>
          <w:p w:rsidR="001305AC" w:rsidRPr="002A4EFF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305AC" w:rsidRPr="00495D00" w:rsidTr="003C26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705" w:type="dxa"/>
            <w:hideMark/>
          </w:tcPr>
          <w:p w:rsidR="001305AC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 2010</w:t>
            </w:r>
          </w:p>
        </w:tc>
        <w:tc>
          <w:tcPr>
            <w:tcW w:w="1789" w:type="dxa"/>
            <w:hideMark/>
          </w:tcPr>
          <w:p w:rsidR="001305AC" w:rsidRPr="002A4EFF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2006-2008</w:t>
            </w:r>
          </w:p>
        </w:tc>
        <w:tc>
          <w:tcPr>
            <w:tcW w:w="51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40-70% stenosis by visual impairment; single lesion in the proximal/mid part of a major </w:t>
            </w:r>
            <w:proofErr w:type="spellStart"/>
            <w:r>
              <w:rPr>
                <w:rFonts w:ascii="Arial" w:hAnsi="Arial" w:cs="Arial"/>
                <w:sz w:val="20"/>
              </w:rPr>
              <w:t>epicardial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artery with reference vessel diameter &gt;2.5 mm; no documented evidence of ischemia</w:t>
            </w:r>
          </w:p>
        </w:tc>
        <w:tc>
          <w:tcPr>
            <w:tcW w:w="4480" w:type="dxa"/>
            <w:hideMark/>
          </w:tcPr>
          <w:p w:rsidR="001305AC" w:rsidRPr="00495D00" w:rsidRDefault="001305AC" w:rsidP="003C26BE">
            <w:pPr>
              <w:rPr>
                <w:rFonts w:ascii="Arial" w:hAnsi="Arial" w:cs="Arial"/>
                <w:color w:val="000000"/>
                <w:sz w:val="20"/>
              </w:rPr>
            </w:pPr>
            <w:r w:rsidRPr="00495D00">
              <w:rPr>
                <w:rFonts w:ascii="Arial" w:hAnsi="Arial" w:cs="Arial"/>
                <w:color w:val="000000"/>
                <w:sz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Had primary or emergent PCI for ACS; had </w:t>
            </w:r>
            <w:proofErr w:type="spellStart"/>
            <w:r>
              <w:rPr>
                <w:rFonts w:ascii="Arial" w:hAnsi="Arial" w:cs="Arial"/>
                <w:sz w:val="20"/>
              </w:rPr>
              <w:t>CABG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multiple lesions in the same artery; left main disease, primary myocardial disease, or a major life threatening illness; contraindications to adenosine, </w:t>
            </w:r>
            <w:proofErr w:type="spellStart"/>
            <w:r>
              <w:rPr>
                <w:rFonts w:ascii="Arial" w:hAnsi="Arial" w:cs="Arial"/>
                <w:sz w:val="20"/>
              </w:rPr>
              <w:t>ASA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clopidogrel</w:t>
            </w:r>
            <w:proofErr w:type="spellEnd"/>
          </w:p>
        </w:tc>
      </w:tr>
    </w:tbl>
    <w:p w:rsidR="001305AC" w:rsidRDefault="001305AC" w:rsidP="001305AC"/>
    <w:p w:rsidR="001305AC" w:rsidRDefault="001305AC" w:rsidP="001305AC">
      <w:pPr>
        <w:pStyle w:val="ParagraphNoIndent"/>
        <w:rPr>
          <w:rFonts w:ascii="Arial" w:eastAsia="Calibri" w:hAnsi="Arial" w:cs="Arial"/>
          <w:b/>
          <w:sz w:val="18"/>
          <w:szCs w:val="18"/>
        </w:rPr>
      </w:pPr>
    </w:p>
    <w:p w:rsidR="000B1044" w:rsidRDefault="000B1044" w:rsidP="001305AC">
      <w:pPr>
        <w:pStyle w:val="ParagraphNoIndent"/>
        <w:sectPr w:rsidR="000B1044" w:rsidSect="000B1044">
          <w:footerReference w:type="default" r:id="rId9"/>
          <w:pgSz w:w="15840" w:h="12240" w:orient="landscape"/>
          <w:pgMar w:top="1800" w:right="1440" w:bottom="1800" w:left="1440" w:header="720" w:footer="720" w:gutter="0"/>
          <w:pgNumType w:start="20"/>
          <w:cols w:space="720"/>
          <w:noEndnote/>
          <w:docGrid w:linePitch="326"/>
        </w:sectPr>
      </w:pPr>
    </w:p>
    <w:p w:rsidR="000B1044" w:rsidRDefault="000B1044" w:rsidP="001305AC">
      <w:pPr>
        <w:pStyle w:val="ParagraphNoIndent"/>
      </w:pPr>
      <w:bookmarkStart w:id="0" w:name="_GoBack"/>
      <w:bookmarkEnd w:id="0"/>
    </w:p>
    <w:sectPr w:rsidR="000B1044" w:rsidSect="000B1044">
      <w:footerReference w:type="default" r:id="rId10"/>
      <w:type w:val="continuous"/>
      <w:pgSz w:w="15840" w:h="1224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33" w:rsidRDefault="00186833">
      <w:r>
        <w:separator/>
      </w:r>
    </w:p>
  </w:endnote>
  <w:endnote w:type="continuationSeparator" w:id="0">
    <w:p w:rsidR="00186833" w:rsidRDefault="0018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E" w:rsidRDefault="008D79CE">
    <w:pPr>
      <w:pStyle w:val="PageNumber0"/>
    </w:pPr>
    <w:r>
      <w:t>C-</w:t>
    </w:r>
    <w:r w:rsidR="00186833">
      <w:fldChar w:fldCharType="begin"/>
    </w:r>
    <w:r w:rsidR="00186833">
      <w:instrText xml:space="preserve"> PAGE   \* MERGEFORMAT </w:instrText>
    </w:r>
    <w:r w:rsidR="00186833">
      <w:fldChar w:fldCharType="separate"/>
    </w:r>
    <w:r w:rsidR="000B1044">
      <w:rPr>
        <w:noProof/>
      </w:rPr>
      <w:t>26</w:t>
    </w:r>
    <w:r w:rsidR="0018683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E" w:rsidRDefault="008D79CE">
    <w:pPr>
      <w:pStyle w:val="PageNumber0"/>
    </w:pPr>
    <w:r>
      <w:t>D-</w:t>
    </w:r>
    <w:r w:rsidR="00186833">
      <w:fldChar w:fldCharType="begin"/>
    </w:r>
    <w:r w:rsidR="00186833">
      <w:instrText xml:space="preserve"> PAGE   \* MERGEFORMAT </w:instrText>
    </w:r>
    <w:r w:rsidR="00186833">
      <w:fldChar w:fldCharType="separate"/>
    </w:r>
    <w:r w:rsidR="000B1044">
      <w:rPr>
        <w:noProof/>
      </w:rPr>
      <w:t>2</w:t>
    </w:r>
    <w:r w:rsidR="001868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33" w:rsidRDefault="00186833">
      <w:r>
        <w:separator/>
      </w:r>
    </w:p>
  </w:footnote>
  <w:footnote w:type="continuationSeparator" w:id="0">
    <w:p w:rsidR="00186833" w:rsidRDefault="0018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FE0A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2262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1EB9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5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4A2E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1C33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C0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4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2A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D41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976"/>
    <w:multiLevelType w:val="hybridMultilevel"/>
    <w:tmpl w:val="12E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03C5F"/>
    <w:multiLevelType w:val="hybridMultilevel"/>
    <w:tmpl w:val="797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34C9B"/>
    <w:multiLevelType w:val="hybridMultilevel"/>
    <w:tmpl w:val="54DA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4725"/>
    <w:multiLevelType w:val="hybridMultilevel"/>
    <w:tmpl w:val="73F4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892294"/>
    <w:multiLevelType w:val="hybridMultilevel"/>
    <w:tmpl w:val="8C6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405B6"/>
    <w:multiLevelType w:val="hybridMultilevel"/>
    <w:tmpl w:val="794832B6"/>
    <w:lvl w:ilvl="0" w:tplc="49DCF34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43283"/>
    <w:multiLevelType w:val="hybridMultilevel"/>
    <w:tmpl w:val="5D30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141EC"/>
    <w:multiLevelType w:val="hybridMultilevel"/>
    <w:tmpl w:val="7FD80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590B53"/>
    <w:multiLevelType w:val="hybridMultilevel"/>
    <w:tmpl w:val="B68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47B51"/>
    <w:multiLevelType w:val="hybridMultilevel"/>
    <w:tmpl w:val="4ABE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03AD1"/>
    <w:multiLevelType w:val="hybridMultilevel"/>
    <w:tmpl w:val="6310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40923"/>
    <w:multiLevelType w:val="hybridMultilevel"/>
    <w:tmpl w:val="8F8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B4630"/>
    <w:multiLevelType w:val="hybridMultilevel"/>
    <w:tmpl w:val="D87C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A104E"/>
    <w:multiLevelType w:val="hybridMultilevel"/>
    <w:tmpl w:val="63AAEFD0"/>
    <w:lvl w:ilvl="0" w:tplc="49DCF346">
      <w:start w:val="1"/>
      <w:numFmt w:val="bullet"/>
      <w:lvlText w:val="-"/>
      <w:lvlJc w:val="left"/>
      <w:pPr>
        <w:ind w:left="825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F467428"/>
    <w:multiLevelType w:val="hybridMultilevel"/>
    <w:tmpl w:val="024A2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4"/>
  </w:num>
  <w:num w:numId="5">
    <w:abstractNumId w:val="23"/>
  </w:num>
  <w:num w:numId="6">
    <w:abstractNumId w:val="16"/>
  </w:num>
  <w:num w:numId="7">
    <w:abstractNumId w:val="20"/>
  </w:num>
  <w:num w:numId="8">
    <w:abstractNumId w:val="18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1"/>
  </w:num>
  <w:num w:numId="23">
    <w:abstractNumId w:val="27"/>
  </w:num>
  <w:num w:numId="24">
    <w:abstractNumId w:val="30"/>
  </w:num>
  <w:num w:numId="25">
    <w:abstractNumId w:val="10"/>
  </w:num>
  <w:num w:numId="26">
    <w:abstractNumId w:val="28"/>
  </w:num>
  <w:num w:numId="27">
    <w:abstractNumId w:val="11"/>
  </w:num>
  <w:num w:numId="28">
    <w:abstractNumId w:val="13"/>
  </w:num>
  <w:num w:numId="29">
    <w:abstractNumId w:val="24"/>
  </w:num>
  <w:num w:numId="30">
    <w:abstractNumId w:val="24"/>
  </w:num>
  <w:num w:numId="31">
    <w:abstractNumId w:val="23"/>
  </w:num>
  <w:num w:numId="32">
    <w:abstractNumId w:val="14"/>
  </w:num>
  <w:num w:numId="33">
    <w:abstractNumId w:val="22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폜㊱Ѐ"/>
  </w:docVars>
  <w:rsids>
    <w:rsidRoot w:val="00826C8E"/>
    <w:rsid w:val="000003D5"/>
    <w:rsid w:val="0000086F"/>
    <w:rsid w:val="00000E52"/>
    <w:rsid w:val="00001560"/>
    <w:rsid w:val="00001CE6"/>
    <w:rsid w:val="00003096"/>
    <w:rsid w:val="00003CDD"/>
    <w:rsid w:val="0000478F"/>
    <w:rsid w:val="00007A8D"/>
    <w:rsid w:val="000112BB"/>
    <w:rsid w:val="000113E7"/>
    <w:rsid w:val="00011CC8"/>
    <w:rsid w:val="00012CA0"/>
    <w:rsid w:val="0001404C"/>
    <w:rsid w:val="00014130"/>
    <w:rsid w:val="00014C11"/>
    <w:rsid w:val="00014C32"/>
    <w:rsid w:val="0001528E"/>
    <w:rsid w:val="00016891"/>
    <w:rsid w:val="00017F86"/>
    <w:rsid w:val="000206AF"/>
    <w:rsid w:val="00020D60"/>
    <w:rsid w:val="000235CA"/>
    <w:rsid w:val="00023E3A"/>
    <w:rsid w:val="00024D09"/>
    <w:rsid w:val="00025F29"/>
    <w:rsid w:val="00030589"/>
    <w:rsid w:val="00030728"/>
    <w:rsid w:val="00030C10"/>
    <w:rsid w:val="00031E9A"/>
    <w:rsid w:val="000356D1"/>
    <w:rsid w:val="00036B10"/>
    <w:rsid w:val="00041A93"/>
    <w:rsid w:val="00044156"/>
    <w:rsid w:val="00044406"/>
    <w:rsid w:val="00044A37"/>
    <w:rsid w:val="00045187"/>
    <w:rsid w:val="0004600B"/>
    <w:rsid w:val="0005053F"/>
    <w:rsid w:val="00050AC3"/>
    <w:rsid w:val="00050D12"/>
    <w:rsid w:val="000514C9"/>
    <w:rsid w:val="00053FDF"/>
    <w:rsid w:val="00054B2F"/>
    <w:rsid w:val="00057579"/>
    <w:rsid w:val="000578FF"/>
    <w:rsid w:val="00057E02"/>
    <w:rsid w:val="0006017D"/>
    <w:rsid w:val="0006082B"/>
    <w:rsid w:val="00060EE6"/>
    <w:rsid w:val="00066A9A"/>
    <w:rsid w:val="00070708"/>
    <w:rsid w:val="0007137D"/>
    <w:rsid w:val="0007308F"/>
    <w:rsid w:val="00073EEF"/>
    <w:rsid w:val="00075F59"/>
    <w:rsid w:val="00076BCF"/>
    <w:rsid w:val="00076D51"/>
    <w:rsid w:val="000808B4"/>
    <w:rsid w:val="00080D51"/>
    <w:rsid w:val="00081848"/>
    <w:rsid w:val="0008313C"/>
    <w:rsid w:val="000844D9"/>
    <w:rsid w:val="00084BEA"/>
    <w:rsid w:val="000850F6"/>
    <w:rsid w:val="00087962"/>
    <w:rsid w:val="00087993"/>
    <w:rsid w:val="000904FD"/>
    <w:rsid w:val="000915CE"/>
    <w:rsid w:val="0009453F"/>
    <w:rsid w:val="00094A7F"/>
    <w:rsid w:val="000A0037"/>
    <w:rsid w:val="000A0FE3"/>
    <w:rsid w:val="000A1940"/>
    <w:rsid w:val="000A5682"/>
    <w:rsid w:val="000A5976"/>
    <w:rsid w:val="000A61ED"/>
    <w:rsid w:val="000A6F99"/>
    <w:rsid w:val="000A7729"/>
    <w:rsid w:val="000A77B8"/>
    <w:rsid w:val="000B085A"/>
    <w:rsid w:val="000B1044"/>
    <w:rsid w:val="000B4834"/>
    <w:rsid w:val="000B4F63"/>
    <w:rsid w:val="000B5258"/>
    <w:rsid w:val="000B56E8"/>
    <w:rsid w:val="000B64CF"/>
    <w:rsid w:val="000B6A68"/>
    <w:rsid w:val="000B7D00"/>
    <w:rsid w:val="000B7D03"/>
    <w:rsid w:val="000C0045"/>
    <w:rsid w:val="000C017D"/>
    <w:rsid w:val="000C03A8"/>
    <w:rsid w:val="000C1C66"/>
    <w:rsid w:val="000C39C1"/>
    <w:rsid w:val="000C79CF"/>
    <w:rsid w:val="000D25B6"/>
    <w:rsid w:val="000D54CA"/>
    <w:rsid w:val="000E0887"/>
    <w:rsid w:val="000E0EA8"/>
    <w:rsid w:val="000E177E"/>
    <w:rsid w:val="000E3759"/>
    <w:rsid w:val="000E64F3"/>
    <w:rsid w:val="000E7A2B"/>
    <w:rsid w:val="000F0679"/>
    <w:rsid w:val="000F0C3E"/>
    <w:rsid w:val="000F0D9C"/>
    <w:rsid w:val="000F16DD"/>
    <w:rsid w:val="000F1F6A"/>
    <w:rsid w:val="000F2A9A"/>
    <w:rsid w:val="000F348C"/>
    <w:rsid w:val="000F44E9"/>
    <w:rsid w:val="000F6688"/>
    <w:rsid w:val="000F696B"/>
    <w:rsid w:val="000F6B55"/>
    <w:rsid w:val="0010014D"/>
    <w:rsid w:val="0010019A"/>
    <w:rsid w:val="00100BE8"/>
    <w:rsid w:val="00102215"/>
    <w:rsid w:val="00102A8D"/>
    <w:rsid w:val="00103112"/>
    <w:rsid w:val="00103711"/>
    <w:rsid w:val="00104026"/>
    <w:rsid w:val="001049EE"/>
    <w:rsid w:val="00104C24"/>
    <w:rsid w:val="00105436"/>
    <w:rsid w:val="00106BD5"/>
    <w:rsid w:val="0010747C"/>
    <w:rsid w:val="00107837"/>
    <w:rsid w:val="00107BAE"/>
    <w:rsid w:val="00114D0B"/>
    <w:rsid w:val="00115610"/>
    <w:rsid w:val="00117FB7"/>
    <w:rsid w:val="00120467"/>
    <w:rsid w:val="00120920"/>
    <w:rsid w:val="001218B1"/>
    <w:rsid w:val="0012227C"/>
    <w:rsid w:val="0012283A"/>
    <w:rsid w:val="00123F47"/>
    <w:rsid w:val="00124208"/>
    <w:rsid w:val="001305AC"/>
    <w:rsid w:val="00131713"/>
    <w:rsid w:val="00131E7F"/>
    <w:rsid w:val="0013293A"/>
    <w:rsid w:val="00132B29"/>
    <w:rsid w:val="00135B51"/>
    <w:rsid w:val="00136B3A"/>
    <w:rsid w:val="00137FBB"/>
    <w:rsid w:val="00140937"/>
    <w:rsid w:val="00140C91"/>
    <w:rsid w:val="0014127D"/>
    <w:rsid w:val="001412D9"/>
    <w:rsid w:val="001413D8"/>
    <w:rsid w:val="001422F7"/>
    <w:rsid w:val="001431DF"/>
    <w:rsid w:val="0014341E"/>
    <w:rsid w:val="00144931"/>
    <w:rsid w:val="00145351"/>
    <w:rsid w:val="00145469"/>
    <w:rsid w:val="00146E98"/>
    <w:rsid w:val="00146F74"/>
    <w:rsid w:val="00147026"/>
    <w:rsid w:val="0014783D"/>
    <w:rsid w:val="00153968"/>
    <w:rsid w:val="0015430C"/>
    <w:rsid w:val="00156003"/>
    <w:rsid w:val="00156A2F"/>
    <w:rsid w:val="00156EA8"/>
    <w:rsid w:val="00161550"/>
    <w:rsid w:val="00162B8E"/>
    <w:rsid w:val="001638DE"/>
    <w:rsid w:val="00163941"/>
    <w:rsid w:val="00164CCE"/>
    <w:rsid w:val="00164D63"/>
    <w:rsid w:val="00165C0F"/>
    <w:rsid w:val="00166180"/>
    <w:rsid w:val="0016619E"/>
    <w:rsid w:val="00166981"/>
    <w:rsid w:val="00167198"/>
    <w:rsid w:val="00167230"/>
    <w:rsid w:val="0016731F"/>
    <w:rsid w:val="001710BD"/>
    <w:rsid w:val="001715DC"/>
    <w:rsid w:val="00171FAA"/>
    <w:rsid w:val="0017395A"/>
    <w:rsid w:val="00173A38"/>
    <w:rsid w:val="00173AEC"/>
    <w:rsid w:val="001745C4"/>
    <w:rsid w:val="00174724"/>
    <w:rsid w:val="00175415"/>
    <w:rsid w:val="00175ED6"/>
    <w:rsid w:val="0017667A"/>
    <w:rsid w:val="001804C6"/>
    <w:rsid w:val="00185041"/>
    <w:rsid w:val="00186833"/>
    <w:rsid w:val="00187CAF"/>
    <w:rsid w:val="00190846"/>
    <w:rsid w:val="00192B3B"/>
    <w:rsid w:val="001934E8"/>
    <w:rsid w:val="0019755F"/>
    <w:rsid w:val="001A34F2"/>
    <w:rsid w:val="001A4C08"/>
    <w:rsid w:val="001A518D"/>
    <w:rsid w:val="001B0C7F"/>
    <w:rsid w:val="001B15ED"/>
    <w:rsid w:val="001B1F17"/>
    <w:rsid w:val="001B25B2"/>
    <w:rsid w:val="001B2FAD"/>
    <w:rsid w:val="001B3093"/>
    <w:rsid w:val="001B51A7"/>
    <w:rsid w:val="001B5C4C"/>
    <w:rsid w:val="001C07DF"/>
    <w:rsid w:val="001C0847"/>
    <w:rsid w:val="001C10C4"/>
    <w:rsid w:val="001C1F77"/>
    <w:rsid w:val="001C2090"/>
    <w:rsid w:val="001C2B82"/>
    <w:rsid w:val="001C3916"/>
    <w:rsid w:val="001C4C52"/>
    <w:rsid w:val="001C5B11"/>
    <w:rsid w:val="001C660C"/>
    <w:rsid w:val="001C7276"/>
    <w:rsid w:val="001C7A0F"/>
    <w:rsid w:val="001C7ED8"/>
    <w:rsid w:val="001D0C8E"/>
    <w:rsid w:val="001D2AA6"/>
    <w:rsid w:val="001D2E94"/>
    <w:rsid w:val="001D332C"/>
    <w:rsid w:val="001D4140"/>
    <w:rsid w:val="001D60A1"/>
    <w:rsid w:val="001D6F6F"/>
    <w:rsid w:val="001D7063"/>
    <w:rsid w:val="001D7BBF"/>
    <w:rsid w:val="001E0C29"/>
    <w:rsid w:val="001E0FF6"/>
    <w:rsid w:val="001E1A8D"/>
    <w:rsid w:val="001E1B27"/>
    <w:rsid w:val="001E4930"/>
    <w:rsid w:val="001E59CE"/>
    <w:rsid w:val="001E60AE"/>
    <w:rsid w:val="001E6560"/>
    <w:rsid w:val="001E6D3A"/>
    <w:rsid w:val="001F00D7"/>
    <w:rsid w:val="001F032B"/>
    <w:rsid w:val="001F0537"/>
    <w:rsid w:val="001F1BFD"/>
    <w:rsid w:val="001F2243"/>
    <w:rsid w:val="001F3175"/>
    <w:rsid w:val="001F5D30"/>
    <w:rsid w:val="001F62AE"/>
    <w:rsid w:val="001F6A12"/>
    <w:rsid w:val="0020068E"/>
    <w:rsid w:val="002011D4"/>
    <w:rsid w:val="0020185B"/>
    <w:rsid w:val="00201F4B"/>
    <w:rsid w:val="00201F83"/>
    <w:rsid w:val="00202848"/>
    <w:rsid w:val="002032B8"/>
    <w:rsid w:val="00203F0A"/>
    <w:rsid w:val="00204829"/>
    <w:rsid w:val="00205340"/>
    <w:rsid w:val="00205EF3"/>
    <w:rsid w:val="00210042"/>
    <w:rsid w:val="0021169E"/>
    <w:rsid w:val="0021605D"/>
    <w:rsid w:val="002173FF"/>
    <w:rsid w:val="002174E8"/>
    <w:rsid w:val="00217A55"/>
    <w:rsid w:val="002217BC"/>
    <w:rsid w:val="002219D2"/>
    <w:rsid w:val="00221BED"/>
    <w:rsid w:val="00222843"/>
    <w:rsid w:val="0022393A"/>
    <w:rsid w:val="00224339"/>
    <w:rsid w:val="0022554C"/>
    <w:rsid w:val="00225763"/>
    <w:rsid w:val="00226A46"/>
    <w:rsid w:val="00227376"/>
    <w:rsid w:val="002273A7"/>
    <w:rsid w:val="0022781D"/>
    <w:rsid w:val="00232E51"/>
    <w:rsid w:val="002336B1"/>
    <w:rsid w:val="00233813"/>
    <w:rsid w:val="002340B2"/>
    <w:rsid w:val="00234A34"/>
    <w:rsid w:val="00234F65"/>
    <w:rsid w:val="00235BF8"/>
    <w:rsid w:val="00236502"/>
    <w:rsid w:val="0024021A"/>
    <w:rsid w:val="0024184D"/>
    <w:rsid w:val="0024207A"/>
    <w:rsid w:val="00242BC0"/>
    <w:rsid w:val="00245E80"/>
    <w:rsid w:val="002509B7"/>
    <w:rsid w:val="002511DB"/>
    <w:rsid w:val="002552B8"/>
    <w:rsid w:val="00255AB4"/>
    <w:rsid w:val="00257D10"/>
    <w:rsid w:val="00260BE1"/>
    <w:rsid w:val="00261AA6"/>
    <w:rsid w:val="0026321B"/>
    <w:rsid w:val="0026323D"/>
    <w:rsid w:val="00263CC8"/>
    <w:rsid w:val="0026514F"/>
    <w:rsid w:val="00270929"/>
    <w:rsid w:val="002711D1"/>
    <w:rsid w:val="00271212"/>
    <w:rsid w:val="00271F4E"/>
    <w:rsid w:val="0027259E"/>
    <w:rsid w:val="00272B14"/>
    <w:rsid w:val="00273007"/>
    <w:rsid w:val="00273892"/>
    <w:rsid w:val="00274C4D"/>
    <w:rsid w:val="00274C71"/>
    <w:rsid w:val="00275260"/>
    <w:rsid w:val="002800A6"/>
    <w:rsid w:val="00280AA7"/>
    <w:rsid w:val="00281AC6"/>
    <w:rsid w:val="00282BB5"/>
    <w:rsid w:val="002844D3"/>
    <w:rsid w:val="0028496B"/>
    <w:rsid w:val="00284E55"/>
    <w:rsid w:val="002858BD"/>
    <w:rsid w:val="00285EFA"/>
    <w:rsid w:val="00287B3E"/>
    <w:rsid w:val="00290899"/>
    <w:rsid w:val="00290D79"/>
    <w:rsid w:val="00291724"/>
    <w:rsid w:val="00291932"/>
    <w:rsid w:val="0029240F"/>
    <w:rsid w:val="002930EC"/>
    <w:rsid w:val="00293E68"/>
    <w:rsid w:val="00293F85"/>
    <w:rsid w:val="0029443A"/>
    <w:rsid w:val="002955D9"/>
    <w:rsid w:val="00296524"/>
    <w:rsid w:val="002965E1"/>
    <w:rsid w:val="00296A1E"/>
    <w:rsid w:val="00296C11"/>
    <w:rsid w:val="002A04F8"/>
    <w:rsid w:val="002A0554"/>
    <w:rsid w:val="002A09F0"/>
    <w:rsid w:val="002A12C8"/>
    <w:rsid w:val="002A2BD3"/>
    <w:rsid w:val="002A3FDB"/>
    <w:rsid w:val="002A47A5"/>
    <w:rsid w:val="002A500E"/>
    <w:rsid w:val="002A751E"/>
    <w:rsid w:val="002A7892"/>
    <w:rsid w:val="002A7A3B"/>
    <w:rsid w:val="002A7DE1"/>
    <w:rsid w:val="002B03AA"/>
    <w:rsid w:val="002B26A3"/>
    <w:rsid w:val="002B3726"/>
    <w:rsid w:val="002B403B"/>
    <w:rsid w:val="002C0FA6"/>
    <w:rsid w:val="002C1AEA"/>
    <w:rsid w:val="002C30AC"/>
    <w:rsid w:val="002C3911"/>
    <w:rsid w:val="002C4747"/>
    <w:rsid w:val="002C63A3"/>
    <w:rsid w:val="002C6B9B"/>
    <w:rsid w:val="002D035F"/>
    <w:rsid w:val="002D0494"/>
    <w:rsid w:val="002D131E"/>
    <w:rsid w:val="002D2FBF"/>
    <w:rsid w:val="002D3F8D"/>
    <w:rsid w:val="002D5231"/>
    <w:rsid w:val="002D5330"/>
    <w:rsid w:val="002E0810"/>
    <w:rsid w:val="002E09B1"/>
    <w:rsid w:val="002E112C"/>
    <w:rsid w:val="002E1AE1"/>
    <w:rsid w:val="002E24D3"/>
    <w:rsid w:val="002E2784"/>
    <w:rsid w:val="002E2CFE"/>
    <w:rsid w:val="002E4FE9"/>
    <w:rsid w:val="002E77E5"/>
    <w:rsid w:val="002F26A8"/>
    <w:rsid w:val="002F3B8A"/>
    <w:rsid w:val="002F410B"/>
    <w:rsid w:val="002F5649"/>
    <w:rsid w:val="002F79A0"/>
    <w:rsid w:val="00300B8A"/>
    <w:rsid w:val="00302C44"/>
    <w:rsid w:val="00302DCF"/>
    <w:rsid w:val="00303A74"/>
    <w:rsid w:val="00303F4B"/>
    <w:rsid w:val="00304AD5"/>
    <w:rsid w:val="003067B9"/>
    <w:rsid w:val="003106DD"/>
    <w:rsid w:val="0031099A"/>
    <w:rsid w:val="0031196C"/>
    <w:rsid w:val="003123C9"/>
    <w:rsid w:val="00312583"/>
    <w:rsid w:val="00312C93"/>
    <w:rsid w:val="00313C35"/>
    <w:rsid w:val="003141CE"/>
    <w:rsid w:val="00314727"/>
    <w:rsid w:val="0031599B"/>
    <w:rsid w:val="00321EC8"/>
    <w:rsid w:val="00323DEA"/>
    <w:rsid w:val="00323EB5"/>
    <w:rsid w:val="0032529E"/>
    <w:rsid w:val="00327FC6"/>
    <w:rsid w:val="00330E07"/>
    <w:rsid w:val="00331898"/>
    <w:rsid w:val="003319F4"/>
    <w:rsid w:val="00333A34"/>
    <w:rsid w:val="00334BA4"/>
    <w:rsid w:val="0033581D"/>
    <w:rsid w:val="00335B61"/>
    <w:rsid w:val="00335EE1"/>
    <w:rsid w:val="00335FF9"/>
    <w:rsid w:val="003404A8"/>
    <w:rsid w:val="00340A84"/>
    <w:rsid w:val="00341033"/>
    <w:rsid w:val="0034131D"/>
    <w:rsid w:val="00341501"/>
    <w:rsid w:val="0034159C"/>
    <w:rsid w:val="00341C34"/>
    <w:rsid w:val="00343073"/>
    <w:rsid w:val="0034345F"/>
    <w:rsid w:val="00343B25"/>
    <w:rsid w:val="00344702"/>
    <w:rsid w:val="00345D99"/>
    <w:rsid w:val="00345E7F"/>
    <w:rsid w:val="00346441"/>
    <w:rsid w:val="00346E5D"/>
    <w:rsid w:val="0035026B"/>
    <w:rsid w:val="0035108B"/>
    <w:rsid w:val="00352031"/>
    <w:rsid w:val="00352C63"/>
    <w:rsid w:val="00353E3C"/>
    <w:rsid w:val="00354859"/>
    <w:rsid w:val="003549C8"/>
    <w:rsid w:val="00355DB5"/>
    <w:rsid w:val="00355EF1"/>
    <w:rsid w:val="00357A73"/>
    <w:rsid w:val="0036125A"/>
    <w:rsid w:val="00363081"/>
    <w:rsid w:val="00363689"/>
    <w:rsid w:val="00363822"/>
    <w:rsid w:val="0036495A"/>
    <w:rsid w:val="00366453"/>
    <w:rsid w:val="00366A81"/>
    <w:rsid w:val="00367681"/>
    <w:rsid w:val="00370668"/>
    <w:rsid w:val="00370BFE"/>
    <w:rsid w:val="00371977"/>
    <w:rsid w:val="0037201D"/>
    <w:rsid w:val="0037636D"/>
    <w:rsid w:val="00376DA7"/>
    <w:rsid w:val="0037761D"/>
    <w:rsid w:val="00381F67"/>
    <w:rsid w:val="003830CF"/>
    <w:rsid w:val="00384041"/>
    <w:rsid w:val="003841F9"/>
    <w:rsid w:val="00386321"/>
    <w:rsid w:val="00386C1F"/>
    <w:rsid w:val="00386EE2"/>
    <w:rsid w:val="00387261"/>
    <w:rsid w:val="003901ED"/>
    <w:rsid w:val="0039053D"/>
    <w:rsid w:val="00390CBE"/>
    <w:rsid w:val="003917FC"/>
    <w:rsid w:val="003925A6"/>
    <w:rsid w:val="00392686"/>
    <w:rsid w:val="00392CE0"/>
    <w:rsid w:val="00393E9D"/>
    <w:rsid w:val="003945F6"/>
    <w:rsid w:val="00396601"/>
    <w:rsid w:val="0039754B"/>
    <w:rsid w:val="00397A8E"/>
    <w:rsid w:val="003A05BE"/>
    <w:rsid w:val="003A1398"/>
    <w:rsid w:val="003A2598"/>
    <w:rsid w:val="003A3348"/>
    <w:rsid w:val="003A3918"/>
    <w:rsid w:val="003A4DC1"/>
    <w:rsid w:val="003A56C1"/>
    <w:rsid w:val="003A5AC9"/>
    <w:rsid w:val="003A7580"/>
    <w:rsid w:val="003B093F"/>
    <w:rsid w:val="003B27E3"/>
    <w:rsid w:val="003B2B23"/>
    <w:rsid w:val="003B34A9"/>
    <w:rsid w:val="003B4614"/>
    <w:rsid w:val="003B4B93"/>
    <w:rsid w:val="003B519C"/>
    <w:rsid w:val="003B60E6"/>
    <w:rsid w:val="003B650C"/>
    <w:rsid w:val="003C027A"/>
    <w:rsid w:val="003C04C3"/>
    <w:rsid w:val="003C075B"/>
    <w:rsid w:val="003C1AE8"/>
    <w:rsid w:val="003C26BE"/>
    <w:rsid w:val="003C2AF9"/>
    <w:rsid w:val="003C2CAB"/>
    <w:rsid w:val="003C2F79"/>
    <w:rsid w:val="003C3EEB"/>
    <w:rsid w:val="003C4299"/>
    <w:rsid w:val="003C46F1"/>
    <w:rsid w:val="003C6830"/>
    <w:rsid w:val="003D1556"/>
    <w:rsid w:val="003D507A"/>
    <w:rsid w:val="003D5CB9"/>
    <w:rsid w:val="003D762C"/>
    <w:rsid w:val="003D7E1A"/>
    <w:rsid w:val="003E0332"/>
    <w:rsid w:val="003E0B78"/>
    <w:rsid w:val="003E1AC5"/>
    <w:rsid w:val="003E21AF"/>
    <w:rsid w:val="003E2210"/>
    <w:rsid w:val="003E25B0"/>
    <w:rsid w:val="003E2CFB"/>
    <w:rsid w:val="003E4007"/>
    <w:rsid w:val="003E7344"/>
    <w:rsid w:val="003E7B55"/>
    <w:rsid w:val="003E7C74"/>
    <w:rsid w:val="003F01A9"/>
    <w:rsid w:val="003F0372"/>
    <w:rsid w:val="003F113C"/>
    <w:rsid w:val="003F1B39"/>
    <w:rsid w:val="003F21BA"/>
    <w:rsid w:val="003F26C0"/>
    <w:rsid w:val="003F309E"/>
    <w:rsid w:val="003F3778"/>
    <w:rsid w:val="003F4D93"/>
    <w:rsid w:val="003F59B2"/>
    <w:rsid w:val="003F5AB7"/>
    <w:rsid w:val="003F6EAF"/>
    <w:rsid w:val="004001FE"/>
    <w:rsid w:val="00401771"/>
    <w:rsid w:val="0040239E"/>
    <w:rsid w:val="004027B8"/>
    <w:rsid w:val="00402E54"/>
    <w:rsid w:val="004041A8"/>
    <w:rsid w:val="0040436D"/>
    <w:rsid w:val="0040446F"/>
    <w:rsid w:val="00404BE7"/>
    <w:rsid w:val="00404DE1"/>
    <w:rsid w:val="0040524A"/>
    <w:rsid w:val="004055C6"/>
    <w:rsid w:val="00405973"/>
    <w:rsid w:val="00405AED"/>
    <w:rsid w:val="0040699C"/>
    <w:rsid w:val="00406B6A"/>
    <w:rsid w:val="00406C63"/>
    <w:rsid w:val="00406C9D"/>
    <w:rsid w:val="00407ECC"/>
    <w:rsid w:val="00407F3B"/>
    <w:rsid w:val="004103BF"/>
    <w:rsid w:val="00410A14"/>
    <w:rsid w:val="004112D3"/>
    <w:rsid w:val="0041470B"/>
    <w:rsid w:val="00414D91"/>
    <w:rsid w:val="004152E1"/>
    <w:rsid w:val="00416369"/>
    <w:rsid w:val="00416448"/>
    <w:rsid w:val="00416705"/>
    <w:rsid w:val="00416C31"/>
    <w:rsid w:val="00416E00"/>
    <w:rsid w:val="004202D4"/>
    <w:rsid w:val="00422617"/>
    <w:rsid w:val="00423F66"/>
    <w:rsid w:val="00424C3A"/>
    <w:rsid w:val="00424D93"/>
    <w:rsid w:val="0042527C"/>
    <w:rsid w:val="0043111F"/>
    <w:rsid w:val="00431128"/>
    <w:rsid w:val="00431C94"/>
    <w:rsid w:val="00432382"/>
    <w:rsid w:val="00432E17"/>
    <w:rsid w:val="004332C7"/>
    <w:rsid w:val="00433A54"/>
    <w:rsid w:val="00434204"/>
    <w:rsid w:val="004364CB"/>
    <w:rsid w:val="004373A1"/>
    <w:rsid w:val="0043782C"/>
    <w:rsid w:val="00437BE6"/>
    <w:rsid w:val="00440A33"/>
    <w:rsid w:val="00441F39"/>
    <w:rsid w:val="004423C7"/>
    <w:rsid w:val="00443C7F"/>
    <w:rsid w:val="00443EF5"/>
    <w:rsid w:val="00444BDB"/>
    <w:rsid w:val="00445494"/>
    <w:rsid w:val="00445AED"/>
    <w:rsid w:val="00446B4F"/>
    <w:rsid w:val="004477CE"/>
    <w:rsid w:val="00447912"/>
    <w:rsid w:val="004479CD"/>
    <w:rsid w:val="00447A2A"/>
    <w:rsid w:val="00447FD8"/>
    <w:rsid w:val="00450F27"/>
    <w:rsid w:val="00451446"/>
    <w:rsid w:val="004522CD"/>
    <w:rsid w:val="00453B3E"/>
    <w:rsid w:val="0045799D"/>
    <w:rsid w:val="00457BA6"/>
    <w:rsid w:val="00457E82"/>
    <w:rsid w:val="0046036C"/>
    <w:rsid w:val="004605A5"/>
    <w:rsid w:val="00461A33"/>
    <w:rsid w:val="0046290B"/>
    <w:rsid w:val="00462D6C"/>
    <w:rsid w:val="0046318B"/>
    <w:rsid w:val="004639B8"/>
    <w:rsid w:val="0046436E"/>
    <w:rsid w:val="00464C3F"/>
    <w:rsid w:val="00465B08"/>
    <w:rsid w:val="004677C2"/>
    <w:rsid w:val="00467BDA"/>
    <w:rsid w:val="00470A93"/>
    <w:rsid w:val="00470AB8"/>
    <w:rsid w:val="00471603"/>
    <w:rsid w:val="004719F5"/>
    <w:rsid w:val="0047241C"/>
    <w:rsid w:val="00472456"/>
    <w:rsid w:val="004730E2"/>
    <w:rsid w:val="00474E93"/>
    <w:rsid w:val="00475AF5"/>
    <w:rsid w:val="004776CE"/>
    <w:rsid w:val="00477C0A"/>
    <w:rsid w:val="00481462"/>
    <w:rsid w:val="00482443"/>
    <w:rsid w:val="00482863"/>
    <w:rsid w:val="00482A9D"/>
    <w:rsid w:val="00483740"/>
    <w:rsid w:val="004837C2"/>
    <w:rsid w:val="00484EB5"/>
    <w:rsid w:val="00486ED3"/>
    <w:rsid w:val="004872B1"/>
    <w:rsid w:val="0048738C"/>
    <w:rsid w:val="004901AB"/>
    <w:rsid w:val="00490719"/>
    <w:rsid w:val="004909DE"/>
    <w:rsid w:val="00490E85"/>
    <w:rsid w:val="004910C4"/>
    <w:rsid w:val="004933EC"/>
    <w:rsid w:val="0049495D"/>
    <w:rsid w:val="00495D0C"/>
    <w:rsid w:val="00496775"/>
    <w:rsid w:val="00497922"/>
    <w:rsid w:val="004A165D"/>
    <w:rsid w:val="004A294F"/>
    <w:rsid w:val="004A2B97"/>
    <w:rsid w:val="004A4DA3"/>
    <w:rsid w:val="004A619D"/>
    <w:rsid w:val="004A69BD"/>
    <w:rsid w:val="004A786F"/>
    <w:rsid w:val="004B1401"/>
    <w:rsid w:val="004B24D2"/>
    <w:rsid w:val="004B283D"/>
    <w:rsid w:val="004B3CD0"/>
    <w:rsid w:val="004B40E3"/>
    <w:rsid w:val="004B440E"/>
    <w:rsid w:val="004B4A9E"/>
    <w:rsid w:val="004B57AC"/>
    <w:rsid w:val="004B5CE1"/>
    <w:rsid w:val="004B683B"/>
    <w:rsid w:val="004B6BB6"/>
    <w:rsid w:val="004B7934"/>
    <w:rsid w:val="004B7D5F"/>
    <w:rsid w:val="004B7F92"/>
    <w:rsid w:val="004C1848"/>
    <w:rsid w:val="004C3532"/>
    <w:rsid w:val="004C4064"/>
    <w:rsid w:val="004C587E"/>
    <w:rsid w:val="004C6807"/>
    <w:rsid w:val="004C6D37"/>
    <w:rsid w:val="004D0AB0"/>
    <w:rsid w:val="004D2DC6"/>
    <w:rsid w:val="004D30C7"/>
    <w:rsid w:val="004D321E"/>
    <w:rsid w:val="004D36F4"/>
    <w:rsid w:val="004D432E"/>
    <w:rsid w:val="004D47CA"/>
    <w:rsid w:val="004D50AB"/>
    <w:rsid w:val="004D67CA"/>
    <w:rsid w:val="004D72EB"/>
    <w:rsid w:val="004D7677"/>
    <w:rsid w:val="004E035B"/>
    <w:rsid w:val="004E1209"/>
    <w:rsid w:val="004E1A1F"/>
    <w:rsid w:val="004E1CAC"/>
    <w:rsid w:val="004E24BE"/>
    <w:rsid w:val="004E3C7A"/>
    <w:rsid w:val="004E50DF"/>
    <w:rsid w:val="004E5619"/>
    <w:rsid w:val="004E6245"/>
    <w:rsid w:val="004E718A"/>
    <w:rsid w:val="004E74F4"/>
    <w:rsid w:val="004F10F4"/>
    <w:rsid w:val="004F1188"/>
    <w:rsid w:val="004F1793"/>
    <w:rsid w:val="004F3359"/>
    <w:rsid w:val="004F6D6B"/>
    <w:rsid w:val="004F7CBF"/>
    <w:rsid w:val="004F7F8F"/>
    <w:rsid w:val="00500D80"/>
    <w:rsid w:val="00501820"/>
    <w:rsid w:val="005027C4"/>
    <w:rsid w:val="00502F3D"/>
    <w:rsid w:val="00503A66"/>
    <w:rsid w:val="00504163"/>
    <w:rsid w:val="005042DD"/>
    <w:rsid w:val="00504C7C"/>
    <w:rsid w:val="0050692E"/>
    <w:rsid w:val="00507C75"/>
    <w:rsid w:val="005100E2"/>
    <w:rsid w:val="0051185E"/>
    <w:rsid w:val="00512476"/>
    <w:rsid w:val="00512E9C"/>
    <w:rsid w:val="005140B4"/>
    <w:rsid w:val="00514CF7"/>
    <w:rsid w:val="0051570D"/>
    <w:rsid w:val="00520300"/>
    <w:rsid w:val="0052031A"/>
    <w:rsid w:val="00523171"/>
    <w:rsid w:val="00524C81"/>
    <w:rsid w:val="005276EC"/>
    <w:rsid w:val="005351C4"/>
    <w:rsid w:val="00535458"/>
    <w:rsid w:val="005400D7"/>
    <w:rsid w:val="00541267"/>
    <w:rsid w:val="0054148C"/>
    <w:rsid w:val="00542981"/>
    <w:rsid w:val="00543F1D"/>
    <w:rsid w:val="00544693"/>
    <w:rsid w:val="005448DA"/>
    <w:rsid w:val="0054535E"/>
    <w:rsid w:val="0054564E"/>
    <w:rsid w:val="00546159"/>
    <w:rsid w:val="005467C3"/>
    <w:rsid w:val="00550873"/>
    <w:rsid w:val="00551EC3"/>
    <w:rsid w:val="00552C14"/>
    <w:rsid w:val="00552C4C"/>
    <w:rsid w:val="00553D50"/>
    <w:rsid w:val="00553FFC"/>
    <w:rsid w:val="00555BAF"/>
    <w:rsid w:val="005561A0"/>
    <w:rsid w:val="0055739C"/>
    <w:rsid w:val="00557407"/>
    <w:rsid w:val="005609E1"/>
    <w:rsid w:val="00561534"/>
    <w:rsid w:val="00561957"/>
    <w:rsid w:val="005633F6"/>
    <w:rsid w:val="0056516C"/>
    <w:rsid w:val="00565563"/>
    <w:rsid w:val="00565AC3"/>
    <w:rsid w:val="00566C94"/>
    <w:rsid w:val="0056756B"/>
    <w:rsid w:val="0057064A"/>
    <w:rsid w:val="005709C8"/>
    <w:rsid w:val="00571B32"/>
    <w:rsid w:val="00571D14"/>
    <w:rsid w:val="00573FE2"/>
    <w:rsid w:val="0057787F"/>
    <w:rsid w:val="00580141"/>
    <w:rsid w:val="00581761"/>
    <w:rsid w:val="00581A4D"/>
    <w:rsid w:val="00581CC1"/>
    <w:rsid w:val="0058234D"/>
    <w:rsid w:val="00582AD1"/>
    <w:rsid w:val="005830CC"/>
    <w:rsid w:val="00585BC3"/>
    <w:rsid w:val="005879E9"/>
    <w:rsid w:val="00590175"/>
    <w:rsid w:val="005901F1"/>
    <w:rsid w:val="00592E6D"/>
    <w:rsid w:val="00593793"/>
    <w:rsid w:val="00593A77"/>
    <w:rsid w:val="005949B4"/>
    <w:rsid w:val="00594B4A"/>
    <w:rsid w:val="0059501A"/>
    <w:rsid w:val="005957E5"/>
    <w:rsid w:val="00595D44"/>
    <w:rsid w:val="00596456"/>
    <w:rsid w:val="00597059"/>
    <w:rsid w:val="005A007E"/>
    <w:rsid w:val="005A039F"/>
    <w:rsid w:val="005A21F5"/>
    <w:rsid w:val="005A3024"/>
    <w:rsid w:val="005A3EBA"/>
    <w:rsid w:val="005A4688"/>
    <w:rsid w:val="005A473C"/>
    <w:rsid w:val="005A4866"/>
    <w:rsid w:val="005A4DD0"/>
    <w:rsid w:val="005A569C"/>
    <w:rsid w:val="005A6928"/>
    <w:rsid w:val="005A6C22"/>
    <w:rsid w:val="005A70F0"/>
    <w:rsid w:val="005A7B63"/>
    <w:rsid w:val="005A7FB1"/>
    <w:rsid w:val="005B11D3"/>
    <w:rsid w:val="005B32AB"/>
    <w:rsid w:val="005B3610"/>
    <w:rsid w:val="005B3F29"/>
    <w:rsid w:val="005B4447"/>
    <w:rsid w:val="005B5F15"/>
    <w:rsid w:val="005B639A"/>
    <w:rsid w:val="005B68A9"/>
    <w:rsid w:val="005B7B27"/>
    <w:rsid w:val="005C06FF"/>
    <w:rsid w:val="005C12CA"/>
    <w:rsid w:val="005C45F7"/>
    <w:rsid w:val="005C5818"/>
    <w:rsid w:val="005C769E"/>
    <w:rsid w:val="005C7D9C"/>
    <w:rsid w:val="005D0140"/>
    <w:rsid w:val="005D130D"/>
    <w:rsid w:val="005D1DC7"/>
    <w:rsid w:val="005D5F8C"/>
    <w:rsid w:val="005E0E15"/>
    <w:rsid w:val="005E0E42"/>
    <w:rsid w:val="005E14C1"/>
    <w:rsid w:val="005E2AAD"/>
    <w:rsid w:val="005E31B6"/>
    <w:rsid w:val="005E36E0"/>
    <w:rsid w:val="005E3876"/>
    <w:rsid w:val="005E41CD"/>
    <w:rsid w:val="005E4982"/>
    <w:rsid w:val="005E5491"/>
    <w:rsid w:val="005E559B"/>
    <w:rsid w:val="005E5660"/>
    <w:rsid w:val="005E616A"/>
    <w:rsid w:val="005E6717"/>
    <w:rsid w:val="005E6FE5"/>
    <w:rsid w:val="005E7ECB"/>
    <w:rsid w:val="005F2498"/>
    <w:rsid w:val="005F3168"/>
    <w:rsid w:val="005F3F6D"/>
    <w:rsid w:val="005F4E98"/>
    <w:rsid w:val="005F4FB8"/>
    <w:rsid w:val="005F51E0"/>
    <w:rsid w:val="005F5FB4"/>
    <w:rsid w:val="005F6688"/>
    <w:rsid w:val="005F7691"/>
    <w:rsid w:val="005F7BAF"/>
    <w:rsid w:val="005F7CB9"/>
    <w:rsid w:val="0060144E"/>
    <w:rsid w:val="00601661"/>
    <w:rsid w:val="0060178B"/>
    <w:rsid w:val="0060275F"/>
    <w:rsid w:val="00602C20"/>
    <w:rsid w:val="00604160"/>
    <w:rsid w:val="00606213"/>
    <w:rsid w:val="00606BEE"/>
    <w:rsid w:val="0061021E"/>
    <w:rsid w:val="00610E27"/>
    <w:rsid w:val="00610F91"/>
    <w:rsid w:val="00611828"/>
    <w:rsid w:val="00611ABB"/>
    <w:rsid w:val="00612085"/>
    <w:rsid w:val="006133C3"/>
    <w:rsid w:val="00613AE7"/>
    <w:rsid w:val="00621A5F"/>
    <w:rsid w:val="00622558"/>
    <w:rsid w:val="00622D9B"/>
    <w:rsid w:val="006239BD"/>
    <w:rsid w:val="006274F9"/>
    <w:rsid w:val="006276C1"/>
    <w:rsid w:val="00630343"/>
    <w:rsid w:val="006306E7"/>
    <w:rsid w:val="00630A64"/>
    <w:rsid w:val="00630BF2"/>
    <w:rsid w:val="00630F1A"/>
    <w:rsid w:val="00630FF8"/>
    <w:rsid w:val="00631BAC"/>
    <w:rsid w:val="0063260B"/>
    <w:rsid w:val="006331C8"/>
    <w:rsid w:val="00634A30"/>
    <w:rsid w:val="00635A7A"/>
    <w:rsid w:val="00635ED3"/>
    <w:rsid w:val="00636940"/>
    <w:rsid w:val="00637B10"/>
    <w:rsid w:val="00640B83"/>
    <w:rsid w:val="0064268A"/>
    <w:rsid w:val="006434A7"/>
    <w:rsid w:val="0064355E"/>
    <w:rsid w:val="00644FBA"/>
    <w:rsid w:val="006453C2"/>
    <w:rsid w:val="006459BC"/>
    <w:rsid w:val="00645CCB"/>
    <w:rsid w:val="0064666A"/>
    <w:rsid w:val="006500EF"/>
    <w:rsid w:val="006512D9"/>
    <w:rsid w:val="0065186E"/>
    <w:rsid w:val="00651AB0"/>
    <w:rsid w:val="00652DD5"/>
    <w:rsid w:val="00653F0F"/>
    <w:rsid w:val="00654297"/>
    <w:rsid w:val="0065565E"/>
    <w:rsid w:val="00656CA0"/>
    <w:rsid w:val="00657F06"/>
    <w:rsid w:val="00660AEA"/>
    <w:rsid w:val="0066386F"/>
    <w:rsid w:val="00670268"/>
    <w:rsid w:val="00670D99"/>
    <w:rsid w:val="00672A94"/>
    <w:rsid w:val="006730E0"/>
    <w:rsid w:val="00673DB6"/>
    <w:rsid w:val="006740B5"/>
    <w:rsid w:val="0067586F"/>
    <w:rsid w:val="00676804"/>
    <w:rsid w:val="00677819"/>
    <w:rsid w:val="00680DD2"/>
    <w:rsid w:val="00684049"/>
    <w:rsid w:val="006856E6"/>
    <w:rsid w:val="006859D6"/>
    <w:rsid w:val="00687303"/>
    <w:rsid w:val="00690AF8"/>
    <w:rsid w:val="0069172D"/>
    <w:rsid w:val="00692665"/>
    <w:rsid w:val="0069315D"/>
    <w:rsid w:val="00693602"/>
    <w:rsid w:val="00693E74"/>
    <w:rsid w:val="00694B99"/>
    <w:rsid w:val="00694CD4"/>
    <w:rsid w:val="00695188"/>
    <w:rsid w:val="00695A52"/>
    <w:rsid w:val="006966EB"/>
    <w:rsid w:val="006974B7"/>
    <w:rsid w:val="006A04CE"/>
    <w:rsid w:val="006A3518"/>
    <w:rsid w:val="006A7293"/>
    <w:rsid w:val="006B149E"/>
    <w:rsid w:val="006B28F7"/>
    <w:rsid w:val="006B31CB"/>
    <w:rsid w:val="006B4BA7"/>
    <w:rsid w:val="006B4C1F"/>
    <w:rsid w:val="006B570F"/>
    <w:rsid w:val="006B61CB"/>
    <w:rsid w:val="006B7882"/>
    <w:rsid w:val="006C2A1D"/>
    <w:rsid w:val="006C31E2"/>
    <w:rsid w:val="006C414F"/>
    <w:rsid w:val="006C5AD0"/>
    <w:rsid w:val="006D057C"/>
    <w:rsid w:val="006D0E49"/>
    <w:rsid w:val="006D18D8"/>
    <w:rsid w:val="006D218E"/>
    <w:rsid w:val="006D2A92"/>
    <w:rsid w:val="006D3E3F"/>
    <w:rsid w:val="006D4209"/>
    <w:rsid w:val="006E099C"/>
    <w:rsid w:val="006E0A90"/>
    <w:rsid w:val="006E13C1"/>
    <w:rsid w:val="006E233E"/>
    <w:rsid w:val="006E2B3A"/>
    <w:rsid w:val="006E3844"/>
    <w:rsid w:val="006E4524"/>
    <w:rsid w:val="006E4B5A"/>
    <w:rsid w:val="006E4F4E"/>
    <w:rsid w:val="006E537D"/>
    <w:rsid w:val="006F19A6"/>
    <w:rsid w:val="006F248A"/>
    <w:rsid w:val="006F35FE"/>
    <w:rsid w:val="006F3CA3"/>
    <w:rsid w:val="006F534E"/>
    <w:rsid w:val="00700741"/>
    <w:rsid w:val="0070322F"/>
    <w:rsid w:val="00704252"/>
    <w:rsid w:val="0070473D"/>
    <w:rsid w:val="00707E64"/>
    <w:rsid w:val="0071214A"/>
    <w:rsid w:val="00712720"/>
    <w:rsid w:val="00715DE8"/>
    <w:rsid w:val="00716C72"/>
    <w:rsid w:val="00717959"/>
    <w:rsid w:val="00721269"/>
    <w:rsid w:val="00721985"/>
    <w:rsid w:val="00721C2A"/>
    <w:rsid w:val="00721F0B"/>
    <w:rsid w:val="00722A11"/>
    <w:rsid w:val="0072335E"/>
    <w:rsid w:val="0072510A"/>
    <w:rsid w:val="007254DE"/>
    <w:rsid w:val="0072597C"/>
    <w:rsid w:val="007265A9"/>
    <w:rsid w:val="00726DD9"/>
    <w:rsid w:val="00727C34"/>
    <w:rsid w:val="00730C35"/>
    <w:rsid w:val="00731196"/>
    <w:rsid w:val="00734BE9"/>
    <w:rsid w:val="00735761"/>
    <w:rsid w:val="00736817"/>
    <w:rsid w:val="00736942"/>
    <w:rsid w:val="00736C55"/>
    <w:rsid w:val="007401E6"/>
    <w:rsid w:val="00740DF8"/>
    <w:rsid w:val="00740EF5"/>
    <w:rsid w:val="00741439"/>
    <w:rsid w:val="00741C29"/>
    <w:rsid w:val="00742322"/>
    <w:rsid w:val="00742FFC"/>
    <w:rsid w:val="00743EC9"/>
    <w:rsid w:val="00745487"/>
    <w:rsid w:val="0074717B"/>
    <w:rsid w:val="007507DD"/>
    <w:rsid w:val="00751169"/>
    <w:rsid w:val="007514E7"/>
    <w:rsid w:val="0076054A"/>
    <w:rsid w:val="007617B6"/>
    <w:rsid w:val="00763CFF"/>
    <w:rsid w:val="0076405B"/>
    <w:rsid w:val="007648C9"/>
    <w:rsid w:val="0076542C"/>
    <w:rsid w:val="007655CF"/>
    <w:rsid w:val="00767250"/>
    <w:rsid w:val="007701DC"/>
    <w:rsid w:val="00771228"/>
    <w:rsid w:val="00771790"/>
    <w:rsid w:val="00774C30"/>
    <w:rsid w:val="00776327"/>
    <w:rsid w:val="00776787"/>
    <w:rsid w:val="007812C1"/>
    <w:rsid w:val="00781577"/>
    <w:rsid w:val="007819B8"/>
    <w:rsid w:val="00784EE7"/>
    <w:rsid w:val="007853F8"/>
    <w:rsid w:val="00786073"/>
    <w:rsid w:val="00786E75"/>
    <w:rsid w:val="00786F24"/>
    <w:rsid w:val="00790962"/>
    <w:rsid w:val="00790A00"/>
    <w:rsid w:val="0079212F"/>
    <w:rsid w:val="00794006"/>
    <w:rsid w:val="00795239"/>
    <w:rsid w:val="007952FF"/>
    <w:rsid w:val="007A03A9"/>
    <w:rsid w:val="007A04D5"/>
    <w:rsid w:val="007A09B3"/>
    <w:rsid w:val="007A1408"/>
    <w:rsid w:val="007A2437"/>
    <w:rsid w:val="007A3E67"/>
    <w:rsid w:val="007A4D45"/>
    <w:rsid w:val="007A616B"/>
    <w:rsid w:val="007A755A"/>
    <w:rsid w:val="007B2128"/>
    <w:rsid w:val="007B4D32"/>
    <w:rsid w:val="007B51B3"/>
    <w:rsid w:val="007B72E4"/>
    <w:rsid w:val="007B7B60"/>
    <w:rsid w:val="007C0D75"/>
    <w:rsid w:val="007C0F79"/>
    <w:rsid w:val="007C17EE"/>
    <w:rsid w:val="007C1E6B"/>
    <w:rsid w:val="007C2153"/>
    <w:rsid w:val="007C243D"/>
    <w:rsid w:val="007C24F5"/>
    <w:rsid w:val="007C2C5B"/>
    <w:rsid w:val="007C3C63"/>
    <w:rsid w:val="007C538F"/>
    <w:rsid w:val="007C64B2"/>
    <w:rsid w:val="007C67AF"/>
    <w:rsid w:val="007C683F"/>
    <w:rsid w:val="007D00BB"/>
    <w:rsid w:val="007D04D0"/>
    <w:rsid w:val="007D07E6"/>
    <w:rsid w:val="007D2E0F"/>
    <w:rsid w:val="007D3640"/>
    <w:rsid w:val="007D3F74"/>
    <w:rsid w:val="007D4E41"/>
    <w:rsid w:val="007D5575"/>
    <w:rsid w:val="007D7E48"/>
    <w:rsid w:val="007D7F90"/>
    <w:rsid w:val="007E016B"/>
    <w:rsid w:val="007E01AD"/>
    <w:rsid w:val="007E0A5A"/>
    <w:rsid w:val="007E1B26"/>
    <w:rsid w:val="007E2922"/>
    <w:rsid w:val="007E31F3"/>
    <w:rsid w:val="007E4117"/>
    <w:rsid w:val="007E57A9"/>
    <w:rsid w:val="007F0602"/>
    <w:rsid w:val="007F0EE8"/>
    <w:rsid w:val="007F3AF0"/>
    <w:rsid w:val="007F406D"/>
    <w:rsid w:val="007F4B2B"/>
    <w:rsid w:val="007F4C5C"/>
    <w:rsid w:val="007F6BCD"/>
    <w:rsid w:val="007F6D7B"/>
    <w:rsid w:val="007F7F1B"/>
    <w:rsid w:val="00800525"/>
    <w:rsid w:val="008030AB"/>
    <w:rsid w:val="00803E23"/>
    <w:rsid w:val="0080457C"/>
    <w:rsid w:val="008047CA"/>
    <w:rsid w:val="00804B18"/>
    <w:rsid w:val="00805788"/>
    <w:rsid w:val="00805B18"/>
    <w:rsid w:val="0080728A"/>
    <w:rsid w:val="00810D91"/>
    <w:rsid w:val="00812516"/>
    <w:rsid w:val="00813B84"/>
    <w:rsid w:val="008159F4"/>
    <w:rsid w:val="00820D74"/>
    <w:rsid w:val="00821259"/>
    <w:rsid w:val="00821821"/>
    <w:rsid w:val="0082352D"/>
    <w:rsid w:val="00823BA9"/>
    <w:rsid w:val="00824A8E"/>
    <w:rsid w:val="00825761"/>
    <w:rsid w:val="0082616A"/>
    <w:rsid w:val="0082637E"/>
    <w:rsid w:val="00826948"/>
    <w:rsid w:val="00826C8E"/>
    <w:rsid w:val="0082728E"/>
    <w:rsid w:val="0082798A"/>
    <w:rsid w:val="00832B57"/>
    <w:rsid w:val="00832E69"/>
    <w:rsid w:val="00833376"/>
    <w:rsid w:val="00834582"/>
    <w:rsid w:val="00835502"/>
    <w:rsid w:val="00835632"/>
    <w:rsid w:val="008358C6"/>
    <w:rsid w:val="0084074C"/>
    <w:rsid w:val="00840FEC"/>
    <w:rsid w:val="008423D6"/>
    <w:rsid w:val="008439BA"/>
    <w:rsid w:val="008444D0"/>
    <w:rsid w:val="00845932"/>
    <w:rsid w:val="00846296"/>
    <w:rsid w:val="008464C8"/>
    <w:rsid w:val="00851803"/>
    <w:rsid w:val="00852662"/>
    <w:rsid w:val="00852C52"/>
    <w:rsid w:val="00852F68"/>
    <w:rsid w:val="008539F9"/>
    <w:rsid w:val="008557FF"/>
    <w:rsid w:val="00855B8D"/>
    <w:rsid w:val="00855CC9"/>
    <w:rsid w:val="008564BE"/>
    <w:rsid w:val="00857771"/>
    <w:rsid w:val="00861828"/>
    <w:rsid w:val="0086259B"/>
    <w:rsid w:val="00862B80"/>
    <w:rsid w:val="0086338E"/>
    <w:rsid w:val="008642BC"/>
    <w:rsid w:val="00864A66"/>
    <w:rsid w:val="00866C17"/>
    <w:rsid w:val="008673BF"/>
    <w:rsid w:val="00867A41"/>
    <w:rsid w:val="008702BC"/>
    <w:rsid w:val="0087122F"/>
    <w:rsid w:val="008722A9"/>
    <w:rsid w:val="00873249"/>
    <w:rsid w:val="0087420D"/>
    <w:rsid w:val="00874403"/>
    <w:rsid w:val="00874847"/>
    <w:rsid w:val="00875628"/>
    <w:rsid w:val="00875C7C"/>
    <w:rsid w:val="00876B07"/>
    <w:rsid w:val="00877BCD"/>
    <w:rsid w:val="00881130"/>
    <w:rsid w:val="00881BD0"/>
    <w:rsid w:val="00882D2A"/>
    <w:rsid w:val="00883C90"/>
    <w:rsid w:val="008857EC"/>
    <w:rsid w:val="008858B2"/>
    <w:rsid w:val="008860B1"/>
    <w:rsid w:val="00886B00"/>
    <w:rsid w:val="008879F8"/>
    <w:rsid w:val="00887B95"/>
    <w:rsid w:val="00891D2E"/>
    <w:rsid w:val="00893D20"/>
    <w:rsid w:val="008949AF"/>
    <w:rsid w:val="00895F5A"/>
    <w:rsid w:val="00896647"/>
    <w:rsid w:val="00896C2C"/>
    <w:rsid w:val="008971B4"/>
    <w:rsid w:val="00897C53"/>
    <w:rsid w:val="008A07F1"/>
    <w:rsid w:val="008A24AD"/>
    <w:rsid w:val="008A2ED1"/>
    <w:rsid w:val="008A3C04"/>
    <w:rsid w:val="008A41C3"/>
    <w:rsid w:val="008A4D34"/>
    <w:rsid w:val="008A5B69"/>
    <w:rsid w:val="008A6884"/>
    <w:rsid w:val="008A74AE"/>
    <w:rsid w:val="008A79FC"/>
    <w:rsid w:val="008A7B04"/>
    <w:rsid w:val="008A7B93"/>
    <w:rsid w:val="008A7B98"/>
    <w:rsid w:val="008B0602"/>
    <w:rsid w:val="008B2FDF"/>
    <w:rsid w:val="008B430D"/>
    <w:rsid w:val="008B6BC9"/>
    <w:rsid w:val="008B703C"/>
    <w:rsid w:val="008B7B79"/>
    <w:rsid w:val="008C1152"/>
    <w:rsid w:val="008C281F"/>
    <w:rsid w:val="008C452D"/>
    <w:rsid w:val="008C6553"/>
    <w:rsid w:val="008C7185"/>
    <w:rsid w:val="008D064F"/>
    <w:rsid w:val="008D0B4E"/>
    <w:rsid w:val="008D30FC"/>
    <w:rsid w:val="008D3C72"/>
    <w:rsid w:val="008D465F"/>
    <w:rsid w:val="008D4DA5"/>
    <w:rsid w:val="008D59A3"/>
    <w:rsid w:val="008D79CE"/>
    <w:rsid w:val="008E2311"/>
    <w:rsid w:val="008E285B"/>
    <w:rsid w:val="008E2E7E"/>
    <w:rsid w:val="008E313E"/>
    <w:rsid w:val="008E36AA"/>
    <w:rsid w:val="008E560E"/>
    <w:rsid w:val="008E585C"/>
    <w:rsid w:val="008E6326"/>
    <w:rsid w:val="008E7BA4"/>
    <w:rsid w:val="008E7F5E"/>
    <w:rsid w:val="008F0974"/>
    <w:rsid w:val="008F0C3A"/>
    <w:rsid w:val="008F0C3C"/>
    <w:rsid w:val="008F0E65"/>
    <w:rsid w:val="008F1384"/>
    <w:rsid w:val="008F19A5"/>
    <w:rsid w:val="008F1F3C"/>
    <w:rsid w:val="008F2E49"/>
    <w:rsid w:val="008F3906"/>
    <w:rsid w:val="008F5D0C"/>
    <w:rsid w:val="008F5D3A"/>
    <w:rsid w:val="008F6DF3"/>
    <w:rsid w:val="008F77F6"/>
    <w:rsid w:val="00901C37"/>
    <w:rsid w:val="00903319"/>
    <w:rsid w:val="00903477"/>
    <w:rsid w:val="009034E5"/>
    <w:rsid w:val="00903F0C"/>
    <w:rsid w:val="0090448E"/>
    <w:rsid w:val="00910B10"/>
    <w:rsid w:val="00912A11"/>
    <w:rsid w:val="009135C5"/>
    <w:rsid w:val="00913656"/>
    <w:rsid w:val="0091393D"/>
    <w:rsid w:val="00913F0B"/>
    <w:rsid w:val="00915080"/>
    <w:rsid w:val="00915EB7"/>
    <w:rsid w:val="00916DA0"/>
    <w:rsid w:val="00917EB6"/>
    <w:rsid w:val="009203A4"/>
    <w:rsid w:val="009210B8"/>
    <w:rsid w:val="00922827"/>
    <w:rsid w:val="00923CD3"/>
    <w:rsid w:val="009242DE"/>
    <w:rsid w:val="009251F2"/>
    <w:rsid w:val="009262E9"/>
    <w:rsid w:val="0092648D"/>
    <w:rsid w:val="00926C6C"/>
    <w:rsid w:val="00926DA1"/>
    <w:rsid w:val="009270DF"/>
    <w:rsid w:val="00930B28"/>
    <w:rsid w:val="00930D6E"/>
    <w:rsid w:val="0093124E"/>
    <w:rsid w:val="00932B0B"/>
    <w:rsid w:val="00933864"/>
    <w:rsid w:val="009375A0"/>
    <w:rsid w:val="009403B2"/>
    <w:rsid w:val="00941066"/>
    <w:rsid w:val="00941166"/>
    <w:rsid w:val="0094122F"/>
    <w:rsid w:val="00941563"/>
    <w:rsid w:val="009421E8"/>
    <w:rsid w:val="00943460"/>
    <w:rsid w:val="00943E8D"/>
    <w:rsid w:val="00945A81"/>
    <w:rsid w:val="0094610A"/>
    <w:rsid w:val="00946320"/>
    <w:rsid w:val="0094695F"/>
    <w:rsid w:val="0094696F"/>
    <w:rsid w:val="0095077C"/>
    <w:rsid w:val="00950F44"/>
    <w:rsid w:val="0095188A"/>
    <w:rsid w:val="00951DC0"/>
    <w:rsid w:val="0095257A"/>
    <w:rsid w:val="00953C38"/>
    <w:rsid w:val="00954059"/>
    <w:rsid w:val="00954B81"/>
    <w:rsid w:val="009550DF"/>
    <w:rsid w:val="009554CF"/>
    <w:rsid w:val="009566D1"/>
    <w:rsid w:val="00956E4D"/>
    <w:rsid w:val="00957A71"/>
    <w:rsid w:val="00957B84"/>
    <w:rsid w:val="0096076B"/>
    <w:rsid w:val="00961E9E"/>
    <w:rsid w:val="00962B29"/>
    <w:rsid w:val="009640D9"/>
    <w:rsid w:val="009657FA"/>
    <w:rsid w:val="009658D7"/>
    <w:rsid w:val="00965A5D"/>
    <w:rsid w:val="00965DEA"/>
    <w:rsid w:val="00966BFE"/>
    <w:rsid w:val="00966D26"/>
    <w:rsid w:val="00972EA0"/>
    <w:rsid w:val="0097355B"/>
    <w:rsid w:val="00973E85"/>
    <w:rsid w:val="00975AF8"/>
    <w:rsid w:val="00976C09"/>
    <w:rsid w:val="00981268"/>
    <w:rsid w:val="00981C2E"/>
    <w:rsid w:val="0098360A"/>
    <w:rsid w:val="00983CB4"/>
    <w:rsid w:val="00983D41"/>
    <w:rsid w:val="00984711"/>
    <w:rsid w:val="00984D4F"/>
    <w:rsid w:val="00985343"/>
    <w:rsid w:val="009854D7"/>
    <w:rsid w:val="0098557F"/>
    <w:rsid w:val="00985B28"/>
    <w:rsid w:val="009872DB"/>
    <w:rsid w:val="00990A43"/>
    <w:rsid w:val="00990C6A"/>
    <w:rsid w:val="0099127D"/>
    <w:rsid w:val="00992B22"/>
    <w:rsid w:val="00992DAD"/>
    <w:rsid w:val="00992F3D"/>
    <w:rsid w:val="00994423"/>
    <w:rsid w:val="00996553"/>
    <w:rsid w:val="009A22F6"/>
    <w:rsid w:val="009A25F0"/>
    <w:rsid w:val="009A49FD"/>
    <w:rsid w:val="009A6B22"/>
    <w:rsid w:val="009A7A4E"/>
    <w:rsid w:val="009A7C00"/>
    <w:rsid w:val="009B1AEF"/>
    <w:rsid w:val="009B2966"/>
    <w:rsid w:val="009B2AF5"/>
    <w:rsid w:val="009B3A3C"/>
    <w:rsid w:val="009B4108"/>
    <w:rsid w:val="009B411D"/>
    <w:rsid w:val="009B4293"/>
    <w:rsid w:val="009B5228"/>
    <w:rsid w:val="009B5386"/>
    <w:rsid w:val="009B58E7"/>
    <w:rsid w:val="009B76CB"/>
    <w:rsid w:val="009B7DE4"/>
    <w:rsid w:val="009C03E5"/>
    <w:rsid w:val="009C06B0"/>
    <w:rsid w:val="009C0FD1"/>
    <w:rsid w:val="009C375B"/>
    <w:rsid w:val="009C39D5"/>
    <w:rsid w:val="009C40A8"/>
    <w:rsid w:val="009C49CA"/>
    <w:rsid w:val="009C5C06"/>
    <w:rsid w:val="009C5DF1"/>
    <w:rsid w:val="009C5F55"/>
    <w:rsid w:val="009C60EB"/>
    <w:rsid w:val="009C631B"/>
    <w:rsid w:val="009C64C2"/>
    <w:rsid w:val="009C6ED1"/>
    <w:rsid w:val="009D2774"/>
    <w:rsid w:val="009D4C16"/>
    <w:rsid w:val="009D4ED6"/>
    <w:rsid w:val="009D55EA"/>
    <w:rsid w:val="009D7AE0"/>
    <w:rsid w:val="009D7CEA"/>
    <w:rsid w:val="009D7DA8"/>
    <w:rsid w:val="009E23B5"/>
    <w:rsid w:val="009E3003"/>
    <w:rsid w:val="009E3A94"/>
    <w:rsid w:val="009E5CD4"/>
    <w:rsid w:val="009E6EE2"/>
    <w:rsid w:val="009E6FA1"/>
    <w:rsid w:val="009F0AD0"/>
    <w:rsid w:val="009F2AAF"/>
    <w:rsid w:val="009F2BF4"/>
    <w:rsid w:val="009F40A5"/>
    <w:rsid w:val="009F6154"/>
    <w:rsid w:val="00A009AB"/>
    <w:rsid w:val="00A0186B"/>
    <w:rsid w:val="00A01E4B"/>
    <w:rsid w:val="00A02681"/>
    <w:rsid w:val="00A02B73"/>
    <w:rsid w:val="00A03C3F"/>
    <w:rsid w:val="00A04E17"/>
    <w:rsid w:val="00A06344"/>
    <w:rsid w:val="00A07953"/>
    <w:rsid w:val="00A07A98"/>
    <w:rsid w:val="00A106E0"/>
    <w:rsid w:val="00A1344C"/>
    <w:rsid w:val="00A14C30"/>
    <w:rsid w:val="00A16571"/>
    <w:rsid w:val="00A16591"/>
    <w:rsid w:val="00A16A84"/>
    <w:rsid w:val="00A17E3D"/>
    <w:rsid w:val="00A213E5"/>
    <w:rsid w:val="00A2169F"/>
    <w:rsid w:val="00A221DF"/>
    <w:rsid w:val="00A242C8"/>
    <w:rsid w:val="00A24654"/>
    <w:rsid w:val="00A25E47"/>
    <w:rsid w:val="00A30A36"/>
    <w:rsid w:val="00A31A39"/>
    <w:rsid w:val="00A33E7B"/>
    <w:rsid w:val="00A34D3D"/>
    <w:rsid w:val="00A351BE"/>
    <w:rsid w:val="00A3585F"/>
    <w:rsid w:val="00A360DA"/>
    <w:rsid w:val="00A36B9B"/>
    <w:rsid w:val="00A3734A"/>
    <w:rsid w:val="00A379E8"/>
    <w:rsid w:val="00A41769"/>
    <w:rsid w:val="00A43108"/>
    <w:rsid w:val="00A433AE"/>
    <w:rsid w:val="00A43C64"/>
    <w:rsid w:val="00A468AC"/>
    <w:rsid w:val="00A46BCD"/>
    <w:rsid w:val="00A50509"/>
    <w:rsid w:val="00A51AF7"/>
    <w:rsid w:val="00A52204"/>
    <w:rsid w:val="00A55428"/>
    <w:rsid w:val="00A55769"/>
    <w:rsid w:val="00A562F0"/>
    <w:rsid w:val="00A56FC4"/>
    <w:rsid w:val="00A57CBC"/>
    <w:rsid w:val="00A6015F"/>
    <w:rsid w:val="00A60DE7"/>
    <w:rsid w:val="00A61A2B"/>
    <w:rsid w:val="00A646B0"/>
    <w:rsid w:val="00A650E1"/>
    <w:rsid w:val="00A6597D"/>
    <w:rsid w:val="00A67F15"/>
    <w:rsid w:val="00A702F5"/>
    <w:rsid w:val="00A70481"/>
    <w:rsid w:val="00A71526"/>
    <w:rsid w:val="00A71857"/>
    <w:rsid w:val="00A743D4"/>
    <w:rsid w:val="00A76D40"/>
    <w:rsid w:val="00A770C4"/>
    <w:rsid w:val="00A77BC6"/>
    <w:rsid w:val="00A77D78"/>
    <w:rsid w:val="00A80DDF"/>
    <w:rsid w:val="00A8160E"/>
    <w:rsid w:val="00A81EBD"/>
    <w:rsid w:val="00A83F3F"/>
    <w:rsid w:val="00A853AA"/>
    <w:rsid w:val="00A85912"/>
    <w:rsid w:val="00A85B12"/>
    <w:rsid w:val="00A85D42"/>
    <w:rsid w:val="00A86207"/>
    <w:rsid w:val="00A867A9"/>
    <w:rsid w:val="00A8720E"/>
    <w:rsid w:val="00A904FF"/>
    <w:rsid w:val="00A912F9"/>
    <w:rsid w:val="00A917E0"/>
    <w:rsid w:val="00A9197E"/>
    <w:rsid w:val="00A92CA5"/>
    <w:rsid w:val="00A93AA1"/>
    <w:rsid w:val="00A952F1"/>
    <w:rsid w:val="00A961D1"/>
    <w:rsid w:val="00A96C70"/>
    <w:rsid w:val="00A97AD6"/>
    <w:rsid w:val="00A97F83"/>
    <w:rsid w:val="00AA1421"/>
    <w:rsid w:val="00AA2E8A"/>
    <w:rsid w:val="00AA3975"/>
    <w:rsid w:val="00AA439B"/>
    <w:rsid w:val="00AA54AB"/>
    <w:rsid w:val="00AA68F1"/>
    <w:rsid w:val="00AA6FD3"/>
    <w:rsid w:val="00AA71F5"/>
    <w:rsid w:val="00AB0179"/>
    <w:rsid w:val="00AB160A"/>
    <w:rsid w:val="00AB207B"/>
    <w:rsid w:val="00AB2FB8"/>
    <w:rsid w:val="00AB35A0"/>
    <w:rsid w:val="00AB59E5"/>
    <w:rsid w:val="00AB7DCA"/>
    <w:rsid w:val="00AC3916"/>
    <w:rsid w:val="00AC5628"/>
    <w:rsid w:val="00AC6047"/>
    <w:rsid w:val="00AC66B2"/>
    <w:rsid w:val="00AC6A10"/>
    <w:rsid w:val="00AC7AD8"/>
    <w:rsid w:val="00AD0C94"/>
    <w:rsid w:val="00AD3660"/>
    <w:rsid w:val="00AD5393"/>
    <w:rsid w:val="00AD7A52"/>
    <w:rsid w:val="00AE0144"/>
    <w:rsid w:val="00AE1063"/>
    <w:rsid w:val="00AE2985"/>
    <w:rsid w:val="00AE3677"/>
    <w:rsid w:val="00AE3CA6"/>
    <w:rsid w:val="00AE4CC4"/>
    <w:rsid w:val="00AE5A5B"/>
    <w:rsid w:val="00AE7E1B"/>
    <w:rsid w:val="00AF025B"/>
    <w:rsid w:val="00AF0FB1"/>
    <w:rsid w:val="00AF2492"/>
    <w:rsid w:val="00AF26B4"/>
    <w:rsid w:val="00AF2FFF"/>
    <w:rsid w:val="00AF3331"/>
    <w:rsid w:val="00AF674B"/>
    <w:rsid w:val="00AF67C3"/>
    <w:rsid w:val="00AF7A13"/>
    <w:rsid w:val="00B009BD"/>
    <w:rsid w:val="00B00BCE"/>
    <w:rsid w:val="00B02B44"/>
    <w:rsid w:val="00B03782"/>
    <w:rsid w:val="00B038D0"/>
    <w:rsid w:val="00B0407F"/>
    <w:rsid w:val="00B05367"/>
    <w:rsid w:val="00B07565"/>
    <w:rsid w:val="00B078F5"/>
    <w:rsid w:val="00B105A7"/>
    <w:rsid w:val="00B11563"/>
    <w:rsid w:val="00B11AA5"/>
    <w:rsid w:val="00B122CA"/>
    <w:rsid w:val="00B12310"/>
    <w:rsid w:val="00B125B8"/>
    <w:rsid w:val="00B1317C"/>
    <w:rsid w:val="00B13C99"/>
    <w:rsid w:val="00B14897"/>
    <w:rsid w:val="00B149AF"/>
    <w:rsid w:val="00B14B03"/>
    <w:rsid w:val="00B1503A"/>
    <w:rsid w:val="00B17797"/>
    <w:rsid w:val="00B224BF"/>
    <w:rsid w:val="00B22E8B"/>
    <w:rsid w:val="00B24661"/>
    <w:rsid w:val="00B27601"/>
    <w:rsid w:val="00B27E4F"/>
    <w:rsid w:val="00B306C7"/>
    <w:rsid w:val="00B311AC"/>
    <w:rsid w:val="00B31569"/>
    <w:rsid w:val="00B31CC9"/>
    <w:rsid w:val="00B32BF8"/>
    <w:rsid w:val="00B32E9E"/>
    <w:rsid w:val="00B33DE0"/>
    <w:rsid w:val="00B364C1"/>
    <w:rsid w:val="00B3672B"/>
    <w:rsid w:val="00B378A7"/>
    <w:rsid w:val="00B42607"/>
    <w:rsid w:val="00B43892"/>
    <w:rsid w:val="00B448E9"/>
    <w:rsid w:val="00B45348"/>
    <w:rsid w:val="00B471A1"/>
    <w:rsid w:val="00B50BF0"/>
    <w:rsid w:val="00B51877"/>
    <w:rsid w:val="00B51FFF"/>
    <w:rsid w:val="00B5222A"/>
    <w:rsid w:val="00B52568"/>
    <w:rsid w:val="00B53046"/>
    <w:rsid w:val="00B54068"/>
    <w:rsid w:val="00B5524C"/>
    <w:rsid w:val="00B5563B"/>
    <w:rsid w:val="00B5724B"/>
    <w:rsid w:val="00B622F0"/>
    <w:rsid w:val="00B634C5"/>
    <w:rsid w:val="00B63B06"/>
    <w:rsid w:val="00B67425"/>
    <w:rsid w:val="00B679CF"/>
    <w:rsid w:val="00B70E0B"/>
    <w:rsid w:val="00B719E1"/>
    <w:rsid w:val="00B74696"/>
    <w:rsid w:val="00B759D2"/>
    <w:rsid w:val="00B76B17"/>
    <w:rsid w:val="00B803FC"/>
    <w:rsid w:val="00B81318"/>
    <w:rsid w:val="00B8163F"/>
    <w:rsid w:val="00B822AA"/>
    <w:rsid w:val="00B823B0"/>
    <w:rsid w:val="00B826BD"/>
    <w:rsid w:val="00B82CB0"/>
    <w:rsid w:val="00B8415D"/>
    <w:rsid w:val="00B85F54"/>
    <w:rsid w:val="00B865B0"/>
    <w:rsid w:val="00B906A6"/>
    <w:rsid w:val="00B91000"/>
    <w:rsid w:val="00B91D6E"/>
    <w:rsid w:val="00B924FB"/>
    <w:rsid w:val="00B94CCF"/>
    <w:rsid w:val="00B95893"/>
    <w:rsid w:val="00BA0BC2"/>
    <w:rsid w:val="00BA0BD1"/>
    <w:rsid w:val="00BA25D1"/>
    <w:rsid w:val="00BA3025"/>
    <w:rsid w:val="00BA4431"/>
    <w:rsid w:val="00BA48E1"/>
    <w:rsid w:val="00BA639C"/>
    <w:rsid w:val="00BA6EAD"/>
    <w:rsid w:val="00BA72CC"/>
    <w:rsid w:val="00BA7A2B"/>
    <w:rsid w:val="00BB05D5"/>
    <w:rsid w:val="00BB0646"/>
    <w:rsid w:val="00BB161C"/>
    <w:rsid w:val="00BB1DC3"/>
    <w:rsid w:val="00BB267E"/>
    <w:rsid w:val="00BB51C0"/>
    <w:rsid w:val="00BB69DF"/>
    <w:rsid w:val="00BB76D2"/>
    <w:rsid w:val="00BB7CA8"/>
    <w:rsid w:val="00BC2511"/>
    <w:rsid w:val="00BC318A"/>
    <w:rsid w:val="00BC35D9"/>
    <w:rsid w:val="00BC4596"/>
    <w:rsid w:val="00BC54F8"/>
    <w:rsid w:val="00BC5C5E"/>
    <w:rsid w:val="00BC632B"/>
    <w:rsid w:val="00BC64D2"/>
    <w:rsid w:val="00BC70E6"/>
    <w:rsid w:val="00BC72E6"/>
    <w:rsid w:val="00BC76D9"/>
    <w:rsid w:val="00BC7932"/>
    <w:rsid w:val="00BD04C3"/>
    <w:rsid w:val="00BD1430"/>
    <w:rsid w:val="00BD14E9"/>
    <w:rsid w:val="00BD1D36"/>
    <w:rsid w:val="00BD1E9E"/>
    <w:rsid w:val="00BD336F"/>
    <w:rsid w:val="00BD45A9"/>
    <w:rsid w:val="00BD5636"/>
    <w:rsid w:val="00BD5CDE"/>
    <w:rsid w:val="00BD6765"/>
    <w:rsid w:val="00BD6895"/>
    <w:rsid w:val="00BD72AB"/>
    <w:rsid w:val="00BD7601"/>
    <w:rsid w:val="00BE06B9"/>
    <w:rsid w:val="00BE2CD7"/>
    <w:rsid w:val="00BE3B09"/>
    <w:rsid w:val="00BE51B5"/>
    <w:rsid w:val="00BE7FE6"/>
    <w:rsid w:val="00BF232D"/>
    <w:rsid w:val="00BF2527"/>
    <w:rsid w:val="00BF2E4A"/>
    <w:rsid w:val="00BF4567"/>
    <w:rsid w:val="00BF53CA"/>
    <w:rsid w:val="00BF58F3"/>
    <w:rsid w:val="00BF5F0F"/>
    <w:rsid w:val="00BF65A7"/>
    <w:rsid w:val="00BF67A9"/>
    <w:rsid w:val="00C0099A"/>
    <w:rsid w:val="00C00D08"/>
    <w:rsid w:val="00C00D86"/>
    <w:rsid w:val="00C012F9"/>
    <w:rsid w:val="00C11B07"/>
    <w:rsid w:val="00C1514C"/>
    <w:rsid w:val="00C153E5"/>
    <w:rsid w:val="00C164E0"/>
    <w:rsid w:val="00C168FC"/>
    <w:rsid w:val="00C17982"/>
    <w:rsid w:val="00C21CFB"/>
    <w:rsid w:val="00C221A8"/>
    <w:rsid w:val="00C22D77"/>
    <w:rsid w:val="00C23CEE"/>
    <w:rsid w:val="00C253BD"/>
    <w:rsid w:val="00C2562D"/>
    <w:rsid w:val="00C26B4B"/>
    <w:rsid w:val="00C274FE"/>
    <w:rsid w:val="00C3130E"/>
    <w:rsid w:val="00C31CF1"/>
    <w:rsid w:val="00C34BBC"/>
    <w:rsid w:val="00C358C4"/>
    <w:rsid w:val="00C372B7"/>
    <w:rsid w:val="00C4004D"/>
    <w:rsid w:val="00C42C0F"/>
    <w:rsid w:val="00C4649E"/>
    <w:rsid w:val="00C50128"/>
    <w:rsid w:val="00C50FB1"/>
    <w:rsid w:val="00C526D1"/>
    <w:rsid w:val="00C534DC"/>
    <w:rsid w:val="00C538A7"/>
    <w:rsid w:val="00C550DF"/>
    <w:rsid w:val="00C56032"/>
    <w:rsid w:val="00C60A11"/>
    <w:rsid w:val="00C61C0C"/>
    <w:rsid w:val="00C620E0"/>
    <w:rsid w:val="00C62622"/>
    <w:rsid w:val="00C63A53"/>
    <w:rsid w:val="00C64871"/>
    <w:rsid w:val="00C66765"/>
    <w:rsid w:val="00C6755A"/>
    <w:rsid w:val="00C676F2"/>
    <w:rsid w:val="00C67B72"/>
    <w:rsid w:val="00C67E18"/>
    <w:rsid w:val="00C71807"/>
    <w:rsid w:val="00C71EFF"/>
    <w:rsid w:val="00C722A7"/>
    <w:rsid w:val="00C72D90"/>
    <w:rsid w:val="00C73C4B"/>
    <w:rsid w:val="00C747F4"/>
    <w:rsid w:val="00C75492"/>
    <w:rsid w:val="00C766EC"/>
    <w:rsid w:val="00C76EE0"/>
    <w:rsid w:val="00C77462"/>
    <w:rsid w:val="00C777F1"/>
    <w:rsid w:val="00C7791F"/>
    <w:rsid w:val="00C80DED"/>
    <w:rsid w:val="00C8271F"/>
    <w:rsid w:val="00C82E2B"/>
    <w:rsid w:val="00C8352E"/>
    <w:rsid w:val="00C84DCE"/>
    <w:rsid w:val="00C85E7D"/>
    <w:rsid w:val="00C867A0"/>
    <w:rsid w:val="00C8685D"/>
    <w:rsid w:val="00C913A5"/>
    <w:rsid w:val="00C92405"/>
    <w:rsid w:val="00C92AF3"/>
    <w:rsid w:val="00C930D3"/>
    <w:rsid w:val="00C9365B"/>
    <w:rsid w:val="00C959D0"/>
    <w:rsid w:val="00C95E05"/>
    <w:rsid w:val="00C97F61"/>
    <w:rsid w:val="00CA1AF9"/>
    <w:rsid w:val="00CA5758"/>
    <w:rsid w:val="00CA62C2"/>
    <w:rsid w:val="00CA69E5"/>
    <w:rsid w:val="00CA7DC4"/>
    <w:rsid w:val="00CB0A8A"/>
    <w:rsid w:val="00CB2FF0"/>
    <w:rsid w:val="00CB48D5"/>
    <w:rsid w:val="00CB5B72"/>
    <w:rsid w:val="00CB5F76"/>
    <w:rsid w:val="00CB7D2D"/>
    <w:rsid w:val="00CB7D50"/>
    <w:rsid w:val="00CC078D"/>
    <w:rsid w:val="00CC0E77"/>
    <w:rsid w:val="00CC1071"/>
    <w:rsid w:val="00CC1369"/>
    <w:rsid w:val="00CC2B6F"/>
    <w:rsid w:val="00CC3346"/>
    <w:rsid w:val="00CC5E96"/>
    <w:rsid w:val="00CC6015"/>
    <w:rsid w:val="00CD2BA6"/>
    <w:rsid w:val="00CD2DD5"/>
    <w:rsid w:val="00CD3D4C"/>
    <w:rsid w:val="00CD3FDA"/>
    <w:rsid w:val="00CD4325"/>
    <w:rsid w:val="00CD44EF"/>
    <w:rsid w:val="00CD533D"/>
    <w:rsid w:val="00CD667C"/>
    <w:rsid w:val="00CD6AAF"/>
    <w:rsid w:val="00CD6D0C"/>
    <w:rsid w:val="00CD6F60"/>
    <w:rsid w:val="00CE23E3"/>
    <w:rsid w:val="00CE48B1"/>
    <w:rsid w:val="00CF0E38"/>
    <w:rsid w:val="00CF449B"/>
    <w:rsid w:val="00CF62E9"/>
    <w:rsid w:val="00CF706B"/>
    <w:rsid w:val="00D00242"/>
    <w:rsid w:val="00D016A7"/>
    <w:rsid w:val="00D01C19"/>
    <w:rsid w:val="00D03D12"/>
    <w:rsid w:val="00D05BDF"/>
    <w:rsid w:val="00D07145"/>
    <w:rsid w:val="00D1084B"/>
    <w:rsid w:val="00D10A6F"/>
    <w:rsid w:val="00D10BCF"/>
    <w:rsid w:val="00D11059"/>
    <w:rsid w:val="00D13B65"/>
    <w:rsid w:val="00D15A32"/>
    <w:rsid w:val="00D15CB0"/>
    <w:rsid w:val="00D21C0A"/>
    <w:rsid w:val="00D230E1"/>
    <w:rsid w:val="00D231EA"/>
    <w:rsid w:val="00D23AEF"/>
    <w:rsid w:val="00D24197"/>
    <w:rsid w:val="00D26198"/>
    <w:rsid w:val="00D264BA"/>
    <w:rsid w:val="00D27047"/>
    <w:rsid w:val="00D27364"/>
    <w:rsid w:val="00D2737C"/>
    <w:rsid w:val="00D276B1"/>
    <w:rsid w:val="00D307A6"/>
    <w:rsid w:val="00D310AD"/>
    <w:rsid w:val="00D352D5"/>
    <w:rsid w:val="00D35C29"/>
    <w:rsid w:val="00D362F2"/>
    <w:rsid w:val="00D37931"/>
    <w:rsid w:val="00D41850"/>
    <w:rsid w:val="00D42234"/>
    <w:rsid w:val="00D4318A"/>
    <w:rsid w:val="00D46246"/>
    <w:rsid w:val="00D4735F"/>
    <w:rsid w:val="00D47A2F"/>
    <w:rsid w:val="00D53CCD"/>
    <w:rsid w:val="00D545CC"/>
    <w:rsid w:val="00D55D0F"/>
    <w:rsid w:val="00D56A79"/>
    <w:rsid w:val="00D57E5F"/>
    <w:rsid w:val="00D62C4A"/>
    <w:rsid w:val="00D6406E"/>
    <w:rsid w:val="00D70252"/>
    <w:rsid w:val="00D7035D"/>
    <w:rsid w:val="00D7066E"/>
    <w:rsid w:val="00D70DB5"/>
    <w:rsid w:val="00D710F4"/>
    <w:rsid w:val="00D71391"/>
    <w:rsid w:val="00D74BCB"/>
    <w:rsid w:val="00D75EBD"/>
    <w:rsid w:val="00D77D90"/>
    <w:rsid w:val="00D80151"/>
    <w:rsid w:val="00D80508"/>
    <w:rsid w:val="00D811D6"/>
    <w:rsid w:val="00D83821"/>
    <w:rsid w:val="00D83C1F"/>
    <w:rsid w:val="00D83EAB"/>
    <w:rsid w:val="00D844FC"/>
    <w:rsid w:val="00D853F1"/>
    <w:rsid w:val="00D866AF"/>
    <w:rsid w:val="00D86822"/>
    <w:rsid w:val="00D86A99"/>
    <w:rsid w:val="00D87321"/>
    <w:rsid w:val="00D90B24"/>
    <w:rsid w:val="00D90C7A"/>
    <w:rsid w:val="00D91050"/>
    <w:rsid w:val="00D91383"/>
    <w:rsid w:val="00D91AFF"/>
    <w:rsid w:val="00D91F37"/>
    <w:rsid w:val="00D93203"/>
    <w:rsid w:val="00D937DB"/>
    <w:rsid w:val="00D9521E"/>
    <w:rsid w:val="00D956F5"/>
    <w:rsid w:val="00D9631F"/>
    <w:rsid w:val="00D9677F"/>
    <w:rsid w:val="00DA035E"/>
    <w:rsid w:val="00DA0667"/>
    <w:rsid w:val="00DA1BB2"/>
    <w:rsid w:val="00DA1C43"/>
    <w:rsid w:val="00DA1F03"/>
    <w:rsid w:val="00DA6DB6"/>
    <w:rsid w:val="00DA6F85"/>
    <w:rsid w:val="00DB023D"/>
    <w:rsid w:val="00DB1FF8"/>
    <w:rsid w:val="00DB2B38"/>
    <w:rsid w:val="00DB2FF5"/>
    <w:rsid w:val="00DB3977"/>
    <w:rsid w:val="00DB4B95"/>
    <w:rsid w:val="00DB4CA3"/>
    <w:rsid w:val="00DB63EB"/>
    <w:rsid w:val="00DB65BB"/>
    <w:rsid w:val="00DB6A0D"/>
    <w:rsid w:val="00DB7025"/>
    <w:rsid w:val="00DC148C"/>
    <w:rsid w:val="00DC16E5"/>
    <w:rsid w:val="00DC1F7D"/>
    <w:rsid w:val="00DC2056"/>
    <w:rsid w:val="00DC2450"/>
    <w:rsid w:val="00DC2FD5"/>
    <w:rsid w:val="00DC35C5"/>
    <w:rsid w:val="00DC505C"/>
    <w:rsid w:val="00DC534D"/>
    <w:rsid w:val="00DC7E60"/>
    <w:rsid w:val="00DD068C"/>
    <w:rsid w:val="00DD06BA"/>
    <w:rsid w:val="00DD07B0"/>
    <w:rsid w:val="00DD2F79"/>
    <w:rsid w:val="00DD3376"/>
    <w:rsid w:val="00DD368C"/>
    <w:rsid w:val="00DD3873"/>
    <w:rsid w:val="00DD4341"/>
    <w:rsid w:val="00DD47F3"/>
    <w:rsid w:val="00DD599A"/>
    <w:rsid w:val="00DD6EC6"/>
    <w:rsid w:val="00DD72F7"/>
    <w:rsid w:val="00DD76F1"/>
    <w:rsid w:val="00DD7A2B"/>
    <w:rsid w:val="00DE0AAC"/>
    <w:rsid w:val="00DE20E6"/>
    <w:rsid w:val="00DE31A0"/>
    <w:rsid w:val="00DE34A0"/>
    <w:rsid w:val="00DE4BAC"/>
    <w:rsid w:val="00DE56F7"/>
    <w:rsid w:val="00DE6FC9"/>
    <w:rsid w:val="00DE71F5"/>
    <w:rsid w:val="00DF21F1"/>
    <w:rsid w:val="00DF4239"/>
    <w:rsid w:val="00E01491"/>
    <w:rsid w:val="00E01A1C"/>
    <w:rsid w:val="00E028A1"/>
    <w:rsid w:val="00E0604D"/>
    <w:rsid w:val="00E066F8"/>
    <w:rsid w:val="00E0797E"/>
    <w:rsid w:val="00E07D62"/>
    <w:rsid w:val="00E07F17"/>
    <w:rsid w:val="00E10CD5"/>
    <w:rsid w:val="00E12F65"/>
    <w:rsid w:val="00E13250"/>
    <w:rsid w:val="00E14842"/>
    <w:rsid w:val="00E1575B"/>
    <w:rsid w:val="00E15A99"/>
    <w:rsid w:val="00E21896"/>
    <w:rsid w:val="00E223A8"/>
    <w:rsid w:val="00E234B3"/>
    <w:rsid w:val="00E23E85"/>
    <w:rsid w:val="00E24F82"/>
    <w:rsid w:val="00E253C3"/>
    <w:rsid w:val="00E277F6"/>
    <w:rsid w:val="00E279F3"/>
    <w:rsid w:val="00E3590F"/>
    <w:rsid w:val="00E364B9"/>
    <w:rsid w:val="00E367F4"/>
    <w:rsid w:val="00E37154"/>
    <w:rsid w:val="00E37188"/>
    <w:rsid w:val="00E4036F"/>
    <w:rsid w:val="00E40451"/>
    <w:rsid w:val="00E42067"/>
    <w:rsid w:val="00E42541"/>
    <w:rsid w:val="00E43207"/>
    <w:rsid w:val="00E43BD7"/>
    <w:rsid w:val="00E43D0D"/>
    <w:rsid w:val="00E43DF4"/>
    <w:rsid w:val="00E43FFA"/>
    <w:rsid w:val="00E442E3"/>
    <w:rsid w:val="00E50830"/>
    <w:rsid w:val="00E524CC"/>
    <w:rsid w:val="00E525A6"/>
    <w:rsid w:val="00E54004"/>
    <w:rsid w:val="00E55C56"/>
    <w:rsid w:val="00E56E27"/>
    <w:rsid w:val="00E60460"/>
    <w:rsid w:val="00E62DC9"/>
    <w:rsid w:val="00E62DCA"/>
    <w:rsid w:val="00E64777"/>
    <w:rsid w:val="00E6531B"/>
    <w:rsid w:val="00E670C5"/>
    <w:rsid w:val="00E6721D"/>
    <w:rsid w:val="00E703D2"/>
    <w:rsid w:val="00E70587"/>
    <w:rsid w:val="00E71D51"/>
    <w:rsid w:val="00E71EF2"/>
    <w:rsid w:val="00E727D6"/>
    <w:rsid w:val="00E74FD9"/>
    <w:rsid w:val="00E750B9"/>
    <w:rsid w:val="00E75995"/>
    <w:rsid w:val="00E7735C"/>
    <w:rsid w:val="00E7756F"/>
    <w:rsid w:val="00E813CC"/>
    <w:rsid w:val="00E81ABB"/>
    <w:rsid w:val="00E8264A"/>
    <w:rsid w:val="00E82BA2"/>
    <w:rsid w:val="00E82D48"/>
    <w:rsid w:val="00E83C3C"/>
    <w:rsid w:val="00E845F7"/>
    <w:rsid w:val="00E84A9B"/>
    <w:rsid w:val="00E85EA1"/>
    <w:rsid w:val="00E8653F"/>
    <w:rsid w:val="00E87B30"/>
    <w:rsid w:val="00E91BB6"/>
    <w:rsid w:val="00E92A39"/>
    <w:rsid w:val="00E93AC9"/>
    <w:rsid w:val="00E94944"/>
    <w:rsid w:val="00E94D63"/>
    <w:rsid w:val="00E95A3A"/>
    <w:rsid w:val="00E970A1"/>
    <w:rsid w:val="00E9789D"/>
    <w:rsid w:val="00EA0D65"/>
    <w:rsid w:val="00EA1B91"/>
    <w:rsid w:val="00EA1F16"/>
    <w:rsid w:val="00EA2298"/>
    <w:rsid w:val="00EA4758"/>
    <w:rsid w:val="00EA5555"/>
    <w:rsid w:val="00EA58A3"/>
    <w:rsid w:val="00EA6E7F"/>
    <w:rsid w:val="00EA75CE"/>
    <w:rsid w:val="00EA7B35"/>
    <w:rsid w:val="00EB00DF"/>
    <w:rsid w:val="00EB05D3"/>
    <w:rsid w:val="00EB0B26"/>
    <w:rsid w:val="00EB16F4"/>
    <w:rsid w:val="00EB3A0E"/>
    <w:rsid w:val="00EB44E4"/>
    <w:rsid w:val="00EB5757"/>
    <w:rsid w:val="00EB5922"/>
    <w:rsid w:val="00EB5ADA"/>
    <w:rsid w:val="00EB5DEA"/>
    <w:rsid w:val="00EB63AE"/>
    <w:rsid w:val="00EB6935"/>
    <w:rsid w:val="00EB7108"/>
    <w:rsid w:val="00EC0F20"/>
    <w:rsid w:val="00EC101C"/>
    <w:rsid w:val="00EC1610"/>
    <w:rsid w:val="00EC1878"/>
    <w:rsid w:val="00EC1C02"/>
    <w:rsid w:val="00EC26AF"/>
    <w:rsid w:val="00EC407D"/>
    <w:rsid w:val="00EC5F39"/>
    <w:rsid w:val="00EC78FB"/>
    <w:rsid w:val="00EC7B6F"/>
    <w:rsid w:val="00EC7D3D"/>
    <w:rsid w:val="00ED09CB"/>
    <w:rsid w:val="00ED1416"/>
    <w:rsid w:val="00ED152F"/>
    <w:rsid w:val="00ED1FD2"/>
    <w:rsid w:val="00ED304E"/>
    <w:rsid w:val="00ED35AD"/>
    <w:rsid w:val="00ED3B14"/>
    <w:rsid w:val="00ED5ADC"/>
    <w:rsid w:val="00ED5AF1"/>
    <w:rsid w:val="00EE1AFD"/>
    <w:rsid w:val="00EE25B8"/>
    <w:rsid w:val="00EE2E20"/>
    <w:rsid w:val="00EE2E8E"/>
    <w:rsid w:val="00EE36C7"/>
    <w:rsid w:val="00EE3ACF"/>
    <w:rsid w:val="00EE5714"/>
    <w:rsid w:val="00EE5E00"/>
    <w:rsid w:val="00EF0D05"/>
    <w:rsid w:val="00EF1DAE"/>
    <w:rsid w:val="00EF1F18"/>
    <w:rsid w:val="00EF2445"/>
    <w:rsid w:val="00EF3B24"/>
    <w:rsid w:val="00EF4E77"/>
    <w:rsid w:val="00EF4FAB"/>
    <w:rsid w:val="00EF59D2"/>
    <w:rsid w:val="00EF740E"/>
    <w:rsid w:val="00EF7506"/>
    <w:rsid w:val="00EF754B"/>
    <w:rsid w:val="00F00CD0"/>
    <w:rsid w:val="00F015DF"/>
    <w:rsid w:val="00F02838"/>
    <w:rsid w:val="00F049C5"/>
    <w:rsid w:val="00F05075"/>
    <w:rsid w:val="00F06C25"/>
    <w:rsid w:val="00F073DA"/>
    <w:rsid w:val="00F0799D"/>
    <w:rsid w:val="00F07B1F"/>
    <w:rsid w:val="00F1114B"/>
    <w:rsid w:val="00F112AD"/>
    <w:rsid w:val="00F1353D"/>
    <w:rsid w:val="00F137F1"/>
    <w:rsid w:val="00F1421B"/>
    <w:rsid w:val="00F16403"/>
    <w:rsid w:val="00F22ECF"/>
    <w:rsid w:val="00F23113"/>
    <w:rsid w:val="00F23B9A"/>
    <w:rsid w:val="00F24D2B"/>
    <w:rsid w:val="00F2524F"/>
    <w:rsid w:val="00F25486"/>
    <w:rsid w:val="00F25EE0"/>
    <w:rsid w:val="00F30E30"/>
    <w:rsid w:val="00F31E03"/>
    <w:rsid w:val="00F31F4D"/>
    <w:rsid w:val="00F32A1E"/>
    <w:rsid w:val="00F32DBD"/>
    <w:rsid w:val="00F336AD"/>
    <w:rsid w:val="00F33FD6"/>
    <w:rsid w:val="00F34EAB"/>
    <w:rsid w:val="00F355DF"/>
    <w:rsid w:val="00F36ADB"/>
    <w:rsid w:val="00F37B5E"/>
    <w:rsid w:val="00F37CC3"/>
    <w:rsid w:val="00F40E67"/>
    <w:rsid w:val="00F422DB"/>
    <w:rsid w:val="00F42CBE"/>
    <w:rsid w:val="00F4351F"/>
    <w:rsid w:val="00F43609"/>
    <w:rsid w:val="00F43AE6"/>
    <w:rsid w:val="00F46B31"/>
    <w:rsid w:val="00F47251"/>
    <w:rsid w:val="00F506B7"/>
    <w:rsid w:val="00F50E0B"/>
    <w:rsid w:val="00F51FDE"/>
    <w:rsid w:val="00F5248F"/>
    <w:rsid w:val="00F54044"/>
    <w:rsid w:val="00F5537D"/>
    <w:rsid w:val="00F554A1"/>
    <w:rsid w:val="00F557EA"/>
    <w:rsid w:val="00F56263"/>
    <w:rsid w:val="00F567CB"/>
    <w:rsid w:val="00F56A6C"/>
    <w:rsid w:val="00F60CF4"/>
    <w:rsid w:val="00F62486"/>
    <w:rsid w:val="00F62C40"/>
    <w:rsid w:val="00F64EB0"/>
    <w:rsid w:val="00F656B0"/>
    <w:rsid w:val="00F671D3"/>
    <w:rsid w:val="00F679DD"/>
    <w:rsid w:val="00F70647"/>
    <w:rsid w:val="00F71647"/>
    <w:rsid w:val="00F728DC"/>
    <w:rsid w:val="00F73786"/>
    <w:rsid w:val="00F801DA"/>
    <w:rsid w:val="00F80D72"/>
    <w:rsid w:val="00F84BDC"/>
    <w:rsid w:val="00F84C88"/>
    <w:rsid w:val="00F85E3C"/>
    <w:rsid w:val="00F86410"/>
    <w:rsid w:val="00F91B06"/>
    <w:rsid w:val="00F920C5"/>
    <w:rsid w:val="00F9258E"/>
    <w:rsid w:val="00F93819"/>
    <w:rsid w:val="00F93BC3"/>
    <w:rsid w:val="00F94A06"/>
    <w:rsid w:val="00F961A3"/>
    <w:rsid w:val="00F971DC"/>
    <w:rsid w:val="00FA0445"/>
    <w:rsid w:val="00FA09E4"/>
    <w:rsid w:val="00FA2FA6"/>
    <w:rsid w:val="00FA3731"/>
    <w:rsid w:val="00FA3B78"/>
    <w:rsid w:val="00FA4F81"/>
    <w:rsid w:val="00FA50F3"/>
    <w:rsid w:val="00FA776B"/>
    <w:rsid w:val="00FA789D"/>
    <w:rsid w:val="00FB02E8"/>
    <w:rsid w:val="00FB1885"/>
    <w:rsid w:val="00FB1DFF"/>
    <w:rsid w:val="00FB2852"/>
    <w:rsid w:val="00FB2D1F"/>
    <w:rsid w:val="00FB2FD4"/>
    <w:rsid w:val="00FB41EF"/>
    <w:rsid w:val="00FB4613"/>
    <w:rsid w:val="00FB5DE4"/>
    <w:rsid w:val="00FB7232"/>
    <w:rsid w:val="00FC2970"/>
    <w:rsid w:val="00FC2B07"/>
    <w:rsid w:val="00FC3192"/>
    <w:rsid w:val="00FC3573"/>
    <w:rsid w:val="00FC4FD1"/>
    <w:rsid w:val="00FC52AC"/>
    <w:rsid w:val="00FD1907"/>
    <w:rsid w:val="00FD2960"/>
    <w:rsid w:val="00FD3A01"/>
    <w:rsid w:val="00FD485D"/>
    <w:rsid w:val="00FD4A01"/>
    <w:rsid w:val="00FD61C8"/>
    <w:rsid w:val="00FD7162"/>
    <w:rsid w:val="00FE1332"/>
    <w:rsid w:val="00FE1625"/>
    <w:rsid w:val="00FE1D44"/>
    <w:rsid w:val="00FE28FE"/>
    <w:rsid w:val="00FE2D21"/>
    <w:rsid w:val="00FE5EBD"/>
    <w:rsid w:val="00FE7C54"/>
    <w:rsid w:val="00FF14F5"/>
    <w:rsid w:val="00FF2151"/>
    <w:rsid w:val="00FF34AB"/>
    <w:rsid w:val="00FF4C65"/>
    <w:rsid w:val="00FF603B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0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4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24FB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B924FB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924FB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924FB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924FB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24FB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24F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24FB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924FB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92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924F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924FB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924FB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4F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24FB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924FB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924FB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924F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24FB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924FB"/>
    <w:pPr>
      <w:numPr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924FB"/>
    <w:pPr>
      <w:numPr>
        <w:ilvl w:val="1"/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924FB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924FB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924F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924FB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924FB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924FB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924F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B924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4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B924FB"/>
  </w:style>
  <w:style w:type="paragraph" w:styleId="CommentSubject">
    <w:name w:val="annotation subject"/>
    <w:basedOn w:val="CommentText"/>
    <w:next w:val="CommentText"/>
    <w:link w:val="CommentSubjectChar"/>
    <w:semiHidden/>
    <w:rsid w:val="00B924FB"/>
    <w:rPr>
      <w:b/>
      <w:bCs/>
    </w:rPr>
  </w:style>
  <w:style w:type="character" w:customStyle="1" w:styleId="CommentSubjectChar">
    <w:name w:val="Comment Subject Char"/>
    <w:link w:val="CommentSubject"/>
    <w:semiHidden/>
    <w:rsid w:val="00B924FB"/>
    <w:rPr>
      <w:b/>
      <w:bCs/>
    </w:rPr>
  </w:style>
  <w:style w:type="paragraph" w:customStyle="1" w:styleId="Contents">
    <w:name w:val="Contents"/>
    <w:qFormat/>
    <w:rsid w:val="00B924F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924F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924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24F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4FB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924F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924F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924F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24FB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924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B924FB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B924FB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B924FB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B924FB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924FB"/>
    <w:rPr>
      <w:color w:val="0000FF" w:themeColor="hyperlink"/>
      <w:u w:val="single"/>
    </w:rPr>
  </w:style>
  <w:style w:type="paragraph" w:customStyle="1" w:styleId="Investigators">
    <w:name w:val="Investigators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924F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924F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924FB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924F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924F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924F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924F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924F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924F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924F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92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924FB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rsid w:val="00B924FB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rsid w:val="00B924FB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924FB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924FB"/>
    <w:rPr>
      <w:rFonts w:ascii="Arial" w:eastAsia="Times New Roman" w:hAnsi="Arial"/>
      <w:b/>
      <w:bCs/>
      <w:sz w:val="24"/>
      <w:szCs w:val="40"/>
    </w:rPr>
  </w:style>
  <w:style w:type="paragraph" w:styleId="NormalWeb">
    <w:name w:val="Normal (Web)"/>
    <w:basedOn w:val="Normal"/>
    <w:uiPriority w:val="99"/>
    <w:semiHidden/>
    <w:rsid w:val="00B924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924FB"/>
    <w:pPr>
      <w:numPr>
        <w:numId w:val="31"/>
      </w:numPr>
    </w:pPr>
  </w:style>
  <w:style w:type="paragraph" w:customStyle="1" w:styleId="NumberLine">
    <w:name w:val="NumberLine"/>
    <w:qFormat/>
    <w:rsid w:val="00B924F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924FB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924FB"/>
  </w:style>
  <w:style w:type="paragraph" w:styleId="Revision">
    <w:name w:val="Revision"/>
    <w:hidden/>
    <w:uiPriority w:val="99"/>
    <w:semiHidden/>
    <w:rsid w:val="00261AA6"/>
    <w:rPr>
      <w:rFonts w:ascii="Times" w:eastAsia="Times New Roman" w:hAnsi="Times"/>
      <w:sz w:val="24"/>
    </w:rPr>
  </w:style>
  <w:style w:type="paragraph" w:customStyle="1" w:styleId="PageNumber0">
    <w:name w:val="PageNumber"/>
    <w:qFormat/>
    <w:rsid w:val="00B924F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924F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924FB"/>
    <w:rPr>
      <w:rFonts w:ascii="Times New Roman" w:eastAsia="Times New Roman" w:hAnsi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24FB"/>
    <w:rPr>
      <w:rFonts w:ascii="Times" w:eastAsia="Times New Roman" w:hAnsi="Times"/>
      <w:b/>
      <w:sz w:val="28"/>
    </w:rPr>
  </w:style>
  <w:style w:type="paragraph" w:customStyle="1" w:styleId="PreparedForText">
    <w:name w:val="PreparedForTex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924F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924F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924F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924F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924FB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924FB"/>
  </w:style>
  <w:style w:type="paragraph" w:customStyle="1" w:styleId="TableBoldText">
    <w:name w:val="TableBoldText"/>
    <w:qFormat/>
    <w:rsid w:val="00B924F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924F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924F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924F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924F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924F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924FB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924FB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924FB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924FB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B924F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24FB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924FB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4F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EPC">
    <w:name w:val="Table Title EPC"/>
    <w:next w:val="Normal"/>
    <w:rsid w:val="001305AC"/>
    <w:pPr>
      <w:keepNext/>
    </w:pPr>
    <w:rPr>
      <w:rFonts w:ascii="Arial" w:eastAsia="Times New Roman" w:hAnsi="Arial" w:cs="Arial"/>
      <w:b/>
      <w:sz w:val="18"/>
    </w:rPr>
  </w:style>
  <w:style w:type="paragraph" w:customStyle="1" w:styleId="FigureTitleEPC">
    <w:name w:val="Figure Title EPC"/>
    <w:basedOn w:val="TableTitleEPC"/>
    <w:next w:val="Normal"/>
    <w:rsid w:val="001305AC"/>
  </w:style>
  <w:style w:type="paragraph" w:customStyle="1" w:styleId="TableFigureEPC">
    <w:name w:val="Table/Figure EPC"/>
    <w:basedOn w:val="Normal"/>
    <w:rsid w:val="001305AC"/>
    <w:pPr>
      <w:jc w:val="center"/>
    </w:pPr>
    <w:rPr>
      <w:rFonts w:ascii="Arial" w:hAnsi="Arial" w:cs="Arial"/>
      <w:sz w:val="18"/>
    </w:rPr>
  </w:style>
  <w:style w:type="paragraph" w:customStyle="1" w:styleId="TableFigureTitleEPC">
    <w:name w:val="Table/Figure Title EPC"/>
    <w:rsid w:val="001305AC"/>
    <w:pPr>
      <w:keepNext/>
    </w:pPr>
    <w:rPr>
      <w:rFonts w:ascii="Arial" w:eastAsia="Times New Roman" w:hAnsi="Arial" w:cs="Arial"/>
      <w:b/>
      <w:sz w:val="18"/>
    </w:rPr>
  </w:style>
  <w:style w:type="character" w:customStyle="1" w:styleId="apple-converted-space">
    <w:name w:val="apple-converted-space"/>
    <w:basedOn w:val="DefaultParagraphFont"/>
    <w:rsid w:val="001305AC"/>
  </w:style>
  <w:style w:type="character" w:customStyle="1" w:styleId="apple-style-span">
    <w:name w:val="apple-style-span"/>
    <w:basedOn w:val="DefaultParagraphFont"/>
    <w:rsid w:val="001305AC"/>
  </w:style>
  <w:style w:type="character" w:styleId="Strong">
    <w:name w:val="Strong"/>
    <w:basedOn w:val="DefaultParagraphFont"/>
    <w:qFormat/>
    <w:rsid w:val="001305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305AC"/>
    <w:pPr>
      <w:spacing w:after="100"/>
      <w:ind w:left="720"/>
    </w:pPr>
  </w:style>
  <w:style w:type="paragraph" w:customStyle="1" w:styleId="CERexecsumtext">
    <w:name w:val="CER exec sum text"/>
    <w:basedOn w:val="Normal"/>
    <w:rsid w:val="001305AC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TableandFigureHeading">
    <w:name w:val="Table and Figure Heading"/>
    <w:basedOn w:val="Normal"/>
    <w:rsid w:val="001305AC"/>
    <w:rPr>
      <w:rFonts w:ascii="Arial" w:eastAsia="Times" w:hAnsi="Arial" w:cs="Arial"/>
      <w:b/>
      <w:sz w:val="20"/>
      <w:szCs w:val="36"/>
    </w:rPr>
  </w:style>
  <w:style w:type="paragraph" w:styleId="ListBullet">
    <w:name w:val="List Bullet"/>
    <w:basedOn w:val="Normal"/>
    <w:uiPriority w:val="99"/>
    <w:unhideWhenUsed/>
    <w:rsid w:val="001305AC"/>
    <w:pPr>
      <w:tabs>
        <w:tab w:val="num" w:pos="360"/>
      </w:tabs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0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4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24FB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B924FB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924FB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924FB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924FB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24FB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24F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24FB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924FB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92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924F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924FB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924FB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4F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24FB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924FB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924FB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924F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24FB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924FB"/>
    <w:pPr>
      <w:numPr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924FB"/>
    <w:pPr>
      <w:numPr>
        <w:ilvl w:val="1"/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924FB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924FB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924F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924FB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924FB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924FB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924F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B924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4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B924FB"/>
  </w:style>
  <w:style w:type="paragraph" w:styleId="CommentSubject">
    <w:name w:val="annotation subject"/>
    <w:basedOn w:val="CommentText"/>
    <w:next w:val="CommentText"/>
    <w:link w:val="CommentSubjectChar"/>
    <w:semiHidden/>
    <w:rsid w:val="00B924FB"/>
    <w:rPr>
      <w:b/>
      <w:bCs/>
    </w:rPr>
  </w:style>
  <w:style w:type="character" w:customStyle="1" w:styleId="CommentSubjectChar">
    <w:name w:val="Comment Subject Char"/>
    <w:link w:val="CommentSubject"/>
    <w:semiHidden/>
    <w:rsid w:val="00B924FB"/>
    <w:rPr>
      <w:b/>
      <w:bCs/>
    </w:rPr>
  </w:style>
  <w:style w:type="paragraph" w:customStyle="1" w:styleId="Contents">
    <w:name w:val="Contents"/>
    <w:qFormat/>
    <w:rsid w:val="00B924F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924F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924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24F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4FB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924F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924F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924F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24FB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924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B924FB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B924FB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B924FB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B924FB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924FB"/>
    <w:rPr>
      <w:color w:val="0000FF" w:themeColor="hyperlink"/>
      <w:u w:val="single"/>
    </w:rPr>
  </w:style>
  <w:style w:type="paragraph" w:customStyle="1" w:styleId="Investigators">
    <w:name w:val="Investigators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924F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924F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924FB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924F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924F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924F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924F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924F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924F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924F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92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924FB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rsid w:val="00B924FB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rsid w:val="00B924FB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924FB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924FB"/>
    <w:rPr>
      <w:rFonts w:ascii="Arial" w:eastAsia="Times New Roman" w:hAnsi="Arial"/>
      <w:b/>
      <w:bCs/>
      <w:sz w:val="24"/>
      <w:szCs w:val="40"/>
    </w:rPr>
  </w:style>
  <w:style w:type="paragraph" w:styleId="NormalWeb">
    <w:name w:val="Normal (Web)"/>
    <w:basedOn w:val="Normal"/>
    <w:uiPriority w:val="99"/>
    <w:semiHidden/>
    <w:rsid w:val="00B924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924FB"/>
    <w:pPr>
      <w:numPr>
        <w:numId w:val="31"/>
      </w:numPr>
    </w:pPr>
  </w:style>
  <w:style w:type="paragraph" w:customStyle="1" w:styleId="NumberLine">
    <w:name w:val="NumberLine"/>
    <w:qFormat/>
    <w:rsid w:val="00B924F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924FB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924FB"/>
  </w:style>
  <w:style w:type="paragraph" w:styleId="Revision">
    <w:name w:val="Revision"/>
    <w:hidden/>
    <w:uiPriority w:val="99"/>
    <w:semiHidden/>
    <w:rsid w:val="00261AA6"/>
    <w:rPr>
      <w:rFonts w:ascii="Times" w:eastAsia="Times New Roman" w:hAnsi="Times"/>
      <w:sz w:val="24"/>
    </w:rPr>
  </w:style>
  <w:style w:type="paragraph" w:customStyle="1" w:styleId="PageNumber0">
    <w:name w:val="PageNumber"/>
    <w:qFormat/>
    <w:rsid w:val="00B924F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924F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924FB"/>
    <w:rPr>
      <w:rFonts w:ascii="Times New Roman" w:eastAsia="Times New Roman" w:hAnsi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24FB"/>
    <w:rPr>
      <w:rFonts w:ascii="Times" w:eastAsia="Times New Roman" w:hAnsi="Times"/>
      <w:b/>
      <w:sz w:val="28"/>
    </w:rPr>
  </w:style>
  <w:style w:type="paragraph" w:customStyle="1" w:styleId="PreparedForText">
    <w:name w:val="PreparedForTex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924F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924F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924F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924F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924FB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924FB"/>
  </w:style>
  <w:style w:type="paragraph" w:customStyle="1" w:styleId="TableBoldText">
    <w:name w:val="TableBoldText"/>
    <w:qFormat/>
    <w:rsid w:val="00B924F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924F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924F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924F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924F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924F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924FB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924FB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924FB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924FB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B924F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24FB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924FB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4F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EPC">
    <w:name w:val="Table Title EPC"/>
    <w:next w:val="Normal"/>
    <w:rsid w:val="001305AC"/>
    <w:pPr>
      <w:keepNext/>
    </w:pPr>
    <w:rPr>
      <w:rFonts w:ascii="Arial" w:eastAsia="Times New Roman" w:hAnsi="Arial" w:cs="Arial"/>
      <w:b/>
      <w:sz w:val="18"/>
    </w:rPr>
  </w:style>
  <w:style w:type="paragraph" w:customStyle="1" w:styleId="FigureTitleEPC">
    <w:name w:val="Figure Title EPC"/>
    <w:basedOn w:val="TableTitleEPC"/>
    <w:next w:val="Normal"/>
    <w:rsid w:val="001305AC"/>
  </w:style>
  <w:style w:type="paragraph" w:customStyle="1" w:styleId="TableFigureEPC">
    <w:name w:val="Table/Figure EPC"/>
    <w:basedOn w:val="Normal"/>
    <w:rsid w:val="001305AC"/>
    <w:pPr>
      <w:jc w:val="center"/>
    </w:pPr>
    <w:rPr>
      <w:rFonts w:ascii="Arial" w:hAnsi="Arial" w:cs="Arial"/>
      <w:sz w:val="18"/>
    </w:rPr>
  </w:style>
  <w:style w:type="paragraph" w:customStyle="1" w:styleId="TableFigureTitleEPC">
    <w:name w:val="Table/Figure Title EPC"/>
    <w:rsid w:val="001305AC"/>
    <w:pPr>
      <w:keepNext/>
    </w:pPr>
    <w:rPr>
      <w:rFonts w:ascii="Arial" w:eastAsia="Times New Roman" w:hAnsi="Arial" w:cs="Arial"/>
      <w:b/>
      <w:sz w:val="18"/>
    </w:rPr>
  </w:style>
  <w:style w:type="character" w:customStyle="1" w:styleId="apple-converted-space">
    <w:name w:val="apple-converted-space"/>
    <w:basedOn w:val="DefaultParagraphFont"/>
    <w:rsid w:val="001305AC"/>
  </w:style>
  <w:style w:type="character" w:customStyle="1" w:styleId="apple-style-span">
    <w:name w:val="apple-style-span"/>
    <w:basedOn w:val="DefaultParagraphFont"/>
    <w:rsid w:val="001305AC"/>
  </w:style>
  <w:style w:type="character" w:styleId="Strong">
    <w:name w:val="Strong"/>
    <w:basedOn w:val="DefaultParagraphFont"/>
    <w:qFormat/>
    <w:rsid w:val="001305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305AC"/>
    <w:pPr>
      <w:spacing w:after="100"/>
      <w:ind w:left="720"/>
    </w:pPr>
  </w:style>
  <w:style w:type="paragraph" w:customStyle="1" w:styleId="CERexecsumtext">
    <w:name w:val="CER exec sum text"/>
    <w:basedOn w:val="Normal"/>
    <w:rsid w:val="001305AC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TableandFigureHeading">
    <w:name w:val="Table and Figure Heading"/>
    <w:basedOn w:val="Normal"/>
    <w:rsid w:val="001305AC"/>
    <w:rPr>
      <w:rFonts w:ascii="Arial" w:eastAsia="Times" w:hAnsi="Arial" w:cs="Arial"/>
      <w:b/>
      <w:sz w:val="20"/>
      <w:szCs w:val="36"/>
    </w:rPr>
  </w:style>
  <w:style w:type="paragraph" w:styleId="ListBullet">
    <w:name w:val="List Bullet"/>
    <w:basedOn w:val="Normal"/>
    <w:uiPriority w:val="99"/>
    <w:unhideWhenUsed/>
    <w:rsid w:val="001305AC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TA\Editorial%20Resources\Current%20Templates%20and%20Guidance\Templates\EPC%20Report%20Template%2011.16.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9147-CDCC-4420-89EC-AAAC116C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EPC Report Template 11.16.2011.dotx</Template>
  <TotalTime>0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12036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Tufts EPC</dc:creator>
  <cp:lastModifiedBy>Priyanka Pawar</cp:lastModifiedBy>
  <cp:revision>2</cp:revision>
  <cp:lastPrinted>2013-02-13T14:08:00Z</cp:lastPrinted>
  <dcterms:created xsi:type="dcterms:W3CDTF">2013-03-20T09:40:00Z</dcterms:created>
  <dcterms:modified xsi:type="dcterms:W3CDTF">2013-03-20T09:40:00Z</dcterms:modified>
</cp:coreProperties>
</file>