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D17. Risk of bias in randomized controlled clinical trials that examined efficacy of topiramate for migraine prevention in adults (sorted by year of publication)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1460"/>
        <w:gridCol w:w="1668"/>
        <w:gridCol w:w="1847"/>
        <w:gridCol w:w="2416"/>
        <w:gridCol w:w="1729"/>
        <w:gridCol w:w="1460"/>
      </w:tblGrid>
      <w:tr w:rsidR="003C5758" w:rsidRPr="00EE64F3" w:rsidTr="00B210CE">
        <w:trPr>
          <w:trHeight w:val="144"/>
          <w:tblHeader/>
        </w:trPr>
        <w:tc>
          <w:tcPr>
            <w:tcW w:w="98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nalysis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replanned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91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Storey, 2001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 (Topiramate group had no men and higher number of patients with concurrent preventative treatment, but the differences were not significant)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Edwards, 2003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Silvestrini, 2003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2003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Brandes, 2004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Clearly adequate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2004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Mei, 2004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Bussone,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Diamond,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Previously reported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22, 23, 43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adequate. Topiramate 200mg/day group has lower % of women and higher % of men as compared to other groups, but the differences were not significant (previously reported)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Mei,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Brandes,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Clearly adequate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adequate; the % of male patients were much lower in the topiramate100mg and 200mg groups, but the difference were not significant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Lofland,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Limmroth,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Diener,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Not adequate (Mean Beck Depression Inventory scores were higher in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placebo as compared to topiramate, but the differences were not significant)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Lainez,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Freitag,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Dahlof,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Diener,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Dodick,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Adelman,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Silberstein, 2009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Clearly adequate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98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Lipton, 2011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633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1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91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ind w:right="-1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The study mentions the significance of the outcome: ≥50% and 75% reduction in headache days and migraine headache days, however, the results are not given</w:t>
            </w:r>
          </w:p>
        </w:tc>
        <w:tc>
          <w:tcPr>
            <w:tcW w:w="55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bookmarkEnd w:id="0"/>
    </w:tbl>
    <w:p w:rsidR="003C5758" w:rsidRPr="00EE64F3" w:rsidRDefault="003C5758" w:rsidP="003C5758">
      <w:pPr>
        <w:rPr>
          <w:rFonts w:ascii="Arial" w:hAnsi="Arial" w:cs="Arial"/>
          <w:b/>
          <w:sz w:val="18"/>
          <w:szCs w:val="18"/>
        </w:rPr>
      </w:pPr>
    </w:p>
    <w:sectPr w:rsidR="003C5758" w:rsidRPr="00EE64F3" w:rsidSect="00CA7172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0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6E" w:rsidRDefault="00A72B6E">
      <w:r>
        <w:separator/>
      </w:r>
    </w:p>
  </w:endnote>
  <w:endnote w:type="continuationSeparator" w:id="0">
    <w:p w:rsidR="00A72B6E" w:rsidRDefault="00A7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72" w:rsidRDefault="00CA7172">
    <w:pPr>
      <w:pStyle w:val="Footer"/>
      <w:jc w:val="center"/>
    </w:pPr>
    <w:r>
      <w:t>D-</w:t>
    </w:r>
    <w:sdt>
      <w:sdtPr>
        <w:id w:val="31852906"/>
        <w:docPartObj>
          <w:docPartGallery w:val="Page Numbers (Bottom of Page)"/>
          <w:docPartUnique/>
        </w:docPartObj>
      </w:sdtPr>
      <w:sdtContent>
        <w:fldSimple w:instr=" PAGE   \* MERGEFORMAT ">
          <w:r w:rsidR="007A59FD">
            <w:rPr>
              <w:noProof/>
            </w:rPr>
            <w:t>110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2903"/>
      <w:docPartObj>
        <w:docPartGallery w:val="Page Numbers (Bottom of Page)"/>
        <w:docPartUnique/>
      </w:docPartObj>
    </w:sdtPr>
    <w:sdtContent>
      <w:p w:rsidR="00CA7172" w:rsidRDefault="00CA7172" w:rsidP="00CA7172">
        <w:pPr>
          <w:pStyle w:val="Footer"/>
          <w:jc w:val="center"/>
        </w:pPr>
        <w:r>
          <w:t>D-</w:t>
        </w:r>
        <w:fldSimple w:instr=" PAGE   \* MERGEFORMAT ">
          <w:r w:rsidR="007A59FD">
            <w:rPr>
              <w:noProof/>
            </w:rPr>
            <w:t>109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6E" w:rsidRDefault="00A72B6E">
      <w:r>
        <w:separator/>
      </w:r>
    </w:p>
  </w:footnote>
  <w:footnote w:type="continuationSeparator" w:id="0">
    <w:p w:rsidR="00A72B6E" w:rsidRDefault="00A72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7E" w:rsidRPr="007A59FD" w:rsidRDefault="007A59FD" w:rsidP="007A59FD">
    <w:pPr>
      <w:pStyle w:val="TableTitle"/>
    </w:pPr>
    <w:r>
      <w:t>Appendix Table</w:t>
    </w:r>
    <w:r w:rsidRPr="003A2282">
      <w:t xml:space="preserve"> </w:t>
    </w:r>
    <w:r>
      <w:t>17</w:t>
    </w:r>
    <w:r w:rsidRPr="003A2282">
      <w:t>. Risk of bias in randomized controlled clinical trials that examined efficacy of topiramate for migraine prevention in adults (sorted by year of publication)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6C8E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0D2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59FD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6E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172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30C2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A8D3-14FF-4C1A-9E1B-AA563C52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2619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2013-05-09T12:26:00Z</dcterms:created>
  <dcterms:modified xsi:type="dcterms:W3CDTF">2013-05-10T10:55:00Z</dcterms:modified>
</cp:coreProperties>
</file>