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B54" w:rsidRDefault="00F13B54" w:rsidP="00F13B54">
      <w:pPr>
        <w:pStyle w:val="TableTitle"/>
      </w:pPr>
      <w:r>
        <w:t>Evidence Table 11. Systematic reviews</w:t>
      </w:r>
    </w:p>
    <w:tbl>
      <w:tblPr>
        <w:tblW w:w="13083" w:type="dxa"/>
        <w:tblBorders>
          <w:top w:val="single" w:sz="12" w:space="0" w:color="auto"/>
          <w:bottom w:val="single" w:sz="12" w:space="0" w:color="auto"/>
          <w:insideH w:val="single" w:sz="8" w:space="0" w:color="auto"/>
        </w:tblBorders>
        <w:tblLayout w:type="fixed"/>
        <w:tblLook w:val="04A0"/>
      </w:tblPr>
      <w:tblGrid>
        <w:gridCol w:w="1545"/>
        <w:gridCol w:w="11538"/>
      </w:tblGrid>
      <w:tr w:rsidR="00F13B54" w:rsidRPr="006C22DB" w:rsidTr="00A26C1C">
        <w:tc>
          <w:tcPr>
            <w:tcW w:w="1545"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Author, Year </w:t>
            </w:r>
          </w:p>
          <w:p w:rsidR="00F13B54" w:rsidRPr="006C22DB" w:rsidRDefault="00F13B54" w:rsidP="00A26C1C">
            <w:pPr>
              <w:pStyle w:val="TableLeftText"/>
              <w:rPr>
                <w:rFonts w:eastAsia="Times New Roman" w:cs="Times New Roman"/>
                <w:b/>
                <w:bCs/>
              </w:rPr>
            </w:pPr>
            <w:r w:rsidRPr="006C22DB">
              <w:rPr>
                <w:rFonts w:eastAsia="Times New Roman" w:cs="Times New Roman"/>
                <w:b/>
                <w:bCs/>
              </w:rPr>
              <w:t>Country</w:t>
            </w:r>
          </w:p>
          <w:p w:rsidR="00F13B54" w:rsidRPr="006C22DB" w:rsidRDefault="00F13B54" w:rsidP="00A26C1C">
            <w:pPr>
              <w:pStyle w:val="TableLeftText"/>
              <w:rPr>
                <w:rFonts w:eastAsia="Times New Roman" w:cs="Times New Roman"/>
                <w:b/>
                <w:bCs/>
              </w:rPr>
            </w:pPr>
            <w:r w:rsidRPr="006C22DB">
              <w:rPr>
                <w:rFonts w:eastAsia="Times New Roman" w:cs="Times New Roman"/>
                <w:b/>
                <w:bCs/>
              </w:rPr>
              <w:t>Funding</w:t>
            </w:r>
          </w:p>
          <w:p w:rsidR="00F13B54" w:rsidRPr="006C22DB" w:rsidRDefault="00F13B54" w:rsidP="00A26C1C">
            <w:pPr>
              <w:pStyle w:val="TableLeftText"/>
              <w:rPr>
                <w:rFonts w:eastAsia="Times New Roman" w:cs="Times New Roman"/>
                <w:b/>
                <w:bCs/>
              </w:rPr>
            </w:pPr>
            <w:r w:rsidRPr="006C22DB">
              <w:rPr>
                <w:rFonts w:eastAsia="Times New Roman" w:cs="Times New Roman"/>
                <w:b/>
                <w:bCs/>
              </w:rPr>
              <w:t>Study Design</w:t>
            </w:r>
          </w:p>
        </w:tc>
        <w:tc>
          <w:tcPr>
            <w:tcW w:w="11538"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Abstraction Form </w:t>
            </w:r>
          </w:p>
        </w:tc>
      </w:tr>
      <w:tr w:rsidR="00F13B54" w:rsidRPr="006C22DB" w:rsidTr="00A26C1C">
        <w:tc>
          <w:tcPr>
            <w:tcW w:w="1545" w:type="dxa"/>
            <w:shd w:val="clear" w:color="auto" w:fill="auto"/>
          </w:tcPr>
          <w:p w:rsidR="00F13B54" w:rsidRPr="006C22DB" w:rsidRDefault="00F13B54" w:rsidP="00A26C1C">
            <w:pPr>
              <w:pStyle w:val="TableText"/>
              <w:rPr>
                <w:rFonts w:eastAsia="Times New Roman" w:cs="Times New Roman"/>
              </w:rPr>
            </w:pPr>
            <w:r w:rsidRPr="006C22DB">
              <w:rPr>
                <w:rFonts w:eastAsia="Times New Roman" w:cs="Times New Roman"/>
                <w:noProof/>
              </w:rPr>
              <w:t>Browning</w:t>
            </w:r>
            <w:r>
              <w:rPr>
                <w:rFonts w:eastAsia="Times New Roman" w:cs="Times New Roman"/>
                <w:noProof/>
              </w:rPr>
              <w:t xml:space="preserve"> et al.</w:t>
            </w:r>
            <w:r w:rsidRPr="006C22DB">
              <w:rPr>
                <w:rFonts w:eastAsia="Times New Roman" w:cs="Times New Roman"/>
              </w:rPr>
              <w:t xml:space="preserve">, </w:t>
            </w:r>
            <w:r w:rsidRPr="006C22DB">
              <w:rPr>
                <w:rFonts w:eastAsia="Times New Roman" w:cs="Times New Roman"/>
                <w:noProof/>
              </w:rPr>
              <w:t>2010</w:t>
            </w:r>
            <w:r w:rsidRPr="00D70325">
              <w:rPr>
                <w:rFonts w:ascii="Times New Roman" w:eastAsia="Times New Roman" w:hAnsi="Times New Roman" w:cs="Times New Roman"/>
                <w:noProof/>
                <w:vertAlign w:val="superscript"/>
              </w:rPr>
              <w:t>1</w:t>
            </w:r>
          </w:p>
          <w:p w:rsidR="00F13B54" w:rsidRPr="006C22DB" w:rsidRDefault="00F13B54" w:rsidP="00A26C1C">
            <w:pPr>
              <w:pStyle w:val="TableText"/>
              <w:rPr>
                <w:rFonts w:eastAsia="Times New Roman" w:cs="Times New Roman"/>
              </w:rPr>
            </w:pPr>
            <w:r w:rsidRPr="006C22DB">
              <w:rPr>
                <w:rFonts w:eastAsia="Times New Roman" w:cs="Times New Roman"/>
                <w:noProof/>
              </w:rPr>
              <w:t>Denmark: Arhus University, Arhus University Research Foundation, University of Southern Denmark, The Foundation for Research in General Practice and the Health Care System; and UK National Institute for Health Research Cochrane Review Incentive Scheme</w:t>
            </w:r>
          </w:p>
          <w:p w:rsidR="00F13B54" w:rsidRPr="006C22DB" w:rsidRDefault="00F13B54" w:rsidP="00A26C1C">
            <w:pPr>
              <w:pStyle w:val="TableText"/>
              <w:rPr>
                <w:rFonts w:eastAsia="Times New Roman" w:cs="Times New Roman"/>
              </w:rPr>
            </w:pPr>
            <w:r w:rsidRPr="006C22DB">
              <w:rPr>
                <w:rFonts w:eastAsia="Times New Roman" w:cs="Times New Roman"/>
                <w:noProof/>
              </w:rPr>
              <w:t>Systematic review</w:t>
            </w:r>
          </w:p>
        </w:tc>
        <w:tc>
          <w:tcPr>
            <w:tcW w:w="11538" w:type="dxa"/>
            <w:shd w:val="clear" w:color="auto" w:fill="auto"/>
          </w:tcPr>
          <w:p w:rsidR="00F13B54" w:rsidRPr="006C22DB" w:rsidRDefault="00F13B54" w:rsidP="00A26C1C">
            <w:pPr>
              <w:pStyle w:val="TableBoldText"/>
              <w:rPr>
                <w:rFonts w:eastAsia="Times New Roman" w:cs="Times New Roman"/>
              </w:rPr>
            </w:pPr>
            <w:r w:rsidRPr="006C22DB">
              <w:rPr>
                <w:rFonts w:eastAsia="Times New Roman" w:cs="Times New Roman"/>
              </w:rPr>
              <w:t>Number of Patients</w:t>
            </w:r>
          </w:p>
          <w:p w:rsidR="00F13B54" w:rsidRPr="006C22DB" w:rsidRDefault="00F13B54" w:rsidP="00A26C1C">
            <w:pPr>
              <w:pStyle w:val="TableText"/>
              <w:rPr>
                <w:rFonts w:eastAsia="Times New Roman" w:cs="Times New Roman"/>
              </w:rPr>
            </w:pPr>
            <w:r w:rsidRPr="006C22DB">
              <w:rPr>
                <w:rFonts w:eastAsia="Times New Roman" w:cs="Times New Roman"/>
                <w:noProof/>
              </w:rPr>
              <w:t>1728 in 10 studies of children with OME</w:t>
            </w:r>
          </w:p>
          <w:p w:rsidR="00F13B54" w:rsidRPr="006C22DB" w:rsidRDefault="00F13B54" w:rsidP="00A26C1C">
            <w:pPr>
              <w:pStyle w:val="TableBoldText"/>
              <w:rPr>
                <w:rFonts w:eastAsia="Times New Roman" w:cs="Times New Roman"/>
              </w:rPr>
            </w:pPr>
            <w:r w:rsidRPr="006C22DB">
              <w:rPr>
                <w:rFonts w:eastAsia="Times New Roman" w:cs="Times New Roman"/>
              </w:rPr>
              <w:t>Aims of Review</w:t>
            </w:r>
          </w:p>
          <w:p w:rsidR="00F13B54" w:rsidRPr="006C22DB" w:rsidRDefault="00F13B54" w:rsidP="00A26C1C">
            <w:pPr>
              <w:pStyle w:val="TableText"/>
              <w:rPr>
                <w:rFonts w:eastAsia="Times New Roman" w:cs="Times New Roman"/>
                <w:bCs/>
              </w:rPr>
            </w:pPr>
            <w:r w:rsidRPr="006C22DB">
              <w:rPr>
                <w:rFonts w:eastAsia="Times New Roman" w:cs="Times New Roman"/>
                <w:bCs/>
                <w:noProof/>
              </w:rPr>
              <w:t>To assess the effectivness of grommet insertion compared with myringotmy or non-surgical treatment in children with OME</w:t>
            </w:r>
          </w:p>
          <w:p w:rsidR="00F13B54" w:rsidRPr="006C22DB" w:rsidRDefault="00F13B54" w:rsidP="00A26C1C">
            <w:pPr>
              <w:pStyle w:val="TableBoldText"/>
              <w:rPr>
                <w:rFonts w:eastAsia="Times New Roman" w:cs="Times New Roman"/>
              </w:rPr>
            </w:pPr>
            <w:r w:rsidRPr="006C22DB">
              <w:rPr>
                <w:rFonts w:eastAsia="Times New Roman" w:cs="Times New Roman"/>
              </w:rPr>
              <w:t>Studies Included in Analysis or Review</w:t>
            </w:r>
          </w:p>
          <w:p w:rsidR="00F13B54" w:rsidRPr="006C22DB" w:rsidRDefault="00F13B54" w:rsidP="00A26C1C">
            <w:pPr>
              <w:pStyle w:val="TableText"/>
              <w:rPr>
                <w:rFonts w:eastAsia="Times New Roman" w:cs="Times New Roman"/>
                <w:noProof/>
              </w:rPr>
            </w:pPr>
            <w:r w:rsidRPr="006C22DB">
              <w:rPr>
                <w:rFonts w:eastAsia="Times New Roman" w:cs="Times New Roman"/>
                <w:noProof/>
              </w:rPr>
              <w:t>10</w:t>
            </w:r>
            <w:r>
              <w:rPr>
                <w:rFonts w:eastAsia="Times New Roman" w:cs="Times New Roman"/>
                <w:noProof/>
              </w:rPr>
              <w:t xml:space="preserve"> studies</w:t>
            </w:r>
            <w:r w:rsidRPr="006C22DB">
              <w:rPr>
                <w:rFonts w:eastAsia="Times New Roman" w:cs="Times New Roman"/>
                <w:noProof/>
              </w:rPr>
              <w:t>, Maw 1979-86</w:t>
            </w:r>
            <w:r w:rsidRPr="00D70325">
              <w:rPr>
                <w:rFonts w:ascii="Times New Roman" w:hAnsi="Times New Roman" w:cs="Times New Roman"/>
                <w:noProof/>
                <w:vertAlign w:val="superscript"/>
              </w:rPr>
              <w:t>2</w:t>
            </w:r>
            <w:r w:rsidRPr="006C22DB">
              <w:rPr>
                <w:rFonts w:eastAsia="Times New Roman" w:cs="Times New Roman"/>
                <w:noProof/>
              </w:rPr>
              <w:t>, Black, 1990</w:t>
            </w:r>
            <w:r w:rsidRPr="00D70325">
              <w:rPr>
                <w:rFonts w:ascii="Times New Roman" w:hAnsi="Times New Roman" w:cs="Times New Roman"/>
                <w:noProof/>
                <w:vertAlign w:val="superscript"/>
              </w:rPr>
              <w:t>3</w:t>
            </w:r>
            <w:r w:rsidRPr="006C22DB">
              <w:rPr>
                <w:rFonts w:eastAsia="Times New Roman" w:cs="Times New Roman"/>
                <w:noProof/>
              </w:rPr>
              <w:t>, Dempster 1993</w:t>
            </w:r>
            <w:r w:rsidRPr="00D70325">
              <w:rPr>
                <w:rFonts w:ascii="Times New Roman" w:hAnsi="Times New Roman" w:cs="Times New Roman"/>
                <w:noProof/>
                <w:vertAlign w:val="superscript"/>
              </w:rPr>
              <w:t>4</w:t>
            </w:r>
            <w:r>
              <w:t>,</w:t>
            </w:r>
          </w:p>
          <w:p w:rsidR="00F13B54" w:rsidRPr="006C22DB" w:rsidRDefault="00F13B54" w:rsidP="00A26C1C">
            <w:pPr>
              <w:pStyle w:val="TableText"/>
              <w:rPr>
                <w:rFonts w:eastAsia="Times New Roman" w:cs="Times New Roman"/>
              </w:rPr>
            </w:pPr>
            <w:r w:rsidRPr="006C22DB">
              <w:rPr>
                <w:rFonts w:eastAsia="Times New Roman" w:cs="Times New Roman"/>
                <w:noProof/>
              </w:rPr>
              <w:t>Gates 1987</w:t>
            </w:r>
            <w:r w:rsidRPr="00D70325">
              <w:rPr>
                <w:rFonts w:ascii="Times New Roman" w:hAnsi="Times New Roman" w:cs="Times New Roman"/>
                <w:noProof/>
                <w:vertAlign w:val="superscript"/>
              </w:rPr>
              <w:t>5</w:t>
            </w:r>
            <w:r w:rsidRPr="006C22DB">
              <w:rPr>
                <w:rFonts w:eastAsia="Times New Roman" w:cs="Times New Roman"/>
                <w:noProof/>
              </w:rPr>
              <w:t>, Rach 1991</w:t>
            </w:r>
            <w:r w:rsidRPr="00D70325">
              <w:rPr>
                <w:rFonts w:ascii="Times New Roman" w:hAnsi="Times New Roman" w:cs="Times New Roman"/>
                <w:noProof/>
                <w:vertAlign w:val="superscript"/>
              </w:rPr>
              <w:t>6</w:t>
            </w:r>
            <w:r w:rsidRPr="006C22DB">
              <w:rPr>
                <w:rFonts w:eastAsia="Times New Roman" w:cs="Times New Roman"/>
                <w:noProof/>
              </w:rPr>
              <w:t>, Mandel 1992</w:t>
            </w:r>
            <w:r w:rsidRPr="00D70325">
              <w:rPr>
                <w:rFonts w:ascii="Times New Roman" w:hAnsi="Times New Roman" w:cs="Times New Roman"/>
                <w:noProof/>
                <w:vertAlign w:val="superscript"/>
              </w:rPr>
              <w:t>7</w:t>
            </w:r>
            <w:r w:rsidRPr="006C22DB">
              <w:rPr>
                <w:rFonts w:eastAsia="Times New Roman" w:cs="Times New Roman"/>
                <w:noProof/>
              </w:rPr>
              <w:t>, Maw 1999</w:t>
            </w:r>
            <w:r w:rsidRPr="00D70325">
              <w:rPr>
                <w:rFonts w:ascii="Times New Roman" w:hAnsi="Times New Roman" w:cs="Times New Roman"/>
                <w:noProof/>
                <w:vertAlign w:val="superscript"/>
              </w:rPr>
              <w:t>8</w:t>
            </w:r>
            <w:r w:rsidRPr="006C22DB">
              <w:rPr>
                <w:rFonts w:eastAsia="Times New Roman" w:cs="Times New Roman"/>
                <w:noProof/>
              </w:rPr>
              <w:t>, Rovers 2000</w:t>
            </w:r>
            <w:r w:rsidRPr="00D70325">
              <w:rPr>
                <w:rFonts w:ascii="Times New Roman" w:hAnsi="Times New Roman" w:cs="Times New Roman"/>
                <w:noProof/>
                <w:vertAlign w:val="superscript"/>
              </w:rPr>
              <w:t>9</w:t>
            </w:r>
            <w:r w:rsidRPr="006C22DB">
              <w:rPr>
                <w:rFonts w:eastAsia="Times New Roman" w:cs="Times New Roman"/>
                <w:noProof/>
              </w:rPr>
              <w:t>, MRC: TARGET 2001</w:t>
            </w:r>
            <w:r w:rsidRPr="00D70325">
              <w:rPr>
                <w:rFonts w:ascii="Times New Roman" w:hAnsi="Times New Roman" w:cs="Times New Roman"/>
                <w:noProof/>
                <w:vertAlign w:val="superscript"/>
              </w:rPr>
              <w:t>10</w:t>
            </w:r>
            <w:r w:rsidRPr="006C22DB">
              <w:rPr>
                <w:rFonts w:eastAsia="Times New Roman" w:cs="Times New Roman"/>
                <w:noProof/>
              </w:rPr>
              <w:t>, Paradise 2001</w:t>
            </w:r>
            <w:r w:rsidRPr="00D70325">
              <w:rPr>
                <w:rFonts w:ascii="Times New Roman" w:hAnsi="Times New Roman" w:cs="Times New Roman"/>
                <w:noProof/>
                <w:vertAlign w:val="superscript"/>
              </w:rPr>
              <w:t>11</w:t>
            </w:r>
          </w:p>
          <w:p w:rsidR="00F13B54" w:rsidRPr="006C22DB" w:rsidRDefault="00F13B54" w:rsidP="00A26C1C">
            <w:pPr>
              <w:pStyle w:val="TableBoldText"/>
              <w:rPr>
                <w:rFonts w:eastAsia="Times New Roman" w:cs="Times New Roman"/>
              </w:rPr>
            </w:pPr>
            <w:r w:rsidRPr="006C22DB">
              <w:rPr>
                <w:rFonts w:eastAsia="Times New Roman" w:cs="Times New Roman"/>
              </w:rPr>
              <w:t>Characteristics of Included Studies</w:t>
            </w:r>
            <w:r>
              <w:rPr>
                <w:rFonts w:eastAsia="Times New Roman" w:cs="Times New Roman"/>
              </w:rPr>
              <w:t xml:space="preserve"> </w:t>
            </w:r>
          </w:p>
          <w:p w:rsidR="00F13B54" w:rsidRPr="006C22DB" w:rsidRDefault="00F13B54" w:rsidP="00A26C1C">
            <w:pPr>
              <w:pStyle w:val="TableText"/>
              <w:spacing w:after="120"/>
              <w:rPr>
                <w:rFonts w:eastAsia="Times New Roman" w:cs="Times New Roman"/>
                <w:noProof/>
              </w:rPr>
            </w:pPr>
            <w:r w:rsidRPr="006C22DB">
              <w:rPr>
                <w:rFonts w:eastAsia="Times New Roman" w:cs="Times New Roman"/>
                <w:noProof/>
              </w:rPr>
              <w:t>RCTs</w:t>
            </w:r>
          </w:p>
          <w:p w:rsidR="00F13B54" w:rsidRPr="00C24C9E" w:rsidRDefault="00F13B54" w:rsidP="00A26C1C">
            <w:pPr>
              <w:pStyle w:val="TableBulletBlank"/>
            </w:pPr>
            <w:r w:rsidRPr="00C24C9E">
              <w:t>1. Unilateral tubes v</w:t>
            </w:r>
            <w:r>
              <w:t>s</w:t>
            </w:r>
            <w:r w:rsidRPr="00C24C9E">
              <w:t>. no surgery OR myringotomy</w:t>
            </w:r>
            <w:r>
              <w:t xml:space="preserve"> </w:t>
            </w:r>
          </w:p>
          <w:p w:rsidR="00F13B54" w:rsidRDefault="00F13B54" w:rsidP="00A26C1C">
            <w:pPr>
              <w:pStyle w:val="TableBulletBlank"/>
            </w:pPr>
            <w:r>
              <w:t>2. B</w:t>
            </w:r>
            <w:r w:rsidRPr="00C24C9E">
              <w:t>ilaterial tubes v</w:t>
            </w:r>
            <w:r>
              <w:t>s</w:t>
            </w:r>
            <w:r w:rsidRPr="00C24C9E">
              <w:t>. no surgery OR myringotomy</w:t>
            </w:r>
          </w:p>
          <w:p w:rsidR="00F13B54" w:rsidRDefault="00F13B54" w:rsidP="00A26C1C">
            <w:pPr>
              <w:pStyle w:val="TableText"/>
              <w:rPr>
                <w:rFonts w:eastAsia="Times New Roman" w:cs="Times New Roman"/>
                <w:noProof/>
              </w:rPr>
            </w:pPr>
            <w:r>
              <w:rPr>
                <w:rFonts w:eastAsia="Times New Roman" w:cs="Times New Roman"/>
                <w:noProof/>
              </w:rPr>
              <w:t>C</w:t>
            </w:r>
            <w:r w:rsidRPr="006C22DB">
              <w:rPr>
                <w:rFonts w:eastAsia="Times New Roman" w:cs="Times New Roman"/>
                <w:noProof/>
              </w:rPr>
              <w:t>ould have short doses of anagesics or antibiotics for AOM in pre-randomiz</w:t>
            </w:r>
            <w:r>
              <w:rPr>
                <w:rFonts w:eastAsia="Times New Roman" w:cs="Times New Roman"/>
                <w:noProof/>
              </w:rPr>
              <w:t>ation period or decongestants</w:t>
            </w:r>
          </w:p>
          <w:p w:rsidR="00F13B54" w:rsidRDefault="00F13B54" w:rsidP="00A26C1C">
            <w:pPr>
              <w:pStyle w:val="TableBulletBlank"/>
            </w:pPr>
          </w:p>
          <w:p w:rsidR="00F13B54" w:rsidRPr="00A32754" w:rsidRDefault="00F13B54" w:rsidP="00A26C1C">
            <w:pPr>
              <w:pStyle w:val="TableText"/>
              <w:rPr>
                <w:rFonts w:eastAsia="Times New Roman" w:cs="Times New Roman"/>
                <w:b/>
              </w:rPr>
            </w:pPr>
            <w:r w:rsidRPr="00A32754">
              <w:rPr>
                <w:rFonts w:eastAsia="Times New Roman" w:cs="Times New Roman"/>
                <w:b/>
              </w:rPr>
              <w:t>Criteria for diagnosing OME</w:t>
            </w:r>
          </w:p>
          <w:p w:rsidR="00F13B54" w:rsidRDefault="00F13B54" w:rsidP="00A26C1C">
            <w:pPr>
              <w:pStyle w:val="TableBulletBlank"/>
            </w:pPr>
            <w:r w:rsidRPr="006C22DB">
              <w:t xml:space="preserve">OME had to be diagnosed </w:t>
            </w:r>
            <w:r>
              <w:t xml:space="preserve">objectively using </w:t>
            </w:r>
            <w:r w:rsidRPr="006C22DB">
              <w:t>a combination of otoscopy (pneumatic and microsco</w:t>
            </w:r>
            <w:r>
              <w:t>pic), tympanometry and audiomet</w:t>
            </w:r>
            <w:r w:rsidRPr="006C22DB">
              <w:t>ry</w:t>
            </w:r>
            <w:r w:rsidRPr="006C22DB" w:rsidDel="00FD068F">
              <w:t xml:space="preserve"> </w:t>
            </w:r>
          </w:p>
          <w:p w:rsidR="00F13B54" w:rsidRDefault="00F13B54" w:rsidP="00A26C1C">
            <w:pPr>
              <w:pStyle w:val="TableBulletBlank"/>
            </w:pPr>
          </w:p>
          <w:p w:rsidR="00F13B54" w:rsidRPr="00A8501E" w:rsidRDefault="00F13B54" w:rsidP="00A26C1C">
            <w:pPr>
              <w:pStyle w:val="TableBulletBlank"/>
              <w:rPr>
                <w:b/>
                <w:noProof w:val="0"/>
              </w:rPr>
            </w:pPr>
            <w:r w:rsidRPr="00E0447D">
              <w:rPr>
                <w:b/>
                <w:noProof w:val="0"/>
              </w:rPr>
              <w:t>Setting(s):</w:t>
            </w:r>
          </w:p>
          <w:p w:rsidR="00F13B54" w:rsidRPr="000400FA" w:rsidRDefault="00F13B54" w:rsidP="00A26C1C">
            <w:pPr>
              <w:pStyle w:val="TableBulletBlank"/>
            </w:pPr>
            <w:r>
              <w:t>Referral population, largely to otolaryngology clinics in academic medical centers</w:t>
            </w:r>
          </w:p>
          <w:p w:rsidR="00F13B54" w:rsidRPr="006C22DB" w:rsidRDefault="00F13B54" w:rsidP="00A26C1C">
            <w:pPr>
              <w:pStyle w:val="TableBoldText"/>
              <w:rPr>
                <w:rFonts w:eastAsia="Times New Roman" w:cs="Times New Roman"/>
              </w:rPr>
            </w:pPr>
            <w:r w:rsidRPr="006C22DB">
              <w:rPr>
                <w:rFonts w:eastAsia="Times New Roman" w:cs="Times New Roman"/>
              </w:rPr>
              <w:t>Characteristics of Included Populations</w:t>
            </w:r>
            <w:r>
              <w:rPr>
                <w:rFonts w:eastAsia="Times New Roman" w:cs="Times New Roman"/>
              </w:rPr>
              <w:t xml:space="preserve"> </w:t>
            </w:r>
          </w:p>
          <w:p w:rsidR="00F13B54" w:rsidRDefault="00F13B54" w:rsidP="00A26C1C">
            <w:pPr>
              <w:pStyle w:val="TableText"/>
              <w:rPr>
                <w:rFonts w:eastAsia="Times New Roman" w:cs="Times New Roman"/>
                <w:noProof/>
              </w:rPr>
            </w:pPr>
            <w:r>
              <w:rPr>
                <w:rFonts w:eastAsia="Times New Roman" w:cs="Times New Roman"/>
                <w:noProof/>
              </w:rPr>
              <w:t>C</w:t>
            </w:r>
            <w:r w:rsidRPr="006C22DB">
              <w:rPr>
                <w:rFonts w:eastAsia="Times New Roman" w:cs="Times New Roman"/>
                <w:noProof/>
              </w:rPr>
              <w:t xml:space="preserve">hildren 1-12 years with bilateral OME </w:t>
            </w:r>
          </w:p>
          <w:p w:rsidR="00F13B54" w:rsidRPr="006C22DB" w:rsidRDefault="00F13B54" w:rsidP="00A26C1C">
            <w:pPr>
              <w:pStyle w:val="TableBoldText"/>
              <w:rPr>
                <w:rFonts w:eastAsia="Times New Roman" w:cs="Times New Roman"/>
              </w:rPr>
            </w:pPr>
            <w:r w:rsidRPr="006C22DB">
              <w:rPr>
                <w:rFonts w:eastAsia="Times New Roman" w:cs="Times New Roman"/>
              </w:rPr>
              <w:t>Characteristics of Interventions</w:t>
            </w:r>
          </w:p>
          <w:p w:rsidR="00F13B54" w:rsidRPr="00C24C9E" w:rsidRDefault="00F13B54" w:rsidP="00A26C1C">
            <w:pPr>
              <w:pStyle w:val="TableBullet"/>
              <w:ind w:left="255" w:hanging="255"/>
            </w:pPr>
            <w:r w:rsidRPr="00C24C9E">
              <w:t xml:space="preserve">Black 1990: </w:t>
            </w:r>
            <w:r>
              <w:t>TT vs. myringotomy (adenoidectomy group not included in this review)</w:t>
            </w:r>
          </w:p>
          <w:p w:rsidR="00F13B54" w:rsidRPr="00C24C9E" w:rsidRDefault="00F13B54" w:rsidP="00A26C1C">
            <w:pPr>
              <w:pStyle w:val="TableBullet"/>
              <w:ind w:left="255" w:hanging="255"/>
            </w:pPr>
            <w:r w:rsidRPr="00C24C9E">
              <w:t xml:space="preserve">Dempster 1993: unilateral TT vs. </w:t>
            </w:r>
            <w:r>
              <w:t>WW (adenoidectomy not included)</w:t>
            </w:r>
          </w:p>
          <w:p w:rsidR="00F13B54" w:rsidRDefault="00F13B54" w:rsidP="00A26C1C">
            <w:pPr>
              <w:pStyle w:val="TableBullet"/>
              <w:ind w:left="255" w:hanging="255"/>
            </w:pPr>
            <w:r w:rsidRPr="00C24C9E">
              <w:t>Gates 1987: bilateral myringotomy</w:t>
            </w:r>
            <w:r>
              <w:t xml:space="preserve"> vs. bilateral</w:t>
            </w:r>
            <w:r w:rsidRPr="00C24C9E">
              <w:t xml:space="preserve"> TT vs. bilateral myringotomy and adenoidectomy vs. </w:t>
            </w:r>
            <w:r>
              <w:t xml:space="preserve">bilateral </w:t>
            </w:r>
            <w:r w:rsidRPr="00C24C9E">
              <w:t>TT and adenoidectomy</w:t>
            </w:r>
          </w:p>
          <w:p w:rsidR="00F13B54" w:rsidRPr="00C24C9E" w:rsidRDefault="00F13B54" w:rsidP="00A26C1C">
            <w:pPr>
              <w:pStyle w:val="TableBullet"/>
              <w:ind w:left="255" w:hanging="255"/>
            </w:pPr>
            <w:r>
              <w:t>Mandel 1992: bilateral TT vs. bilateral myringotomy vs. no surgery</w:t>
            </w:r>
          </w:p>
          <w:p w:rsidR="00F13B54" w:rsidRDefault="00F13B54" w:rsidP="00A26C1C">
            <w:pPr>
              <w:pStyle w:val="TableBullet"/>
              <w:ind w:left="255" w:hanging="255"/>
            </w:pPr>
            <w:r w:rsidRPr="00C24C9E">
              <w:t>Maw 1986</w:t>
            </w:r>
            <w:r>
              <w:t>:</w:t>
            </w:r>
            <w:r w:rsidRPr="00C24C9E">
              <w:t>Adenoton</w:t>
            </w:r>
            <w:r>
              <w:t xml:space="preserve">sillectomy and unliteral TT vs. </w:t>
            </w:r>
            <w:r w:rsidRPr="00C24C9E">
              <w:t>adenoidectomy and unilateral TT</w:t>
            </w:r>
            <w:r>
              <w:t xml:space="preserve"> vs. </w:t>
            </w:r>
            <w:r w:rsidRPr="00C24C9E">
              <w:t>unilateral TT</w:t>
            </w:r>
            <w:r>
              <w:t xml:space="preserve"> vs. WW</w:t>
            </w:r>
          </w:p>
          <w:p w:rsidR="00F13B54" w:rsidRDefault="00F13B54" w:rsidP="00A26C1C">
            <w:pPr>
              <w:pStyle w:val="TableBullet"/>
              <w:ind w:left="255" w:hanging="255"/>
            </w:pPr>
            <w:r>
              <w:t>Maw 1999: bilateral TT vs. WW</w:t>
            </w:r>
          </w:p>
          <w:p w:rsidR="00F13B54" w:rsidRDefault="00F13B54" w:rsidP="00A26C1C">
            <w:pPr>
              <w:pStyle w:val="TableBullet"/>
              <w:ind w:left="255" w:hanging="255"/>
            </w:pPr>
            <w:r>
              <w:t>MRC: TARGET 2001: WW vs. bilateral TT vs. bilateral TT plus adenoidectomy</w:t>
            </w:r>
          </w:p>
          <w:p w:rsidR="00F13B54" w:rsidRDefault="00F13B54" w:rsidP="00A26C1C">
            <w:pPr>
              <w:pStyle w:val="TableBullet"/>
              <w:ind w:left="255" w:hanging="255"/>
            </w:pPr>
            <w:r>
              <w:t>Paradise 2001: bilateral TT early vs. WW and bilateral TT delayed</w:t>
            </w:r>
          </w:p>
          <w:p w:rsidR="00F13B54" w:rsidRDefault="00F13B54" w:rsidP="00A26C1C">
            <w:pPr>
              <w:pStyle w:val="TableBullet"/>
              <w:ind w:left="255" w:hanging="255"/>
            </w:pPr>
            <w:r>
              <w:t>Rach 1991: bilateral TT vs. WW</w:t>
            </w:r>
          </w:p>
          <w:p w:rsidR="00F13B54" w:rsidRPr="00D70325" w:rsidRDefault="00F13B54" w:rsidP="00A26C1C">
            <w:pPr>
              <w:pStyle w:val="TableBullet"/>
              <w:ind w:left="255" w:hanging="255"/>
            </w:pPr>
            <w:r>
              <w:t>Rovers 2000: bilateral TT vs. WW</w:t>
            </w:r>
          </w:p>
        </w:tc>
      </w:tr>
    </w:tbl>
    <w:p w:rsidR="00F13B54" w:rsidRDefault="00F13B54" w:rsidP="00F13B54">
      <w:pPr>
        <w:pStyle w:val="TableTitle"/>
      </w:pPr>
    </w:p>
    <w:p w:rsidR="00F13B54" w:rsidRDefault="00F13B54" w:rsidP="00F13B54">
      <w:pPr>
        <w:pStyle w:val="TableTitle"/>
      </w:pPr>
      <w:r>
        <w:br w:type="page"/>
      </w:r>
      <w:r>
        <w:lastRenderedPageBreak/>
        <w:t>Evidence Table 11. Systematic reviews (continued)</w:t>
      </w:r>
    </w:p>
    <w:tbl>
      <w:tblPr>
        <w:tblW w:w="13083" w:type="dxa"/>
        <w:tblBorders>
          <w:top w:val="single" w:sz="12" w:space="0" w:color="auto"/>
          <w:bottom w:val="single" w:sz="12" w:space="0" w:color="auto"/>
          <w:insideH w:val="single" w:sz="8" w:space="0" w:color="auto"/>
        </w:tblBorders>
        <w:tblLayout w:type="fixed"/>
        <w:tblLook w:val="04A0"/>
      </w:tblPr>
      <w:tblGrid>
        <w:gridCol w:w="1545"/>
        <w:gridCol w:w="11538"/>
      </w:tblGrid>
      <w:tr w:rsidR="00F13B54" w:rsidRPr="006C22DB" w:rsidTr="00A26C1C">
        <w:tc>
          <w:tcPr>
            <w:tcW w:w="1545"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Author, Year </w:t>
            </w:r>
          </w:p>
          <w:p w:rsidR="00F13B54" w:rsidRPr="006C22DB" w:rsidRDefault="00F13B54" w:rsidP="00A26C1C">
            <w:pPr>
              <w:pStyle w:val="TableLeftText"/>
              <w:rPr>
                <w:rFonts w:eastAsia="Times New Roman" w:cs="Times New Roman"/>
                <w:b/>
                <w:bCs/>
              </w:rPr>
            </w:pPr>
            <w:r w:rsidRPr="006C22DB">
              <w:rPr>
                <w:rFonts w:eastAsia="Times New Roman" w:cs="Times New Roman"/>
                <w:b/>
                <w:bCs/>
              </w:rPr>
              <w:t>Country</w:t>
            </w:r>
          </w:p>
          <w:p w:rsidR="00F13B54" w:rsidRPr="006C22DB" w:rsidRDefault="00F13B54" w:rsidP="00A26C1C">
            <w:pPr>
              <w:pStyle w:val="TableLeftText"/>
              <w:rPr>
                <w:rFonts w:eastAsia="Times New Roman" w:cs="Times New Roman"/>
                <w:b/>
                <w:bCs/>
              </w:rPr>
            </w:pPr>
            <w:r w:rsidRPr="006C22DB">
              <w:rPr>
                <w:rFonts w:eastAsia="Times New Roman" w:cs="Times New Roman"/>
                <w:b/>
                <w:bCs/>
              </w:rPr>
              <w:t>Funding</w:t>
            </w:r>
          </w:p>
          <w:p w:rsidR="00F13B54" w:rsidRPr="006C22DB" w:rsidRDefault="00F13B54" w:rsidP="00A26C1C">
            <w:pPr>
              <w:pStyle w:val="TableLeftText"/>
              <w:rPr>
                <w:rFonts w:eastAsia="Times New Roman" w:cs="Times New Roman"/>
                <w:b/>
                <w:bCs/>
              </w:rPr>
            </w:pPr>
            <w:r w:rsidRPr="006C22DB">
              <w:rPr>
                <w:rFonts w:eastAsia="Times New Roman" w:cs="Times New Roman"/>
                <w:b/>
                <w:bCs/>
              </w:rPr>
              <w:t>Study Design</w:t>
            </w:r>
          </w:p>
        </w:tc>
        <w:tc>
          <w:tcPr>
            <w:tcW w:w="11538"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Abstraction Form </w:t>
            </w:r>
          </w:p>
        </w:tc>
      </w:tr>
      <w:tr w:rsidR="00F13B54" w:rsidRPr="006C22DB" w:rsidTr="00A26C1C">
        <w:tc>
          <w:tcPr>
            <w:tcW w:w="1545" w:type="dxa"/>
            <w:shd w:val="clear" w:color="auto" w:fill="auto"/>
          </w:tcPr>
          <w:p w:rsidR="00F13B54" w:rsidRPr="006C22DB" w:rsidRDefault="00F13B54" w:rsidP="00A26C1C">
            <w:pPr>
              <w:pStyle w:val="TableText"/>
              <w:rPr>
                <w:rFonts w:eastAsia="Times New Roman" w:cs="Times New Roman"/>
              </w:rPr>
            </w:pPr>
            <w:r w:rsidRPr="006C22DB">
              <w:rPr>
                <w:rFonts w:eastAsia="Times New Roman" w:cs="Times New Roman"/>
                <w:noProof/>
              </w:rPr>
              <w:t>Browning</w:t>
            </w:r>
            <w:r>
              <w:rPr>
                <w:rFonts w:eastAsia="Times New Roman" w:cs="Times New Roman"/>
                <w:noProof/>
              </w:rPr>
              <w:t xml:space="preserve"> et al.</w:t>
            </w:r>
            <w:r w:rsidRPr="006C22DB">
              <w:rPr>
                <w:rFonts w:eastAsia="Times New Roman" w:cs="Times New Roman"/>
              </w:rPr>
              <w:t xml:space="preserve">, </w:t>
            </w:r>
            <w:r w:rsidRPr="006C22DB">
              <w:rPr>
                <w:rFonts w:eastAsia="Times New Roman" w:cs="Times New Roman"/>
                <w:noProof/>
              </w:rPr>
              <w:t>2010</w:t>
            </w:r>
            <w:r w:rsidRPr="00D70325">
              <w:rPr>
                <w:rFonts w:ascii="Times New Roman" w:eastAsia="Times New Roman" w:hAnsi="Times New Roman" w:cs="Times New Roman"/>
                <w:noProof/>
                <w:vertAlign w:val="superscript"/>
              </w:rPr>
              <w:t>1</w:t>
            </w:r>
          </w:p>
          <w:p w:rsidR="00F13B54" w:rsidRPr="006C22DB" w:rsidRDefault="00F13B54" w:rsidP="00A26C1C">
            <w:pPr>
              <w:pStyle w:val="TableText"/>
              <w:rPr>
                <w:rFonts w:eastAsia="Times New Roman" w:cs="Times New Roman"/>
                <w:noProof/>
              </w:rPr>
            </w:pPr>
            <w:r>
              <w:rPr>
                <w:rFonts w:eastAsia="Times New Roman" w:cs="Times New Roman"/>
                <w:noProof/>
              </w:rPr>
              <w:t>(continued)</w:t>
            </w:r>
          </w:p>
        </w:tc>
        <w:tc>
          <w:tcPr>
            <w:tcW w:w="11538" w:type="dxa"/>
            <w:shd w:val="clear" w:color="auto" w:fill="auto"/>
          </w:tcPr>
          <w:p w:rsidR="00F13B54" w:rsidRPr="006C22DB" w:rsidRDefault="00F13B54" w:rsidP="00A26C1C">
            <w:pPr>
              <w:pStyle w:val="TableBoldText"/>
              <w:rPr>
                <w:rFonts w:eastAsia="Times New Roman" w:cs="Times New Roman"/>
              </w:rPr>
            </w:pPr>
            <w:r w:rsidRPr="006C22DB">
              <w:rPr>
                <w:rFonts w:eastAsia="Times New Roman" w:cs="Times New Roman"/>
              </w:rPr>
              <w:t>Main Results</w:t>
            </w:r>
          </w:p>
          <w:p w:rsidR="00F13B54" w:rsidRDefault="00F13B54" w:rsidP="00A26C1C">
            <w:pPr>
              <w:pStyle w:val="TableText"/>
              <w:rPr>
                <w:rFonts w:eastAsia="Times New Roman" w:cs="Times New Roman"/>
                <w:noProof/>
              </w:rPr>
            </w:pPr>
            <w:r w:rsidRPr="00244288">
              <w:rPr>
                <w:rFonts w:eastAsia="Times New Roman" w:cs="Times New Roman"/>
                <w:noProof/>
                <w:u w:val="single"/>
              </w:rPr>
              <w:t>Hearing in dB:</w:t>
            </w:r>
            <w:r w:rsidRPr="006C22DB">
              <w:rPr>
                <w:rFonts w:eastAsia="Times New Roman" w:cs="Times New Roman"/>
                <w:noProof/>
              </w:rPr>
              <w:t xml:space="preserve"> </w:t>
            </w:r>
          </w:p>
          <w:p w:rsidR="00F13B54" w:rsidRPr="006C22DB" w:rsidRDefault="00F13B54" w:rsidP="00A26C1C">
            <w:pPr>
              <w:pStyle w:val="TableText"/>
              <w:rPr>
                <w:rFonts w:eastAsia="Times New Roman" w:cs="Times New Roman"/>
              </w:rPr>
            </w:pPr>
            <w:r w:rsidRPr="006C22DB">
              <w:rPr>
                <w:rFonts w:eastAsia="Times New Roman" w:cs="Times New Roman"/>
              </w:rPr>
              <w:t xml:space="preserve">Negative result: better in tube group </w:t>
            </w:r>
          </w:p>
          <w:p w:rsidR="00F13B54" w:rsidRPr="00510D9B" w:rsidRDefault="00F13B54" w:rsidP="00A26C1C">
            <w:pPr>
              <w:pStyle w:val="TableBullet"/>
              <w:ind w:left="255" w:hanging="255"/>
            </w:pPr>
            <w:r w:rsidRPr="00510D9B">
              <w:t>By child, 3 months (1 study) (N=215)</w:t>
            </w:r>
          </w:p>
          <w:p w:rsidR="00F13B54" w:rsidRPr="006C22DB" w:rsidRDefault="00F13B54" w:rsidP="00A26C1C">
            <w:pPr>
              <w:pStyle w:val="TableText"/>
              <w:rPr>
                <w:rFonts w:eastAsia="Times New Roman" w:cs="Times New Roman"/>
              </w:rPr>
            </w:pPr>
            <w:r w:rsidRPr="006C22DB">
              <w:rPr>
                <w:rFonts w:eastAsia="Times New Roman" w:cs="Times New Roman"/>
              </w:rPr>
              <w:t>Bilateral tubes</w:t>
            </w:r>
            <w:r>
              <w:rPr>
                <w:rFonts w:eastAsia="Times New Roman" w:cs="Times New Roman"/>
              </w:rPr>
              <w:t xml:space="preserve"> vs. </w:t>
            </w:r>
            <w:r w:rsidRPr="006C22DB">
              <w:rPr>
                <w:rFonts w:eastAsia="Times New Roman" w:cs="Times New Roman"/>
              </w:rPr>
              <w:t xml:space="preserve">watchful waiting: Mean Difference -11.9 (95% CI, -9.6 to -14.2) </w:t>
            </w:r>
          </w:p>
          <w:p w:rsidR="00F13B54" w:rsidRPr="00510D9B" w:rsidRDefault="00F13B54" w:rsidP="00A26C1C">
            <w:pPr>
              <w:pStyle w:val="TableBullet"/>
              <w:ind w:left="255" w:hanging="255"/>
            </w:pPr>
            <w:r w:rsidRPr="00510D9B">
              <w:t xml:space="preserve">By child, 6 to 9 months (MA:3 studies) (N=523) </w:t>
            </w:r>
          </w:p>
          <w:p w:rsidR="00F13B54" w:rsidRPr="006C22DB" w:rsidRDefault="00F13B54" w:rsidP="00A26C1C">
            <w:pPr>
              <w:pStyle w:val="TableText"/>
              <w:rPr>
                <w:rFonts w:eastAsia="Times New Roman" w:cs="Times New Roman"/>
              </w:rPr>
            </w:pPr>
            <w:r w:rsidRPr="006C22DB">
              <w:rPr>
                <w:rFonts w:eastAsia="Times New Roman" w:cs="Times New Roman"/>
              </w:rPr>
              <w:t>Bilateral tubes</w:t>
            </w:r>
            <w:r>
              <w:rPr>
                <w:rFonts w:eastAsia="Times New Roman" w:cs="Times New Roman"/>
              </w:rPr>
              <w:t xml:space="preserve"> vs. </w:t>
            </w:r>
            <w:r w:rsidRPr="006C22DB">
              <w:rPr>
                <w:rFonts w:eastAsia="Times New Roman" w:cs="Times New Roman"/>
              </w:rPr>
              <w:t xml:space="preserve">watchful waiting: Mean Difference - 4.20 (95% CI, -6.00 to -2.39) </w:t>
            </w:r>
          </w:p>
          <w:p w:rsidR="00F13B54" w:rsidRPr="00510D9B" w:rsidRDefault="00F13B54" w:rsidP="00A26C1C">
            <w:pPr>
              <w:pStyle w:val="TableBullet"/>
              <w:ind w:left="255" w:hanging="255"/>
            </w:pPr>
            <w:r w:rsidRPr="00510D9B">
              <w:t>By child 12 months (MA: 2 studies) (N=328)</w:t>
            </w:r>
          </w:p>
          <w:p w:rsidR="00F13B54" w:rsidRPr="006C22DB" w:rsidRDefault="00F13B54" w:rsidP="00A26C1C">
            <w:pPr>
              <w:pStyle w:val="TableText"/>
              <w:rPr>
                <w:rFonts w:eastAsia="Times New Roman" w:cs="Times New Roman"/>
              </w:rPr>
            </w:pPr>
            <w:r w:rsidRPr="006C22DB">
              <w:rPr>
                <w:rFonts w:eastAsia="Times New Roman" w:cs="Times New Roman"/>
              </w:rPr>
              <w:t>Bilateral tubes</w:t>
            </w:r>
            <w:r>
              <w:rPr>
                <w:rFonts w:eastAsia="Times New Roman" w:cs="Times New Roman"/>
              </w:rPr>
              <w:t xml:space="preserve"> vs. </w:t>
            </w:r>
            <w:r w:rsidRPr="006C22DB">
              <w:rPr>
                <w:rFonts w:eastAsia="Times New Roman" w:cs="Times New Roman"/>
              </w:rPr>
              <w:t>watchful waiting: Mean Difference - 0.41 (95% CI, -2.37 to 1.54)</w:t>
            </w:r>
          </w:p>
          <w:p w:rsidR="00F13B54" w:rsidRPr="00510D9B" w:rsidRDefault="00F13B54" w:rsidP="00A26C1C">
            <w:pPr>
              <w:pStyle w:val="TableBullet"/>
              <w:ind w:left="255" w:hanging="255"/>
            </w:pPr>
            <w:r w:rsidRPr="00510D9B">
              <w:t>By child 18 mos (MA: 2 studies) N=283</w:t>
            </w:r>
          </w:p>
          <w:p w:rsidR="00F13B54" w:rsidRPr="006C22DB" w:rsidRDefault="00F13B54" w:rsidP="00A26C1C">
            <w:pPr>
              <w:pStyle w:val="TableText"/>
              <w:rPr>
                <w:rFonts w:eastAsia="Times New Roman" w:cs="Times New Roman"/>
              </w:rPr>
            </w:pPr>
            <w:r w:rsidRPr="006C22DB">
              <w:rPr>
                <w:rFonts w:eastAsia="Times New Roman" w:cs="Times New Roman"/>
              </w:rPr>
              <w:t xml:space="preserve">Bilateral tubes vs. watchful waiting: Mean Difference -0.02 [ -3.22 to 3.18 ] </w:t>
            </w:r>
          </w:p>
          <w:p w:rsidR="00F13B54" w:rsidRPr="00510D9B" w:rsidRDefault="00F13B54" w:rsidP="00A26C1C">
            <w:pPr>
              <w:pStyle w:val="TableBullet"/>
              <w:ind w:left="255" w:hanging="255"/>
            </w:pPr>
            <w:r w:rsidRPr="00510D9B">
              <w:t>By ear, 4 to 6 months (MA: 3 studies) (N=230 ears)</w:t>
            </w:r>
          </w:p>
          <w:p w:rsidR="00F13B54" w:rsidRPr="006C22DB" w:rsidRDefault="00F13B54" w:rsidP="00A26C1C">
            <w:pPr>
              <w:pStyle w:val="TableText"/>
              <w:rPr>
                <w:rFonts w:eastAsia="Times New Roman" w:cs="Times New Roman"/>
              </w:rPr>
            </w:pPr>
            <w:r w:rsidRPr="006C22DB">
              <w:rPr>
                <w:rFonts w:eastAsia="Times New Roman" w:cs="Times New Roman"/>
              </w:rPr>
              <w:t>Unilateral tubes</w:t>
            </w:r>
            <w:r>
              <w:rPr>
                <w:rFonts w:eastAsia="Times New Roman" w:cs="Times New Roman"/>
              </w:rPr>
              <w:t xml:space="preserve"> vs. </w:t>
            </w:r>
            <w:r w:rsidRPr="006C22DB">
              <w:rPr>
                <w:rFonts w:eastAsia="Times New Roman" w:cs="Times New Roman"/>
              </w:rPr>
              <w:t>watchful waiting (2 studies) or myringotomy (1 study): Mean Difference -10.08 (95% CI, -19.12 to -1.05)</w:t>
            </w:r>
          </w:p>
          <w:p w:rsidR="00F13B54" w:rsidRPr="00510D9B" w:rsidRDefault="00F13B54" w:rsidP="00A26C1C">
            <w:pPr>
              <w:pStyle w:val="TableBullet"/>
              <w:ind w:left="255" w:hanging="255"/>
            </w:pPr>
            <w:r w:rsidRPr="00510D9B">
              <w:t>By ear, 7 to 12 months (MA: 3 studies) (N=234 ears)</w:t>
            </w:r>
          </w:p>
          <w:p w:rsidR="00F13B54" w:rsidRPr="006C22DB" w:rsidRDefault="00F13B54" w:rsidP="00A26C1C">
            <w:pPr>
              <w:pStyle w:val="TableText"/>
              <w:rPr>
                <w:rFonts w:eastAsia="Times New Roman" w:cs="Times New Roman"/>
              </w:rPr>
            </w:pPr>
            <w:r w:rsidRPr="006C22DB">
              <w:rPr>
                <w:rFonts w:eastAsia="Times New Roman" w:cs="Times New Roman"/>
              </w:rPr>
              <w:t>Unilateral tubes</w:t>
            </w:r>
            <w:r>
              <w:rPr>
                <w:rFonts w:eastAsia="Times New Roman" w:cs="Times New Roman"/>
              </w:rPr>
              <w:t xml:space="preserve"> vs. </w:t>
            </w:r>
            <w:r w:rsidRPr="006C22DB">
              <w:rPr>
                <w:rFonts w:eastAsia="Times New Roman" w:cs="Times New Roman"/>
              </w:rPr>
              <w:t xml:space="preserve">watchful waiting (2 studies) or myringotomy (1 study): Mean Difference -5.18 (95% CI, -10.43 to 0.07) </w:t>
            </w:r>
          </w:p>
          <w:p w:rsidR="00F13B54" w:rsidRPr="00510D9B" w:rsidRDefault="00F13B54" w:rsidP="00A26C1C">
            <w:pPr>
              <w:pStyle w:val="TableBullet"/>
              <w:ind w:left="255" w:hanging="255"/>
            </w:pPr>
            <w:r w:rsidRPr="00510D9B">
              <w:t>By ear, 24 months (1 study) (N=72 ears)</w:t>
            </w:r>
          </w:p>
          <w:p w:rsidR="00F13B54" w:rsidRDefault="00F13B54" w:rsidP="00A26C1C">
            <w:pPr>
              <w:pStyle w:val="TableText"/>
              <w:rPr>
                <w:rFonts w:eastAsia="Times New Roman" w:cs="Times New Roman"/>
              </w:rPr>
            </w:pPr>
            <w:r w:rsidRPr="006C22DB">
              <w:rPr>
                <w:rFonts w:eastAsia="Times New Roman" w:cs="Times New Roman"/>
              </w:rPr>
              <w:t>Unilateral tubes</w:t>
            </w:r>
            <w:r>
              <w:rPr>
                <w:rFonts w:eastAsia="Times New Roman" w:cs="Times New Roman"/>
              </w:rPr>
              <w:t xml:space="preserve"> vs. </w:t>
            </w:r>
            <w:r w:rsidRPr="006C22DB">
              <w:rPr>
                <w:rFonts w:eastAsia="Times New Roman" w:cs="Times New Roman"/>
              </w:rPr>
              <w:t xml:space="preserve">myringotomy: Mean Difference -2.1 (95% CI, 2.6 to -6.8) </w:t>
            </w:r>
          </w:p>
          <w:p w:rsidR="00F13B54" w:rsidRDefault="00F13B54" w:rsidP="00A26C1C">
            <w:pPr>
              <w:pStyle w:val="TableText"/>
              <w:rPr>
                <w:u w:val="single"/>
              </w:rPr>
            </w:pPr>
          </w:p>
          <w:p w:rsidR="00F13B54" w:rsidRDefault="00F13B54" w:rsidP="00A26C1C">
            <w:pPr>
              <w:pStyle w:val="TableText"/>
            </w:pPr>
            <w:r w:rsidRPr="00244288">
              <w:rPr>
                <w:u w:val="single"/>
              </w:rPr>
              <w:t>Time (proportion) with effusion</w:t>
            </w:r>
            <w:r w:rsidRPr="00510D9B">
              <w:t xml:space="preserve">: </w:t>
            </w:r>
          </w:p>
          <w:p w:rsidR="00F13B54" w:rsidRPr="00244288" w:rsidRDefault="00F13B54" w:rsidP="00A26C1C">
            <w:pPr>
              <w:pStyle w:val="TableText"/>
              <w:rPr>
                <w:rFonts w:eastAsia="Times New Roman" w:cs="Times New Roman"/>
              </w:rPr>
            </w:pPr>
            <w:r w:rsidRPr="00510D9B">
              <w:t>Negative result better in tube group</w:t>
            </w:r>
          </w:p>
          <w:p w:rsidR="00F13B54" w:rsidRPr="00510D9B" w:rsidRDefault="00F13B54" w:rsidP="00A26C1C">
            <w:pPr>
              <w:pStyle w:val="TableBullet"/>
              <w:ind w:left="255" w:hanging="255"/>
            </w:pPr>
            <w:r w:rsidRPr="00510D9B">
              <w:t>First year (MA: 3 studies) (N=574)</w:t>
            </w:r>
          </w:p>
          <w:p w:rsidR="00F13B54" w:rsidRPr="006C22DB" w:rsidRDefault="00F13B54" w:rsidP="00A26C1C">
            <w:pPr>
              <w:pStyle w:val="TableText"/>
              <w:rPr>
                <w:rFonts w:eastAsia="Times New Roman" w:cs="Times New Roman"/>
              </w:rPr>
            </w:pPr>
            <w:r w:rsidRPr="006C22DB">
              <w:rPr>
                <w:rFonts w:eastAsia="Times New Roman" w:cs="Times New Roman"/>
              </w:rPr>
              <w:t>Bilateral TT</w:t>
            </w:r>
            <w:r>
              <w:rPr>
                <w:rFonts w:eastAsia="Times New Roman" w:cs="Times New Roman"/>
              </w:rPr>
              <w:t xml:space="preserve"> vs. </w:t>
            </w:r>
            <w:r w:rsidRPr="006C22DB">
              <w:rPr>
                <w:rFonts w:eastAsia="Times New Roman" w:cs="Times New Roman"/>
              </w:rPr>
              <w:t>myringotomy, delayed treatment or watchful waiting: Mean difference -0.32 (95% CI, -0.48 to -0.17)</w:t>
            </w:r>
          </w:p>
          <w:p w:rsidR="00F13B54" w:rsidRPr="00510D9B" w:rsidRDefault="00F13B54" w:rsidP="00A26C1C">
            <w:pPr>
              <w:pStyle w:val="TableBullet"/>
              <w:ind w:left="255" w:hanging="255"/>
            </w:pPr>
            <w:r w:rsidRPr="00510D9B">
              <w:t>First two years (MA: 3 studies) (N=426)</w:t>
            </w:r>
          </w:p>
          <w:p w:rsidR="00F13B54" w:rsidRPr="006C22DB" w:rsidRDefault="00F13B54" w:rsidP="00A26C1C">
            <w:pPr>
              <w:pStyle w:val="TableText"/>
              <w:rPr>
                <w:rFonts w:eastAsia="Times New Roman" w:cs="Times New Roman"/>
              </w:rPr>
            </w:pPr>
            <w:r w:rsidRPr="006C22DB">
              <w:rPr>
                <w:rFonts w:eastAsia="Times New Roman" w:cs="Times New Roman"/>
              </w:rPr>
              <w:t>Bilateral TT</w:t>
            </w:r>
            <w:r>
              <w:rPr>
                <w:rFonts w:eastAsia="Times New Roman" w:cs="Times New Roman"/>
              </w:rPr>
              <w:t xml:space="preserve"> vs. </w:t>
            </w:r>
            <w:r w:rsidRPr="006C22DB">
              <w:rPr>
                <w:rFonts w:eastAsia="Times New Roman" w:cs="Times New Roman"/>
              </w:rPr>
              <w:t xml:space="preserve">delayed treatment or watchful waiting: Mean difference -0.13 (95% CI, -0.17 to -0.08) </w:t>
            </w:r>
          </w:p>
          <w:p w:rsidR="00F13B54" w:rsidRPr="00510D9B" w:rsidRDefault="00F13B54" w:rsidP="00A26C1C">
            <w:pPr>
              <w:pStyle w:val="TableBullet"/>
              <w:ind w:left="255" w:hanging="255"/>
            </w:pPr>
            <w:r w:rsidRPr="00510D9B">
              <w:t>1 study 3 mos (N=215)</w:t>
            </w:r>
            <w:r>
              <w:t xml:space="preserve"> </w:t>
            </w:r>
            <w:r w:rsidRPr="00510D9B">
              <w:t>Bilateral TT</w:t>
            </w:r>
            <w:r>
              <w:t xml:space="preserve"> vs. </w:t>
            </w:r>
            <w:r w:rsidRPr="00510D9B">
              <w:t>WW: Mean Diff: -11.9 (</w:t>
            </w:r>
            <w:r>
              <w:t xml:space="preserve">95% CI, </w:t>
            </w:r>
            <w:r w:rsidRPr="00510D9B">
              <w:t>-9.6</w:t>
            </w:r>
            <w:r>
              <w:t xml:space="preserve"> to</w:t>
            </w:r>
            <w:r w:rsidRPr="00510D9B">
              <w:t xml:space="preserve"> -14.2) (favors TT)</w:t>
            </w:r>
            <w:r>
              <w:t xml:space="preserve"> </w:t>
            </w:r>
          </w:p>
          <w:p w:rsidR="00F13B54" w:rsidRPr="00510D9B" w:rsidRDefault="00F13B54" w:rsidP="00A26C1C">
            <w:pPr>
              <w:pStyle w:val="TableBullet"/>
              <w:ind w:left="255" w:hanging="255"/>
            </w:pPr>
            <w:r w:rsidRPr="00510D9B">
              <w:t>1 study 24 mos</w:t>
            </w:r>
            <w:r>
              <w:t xml:space="preserve"> </w:t>
            </w:r>
            <w:r w:rsidRPr="00510D9B">
              <w:t>(N= 72 ears) Unilateral TT</w:t>
            </w:r>
            <w:r>
              <w:t xml:space="preserve"> vs. </w:t>
            </w:r>
            <w:r w:rsidRPr="00510D9B">
              <w:t>myringotomy: Mean Diff: -2.1 (</w:t>
            </w:r>
            <w:r>
              <w:t xml:space="preserve">95% CI, </w:t>
            </w:r>
            <w:r w:rsidRPr="00510D9B">
              <w:t>2.6</w:t>
            </w:r>
            <w:r>
              <w:t xml:space="preserve"> to</w:t>
            </w:r>
            <w:r w:rsidRPr="00510D9B">
              <w:t xml:space="preserve"> -6.8) (favors TT)</w:t>
            </w:r>
            <w:r>
              <w:t xml:space="preserve"> </w:t>
            </w:r>
          </w:p>
          <w:p w:rsidR="00F13B54" w:rsidRDefault="00F13B54" w:rsidP="00A26C1C">
            <w:pPr>
              <w:pStyle w:val="TableText"/>
              <w:rPr>
                <w:rFonts w:eastAsia="Times New Roman" w:cs="Times New Roman"/>
                <w:u w:val="single"/>
              </w:rPr>
            </w:pPr>
          </w:p>
          <w:p w:rsidR="00F13B54" w:rsidRPr="006C22DB" w:rsidRDefault="00F13B54" w:rsidP="00A26C1C">
            <w:pPr>
              <w:pStyle w:val="TableText"/>
              <w:rPr>
                <w:rFonts w:eastAsia="Times New Roman" w:cs="Times New Roman"/>
              </w:rPr>
            </w:pPr>
            <w:r w:rsidRPr="008E179C">
              <w:rPr>
                <w:rFonts w:eastAsia="Times New Roman" w:cs="Times New Roman"/>
                <w:u w:val="single"/>
              </w:rPr>
              <w:t>Language:</w:t>
            </w:r>
            <w:r w:rsidRPr="006C22DB">
              <w:rPr>
                <w:rFonts w:eastAsia="Times New Roman" w:cs="Times New Roman"/>
              </w:rPr>
              <w:t xml:space="preserve"> Positive result: better in tube group</w:t>
            </w:r>
          </w:p>
          <w:p w:rsidR="00F13B54" w:rsidRPr="00510D9B" w:rsidRDefault="00F13B54" w:rsidP="00A26C1C">
            <w:pPr>
              <w:pStyle w:val="TableBullet"/>
              <w:ind w:left="255" w:hanging="255"/>
            </w:pPr>
            <w:r w:rsidRPr="00510D9B">
              <w:t>Language Comprehension, 6 to 9 months (MA: 3 studies) (N=394)</w:t>
            </w:r>
          </w:p>
          <w:p w:rsidR="00F13B54" w:rsidRPr="00510D9B" w:rsidRDefault="00F13B54" w:rsidP="00A26C1C">
            <w:pPr>
              <w:pStyle w:val="TableBullet"/>
              <w:ind w:left="255" w:hanging="255"/>
            </w:pPr>
            <w:r w:rsidRPr="00510D9B">
              <w:t>Bilateral tubes</w:t>
            </w:r>
            <w:r>
              <w:t xml:space="preserve"> vs. </w:t>
            </w:r>
            <w:r w:rsidRPr="00510D9B">
              <w:t>watchful waiting: Mean Difference 0.09 (</w:t>
            </w:r>
            <w:r>
              <w:t xml:space="preserve">95% CI, </w:t>
            </w:r>
            <w:r w:rsidRPr="00510D9B">
              <w:t>-0.21</w:t>
            </w:r>
            <w:r>
              <w:t xml:space="preserve"> to</w:t>
            </w:r>
            <w:r w:rsidRPr="00510D9B">
              <w:t xml:space="preserve"> 0.39)</w:t>
            </w:r>
          </w:p>
          <w:p w:rsidR="00F13B54" w:rsidRPr="00510D9B" w:rsidRDefault="00F13B54" w:rsidP="00A26C1C">
            <w:pPr>
              <w:pStyle w:val="TableBullet"/>
              <w:ind w:left="255" w:hanging="255"/>
            </w:pPr>
            <w:r w:rsidRPr="00510D9B">
              <w:t>Language Expression, 6 to 9</w:t>
            </w:r>
            <w:r>
              <w:t xml:space="preserve"> </w:t>
            </w:r>
            <w:r w:rsidRPr="00510D9B">
              <w:t xml:space="preserve">months (MA: 3 studies) (N=393) </w:t>
            </w:r>
          </w:p>
          <w:p w:rsidR="00F13B54" w:rsidRDefault="00F13B54" w:rsidP="00A26C1C">
            <w:pPr>
              <w:pStyle w:val="TableBullet"/>
              <w:ind w:left="255" w:hanging="255"/>
              <w:rPr>
                <w:u w:val="single"/>
              </w:rPr>
            </w:pPr>
            <w:r w:rsidRPr="00510D9B">
              <w:t>Bilateral tubes</w:t>
            </w:r>
            <w:r>
              <w:t xml:space="preserve"> vs. </w:t>
            </w:r>
            <w:r w:rsidRPr="00510D9B">
              <w:t>watchful waiting: Mean Difference 0.03 (</w:t>
            </w:r>
            <w:r>
              <w:t xml:space="preserve">95% CI, </w:t>
            </w:r>
            <w:r w:rsidRPr="00510D9B">
              <w:t>-0.42</w:t>
            </w:r>
            <w:r>
              <w:t xml:space="preserve"> to</w:t>
            </w:r>
            <w:r w:rsidRPr="00510D9B">
              <w:t xml:space="preserve"> 0.49)</w:t>
            </w:r>
            <w:r w:rsidRPr="0096591A">
              <w:rPr>
                <w:u w:val="single"/>
              </w:rPr>
              <w:t xml:space="preserve"> </w:t>
            </w:r>
          </w:p>
          <w:p w:rsidR="00F13B54" w:rsidRDefault="00F13B54" w:rsidP="00A26C1C">
            <w:pPr>
              <w:pStyle w:val="TableText"/>
              <w:rPr>
                <w:rFonts w:eastAsia="Times New Roman" w:cs="Times New Roman"/>
                <w:u w:val="single"/>
              </w:rPr>
            </w:pPr>
          </w:p>
          <w:p w:rsidR="00F13B54" w:rsidRPr="0096591A" w:rsidRDefault="00F13B54" w:rsidP="00A26C1C">
            <w:pPr>
              <w:pStyle w:val="TableText"/>
              <w:rPr>
                <w:rFonts w:eastAsia="Times New Roman" w:cs="Times New Roman"/>
                <w:u w:val="single"/>
              </w:rPr>
            </w:pPr>
            <w:r w:rsidRPr="0096591A">
              <w:rPr>
                <w:rFonts w:eastAsia="Times New Roman" w:cs="Times New Roman"/>
                <w:u w:val="single"/>
              </w:rPr>
              <w:t>Cognitive Development</w:t>
            </w:r>
          </w:p>
          <w:p w:rsidR="00F13B54" w:rsidRPr="00510D9B" w:rsidRDefault="00F13B54" w:rsidP="00A26C1C">
            <w:pPr>
              <w:pStyle w:val="TableBullet"/>
              <w:ind w:left="255" w:hanging="255"/>
            </w:pPr>
            <w:r w:rsidRPr="00510D9B">
              <w:t>1 study (N = 160) 9 mos Griffiths Mental Development Mean Cognitive Index TT</w:t>
            </w:r>
            <w:r>
              <w:t xml:space="preserve"> vs. </w:t>
            </w:r>
            <w:r w:rsidRPr="00510D9B">
              <w:t>WW 106.5</w:t>
            </w:r>
            <w:r>
              <w:t xml:space="preserve"> vs. </w:t>
            </w:r>
            <w:r w:rsidRPr="00510D9B">
              <w:t xml:space="preserve">104.2 (95% CI, -2.58 to 7.04) </w:t>
            </w:r>
            <w:r>
              <w:t>p=</w:t>
            </w:r>
            <w:r w:rsidRPr="00510D9B">
              <w:t>.36</w:t>
            </w:r>
          </w:p>
          <w:p w:rsidR="00F13B54" w:rsidRPr="00510D9B" w:rsidRDefault="00F13B54" w:rsidP="00A26C1C">
            <w:pPr>
              <w:pStyle w:val="TableBullet"/>
              <w:ind w:left="255" w:hanging="255"/>
            </w:pPr>
            <w:r w:rsidRPr="00510D9B">
              <w:t>1 study (N=393) 3 yrs McCarthy Mental Development Mean General Cognitive Index TT</w:t>
            </w:r>
            <w:r>
              <w:t xml:space="preserve"> vs. </w:t>
            </w:r>
            <w:r w:rsidRPr="00510D9B">
              <w:t>WW 99</w:t>
            </w:r>
            <w:r>
              <w:t xml:space="preserve"> vs. </w:t>
            </w:r>
            <w:r w:rsidRPr="00510D9B">
              <w:t>101 (95% CI, -4.1 to 1.1)</w:t>
            </w:r>
          </w:p>
          <w:p w:rsidR="00F13B54" w:rsidRPr="006C22DB" w:rsidRDefault="00F13B54" w:rsidP="00A26C1C">
            <w:pPr>
              <w:pStyle w:val="TableText"/>
              <w:rPr>
                <w:rFonts w:eastAsia="Times New Roman" w:cs="Times New Roman"/>
              </w:rPr>
            </w:pPr>
            <w:r w:rsidRPr="006C22DB">
              <w:rPr>
                <w:rFonts w:eastAsia="Times New Roman" w:cs="Times New Roman"/>
              </w:rPr>
              <w:t>Behavior</w:t>
            </w:r>
          </w:p>
          <w:p w:rsidR="00F13B54" w:rsidRPr="006C22DB" w:rsidRDefault="00F13B54" w:rsidP="00A26C1C">
            <w:pPr>
              <w:pStyle w:val="TableBullet"/>
              <w:ind w:left="255" w:hanging="255"/>
            </w:pPr>
            <w:r w:rsidRPr="00510D9B">
              <w:lastRenderedPageBreak/>
              <w:t>1 study (N=393) 3 yrs Child Behavior Checklist Mean Total Problem Score TT vs. WW 50 vs. 99 (95% CI, -0.6 to 3.4)</w:t>
            </w:r>
          </w:p>
        </w:tc>
      </w:tr>
    </w:tbl>
    <w:p w:rsidR="00F13B54" w:rsidRDefault="00F13B54" w:rsidP="00F13B54">
      <w:pPr>
        <w:pStyle w:val="TableTitle"/>
      </w:pPr>
      <w:r>
        <w:lastRenderedPageBreak/>
        <w:t>Evidence Table 11. Systematic reviews (continued)</w:t>
      </w:r>
    </w:p>
    <w:tbl>
      <w:tblPr>
        <w:tblW w:w="13083" w:type="dxa"/>
        <w:tblBorders>
          <w:top w:val="single" w:sz="12" w:space="0" w:color="auto"/>
          <w:bottom w:val="single" w:sz="12" w:space="0" w:color="auto"/>
          <w:insideH w:val="single" w:sz="8" w:space="0" w:color="auto"/>
        </w:tblBorders>
        <w:tblLayout w:type="fixed"/>
        <w:tblLook w:val="04A0"/>
      </w:tblPr>
      <w:tblGrid>
        <w:gridCol w:w="1545"/>
        <w:gridCol w:w="11538"/>
      </w:tblGrid>
      <w:tr w:rsidR="00F13B54" w:rsidRPr="006C22DB" w:rsidTr="00A26C1C">
        <w:tc>
          <w:tcPr>
            <w:tcW w:w="1545"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Author, Year </w:t>
            </w:r>
          </w:p>
          <w:p w:rsidR="00F13B54" w:rsidRPr="006C22DB" w:rsidRDefault="00F13B54" w:rsidP="00A26C1C">
            <w:pPr>
              <w:pStyle w:val="TableLeftText"/>
              <w:rPr>
                <w:rFonts w:eastAsia="Times New Roman" w:cs="Times New Roman"/>
                <w:b/>
                <w:bCs/>
              </w:rPr>
            </w:pPr>
            <w:r w:rsidRPr="006C22DB">
              <w:rPr>
                <w:rFonts w:eastAsia="Times New Roman" w:cs="Times New Roman"/>
                <w:b/>
                <w:bCs/>
              </w:rPr>
              <w:t>Country</w:t>
            </w:r>
          </w:p>
          <w:p w:rsidR="00F13B54" w:rsidRPr="006C22DB" w:rsidRDefault="00F13B54" w:rsidP="00A26C1C">
            <w:pPr>
              <w:pStyle w:val="TableLeftText"/>
              <w:rPr>
                <w:rFonts w:eastAsia="Times New Roman" w:cs="Times New Roman"/>
                <w:b/>
                <w:bCs/>
              </w:rPr>
            </w:pPr>
            <w:r w:rsidRPr="006C22DB">
              <w:rPr>
                <w:rFonts w:eastAsia="Times New Roman" w:cs="Times New Roman"/>
                <w:b/>
                <w:bCs/>
              </w:rPr>
              <w:t>Funding</w:t>
            </w:r>
          </w:p>
          <w:p w:rsidR="00F13B54" w:rsidRPr="006C22DB" w:rsidRDefault="00F13B54" w:rsidP="00A26C1C">
            <w:pPr>
              <w:pStyle w:val="TableLeftText"/>
              <w:rPr>
                <w:rFonts w:eastAsia="Times New Roman" w:cs="Times New Roman"/>
                <w:b/>
                <w:bCs/>
              </w:rPr>
            </w:pPr>
            <w:r w:rsidRPr="006C22DB">
              <w:rPr>
                <w:rFonts w:eastAsia="Times New Roman" w:cs="Times New Roman"/>
                <w:b/>
                <w:bCs/>
              </w:rPr>
              <w:t>Study Design</w:t>
            </w:r>
          </w:p>
        </w:tc>
        <w:tc>
          <w:tcPr>
            <w:tcW w:w="11538"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Abstraction Form </w:t>
            </w:r>
          </w:p>
        </w:tc>
      </w:tr>
      <w:tr w:rsidR="00F13B54" w:rsidRPr="006C22DB" w:rsidTr="00A26C1C">
        <w:trPr>
          <w:trHeight w:val="4257"/>
        </w:trPr>
        <w:tc>
          <w:tcPr>
            <w:tcW w:w="1545" w:type="dxa"/>
            <w:shd w:val="clear" w:color="auto" w:fill="auto"/>
          </w:tcPr>
          <w:p w:rsidR="00F13B54" w:rsidRPr="006C22DB" w:rsidRDefault="00F13B54" w:rsidP="00A26C1C">
            <w:pPr>
              <w:pStyle w:val="TableText"/>
              <w:rPr>
                <w:rFonts w:eastAsia="Times New Roman" w:cs="Times New Roman"/>
              </w:rPr>
            </w:pPr>
            <w:r w:rsidRPr="006C22DB">
              <w:rPr>
                <w:rFonts w:eastAsia="Times New Roman" w:cs="Times New Roman"/>
                <w:noProof/>
              </w:rPr>
              <w:t>Browning</w:t>
            </w:r>
            <w:r>
              <w:rPr>
                <w:rFonts w:eastAsia="Times New Roman" w:cs="Times New Roman"/>
                <w:noProof/>
              </w:rPr>
              <w:t xml:space="preserve"> et al.</w:t>
            </w:r>
            <w:r w:rsidRPr="006C22DB">
              <w:rPr>
                <w:rFonts w:eastAsia="Times New Roman" w:cs="Times New Roman"/>
              </w:rPr>
              <w:t xml:space="preserve">, </w:t>
            </w:r>
            <w:r w:rsidRPr="006C22DB">
              <w:rPr>
                <w:rFonts w:eastAsia="Times New Roman" w:cs="Times New Roman"/>
                <w:noProof/>
              </w:rPr>
              <w:t>2010</w:t>
            </w:r>
            <w:r w:rsidRPr="00D70325">
              <w:rPr>
                <w:rFonts w:ascii="Times New Roman" w:eastAsia="Times New Roman" w:hAnsi="Times New Roman" w:cs="Times New Roman"/>
                <w:noProof/>
                <w:vertAlign w:val="superscript"/>
              </w:rPr>
              <w:t>1</w:t>
            </w:r>
          </w:p>
          <w:p w:rsidR="00F13B54" w:rsidRPr="006C22DB" w:rsidRDefault="00F13B54" w:rsidP="00A26C1C">
            <w:pPr>
              <w:pStyle w:val="TableText"/>
              <w:rPr>
                <w:rFonts w:eastAsia="Times New Roman" w:cs="Times New Roman"/>
                <w:noProof/>
              </w:rPr>
            </w:pPr>
            <w:r>
              <w:rPr>
                <w:rFonts w:eastAsia="Times New Roman" w:cs="Times New Roman"/>
                <w:noProof/>
              </w:rPr>
              <w:t>(continued)</w:t>
            </w:r>
          </w:p>
        </w:tc>
        <w:tc>
          <w:tcPr>
            <w:tcW w:w="11538" w:type="dxa"/>
            <w:shd w:val="clear" w:color="auto" w:fill="auto"/>
          </w:tcPr>
          <w:p w:rsidR="00F13B54" w:rsidRDefault="00F13B54" w:rsidP="00A26C1C">
            <w:pPr>
              <w:pStyle w:val="TableText"/>
              <w:rPr>
                <w:rFonts w:eastAsia="Times New Roman" w:cs="Times New Roman"/>
                <w:u w:val="single"/>
              </w:rPr>
            </w:pPr>
          </w:p>
          <w:p w:rsidR="00F13B54" w:rsidRPr="008E179C" w:rsidRDefault="00F13B54" w:rsidP="00A26C1C">
            <w:pPr>
              <w:pStyle w:val="TableText"/>
              <w:rPr>
                <w:rFonts w:eastAsia="Times New Roman" w:cs="Times New Roman"/>
                <w:u w:val="single"/>
              </w:rPr>
            </w:pPr>
            <w:r w:rsidRPr="008E179C">
              <w:rPr>
                <w:rFonts w:eastAsia="Times New Roman" w:cs="Times New Roman"/>
                <w:u w:val="single"/>
              </w:rPr>
              <w:t>Quality of Life</w:t>
            </w:r>
            <w:r>
              <w:rPr>
                <w:rFonts w:eastAsia="Times New Roman" w:cs="Times New Roman"/>
                <w:u w:val="single"/>
              </w:rPr>
              <w:t>:</w:t>
            </w:r>
          </w:p>
          <w:p w:rsidR="00F13B54" w:rsidRPr="00510D9B" w:rsidRDefault="00F13B54" w:rsidP="00A26C1C">
            <w:pPr>
              <w:pStyle w:val="TableBullet"/>
              <w:ind w:left="255" w:hanging="255"/>
            </w:pPr>
            <w:r>
              <w:t>Rovers 2001:</w:t>
            </w:r>
            <w:r w:rsidRPr="00510D9B">
              <w:t xml:space="preserve"> (N=176) 6 mos</w:t>
            </w:r>
            <w:r>
              <w:t xml:space="preserve"> </w:t>
            </w:r>
            <w:r w:rsidRPr="00510D9B">
              <w:t xml:space="preserve">The TAIQOL Mean scores in domains </w:t>
            </w:r>
          </w:p>
          <w:p w:rsidR="00F13B54" w:rsidRPr="00510D9B" w:rsidRDefault="00F13B54" w:rsidP="00A26C1C">
            <w:pPr>
              <w:pStyle w:val="TableBullet"/>
              <w:ind w:left="255" w:hanging="255"/>
            </w:pPr>
            <w:r w:rsidRPr="00510D9B">
              <w:t>6 mos Vitality 3.3 vs. 3.3</w:t>
            </w:r>
            <w:r>
              <w:t xml:space="preserve"> </w:t>
            </w:r>
            <w:r w:rsidRPr="00510D9B">
              <w:t>Appetite 5.0 vs. 4.7</w:t>
            </w:r>
            <w:r>
              <w:t xml:space="preserve"> </w:t>
            </w:r>
            <w:r w:rsidRPr="00510D9B">
              <w:t>Communication G1: 6.7 vs. 5.8 Motoric 4.4 vs. 4.4 Social</w:t>
            </w:r>
            <w:r>
              <w:t xml:space="preserve"> </w:t>
            </w:r>
            <w:r w:rsidRPr="00510D9B">
              <w:t xml:space="preserve">3.5 vs. 3.5 Anxiety </w:t>
            </w:r>
          </w:p>
          <w:p w:rsidR="00F13B54" w:rsidRPr="00510D9B" w:rsidRDefault="00F13B54" w:rsidP="00A26C1C">
            <w:pPr>
              <w:pStyle w:val="TableBullet"/>
              <w:ind w:left="255" w:hanging="255"/>
            </w:pPr>
            <w:r w:rsidRPr="00510D9B">
              <w:t>4.3 vs. 4.1 Aggression 11.9 vs. 11.1 Eating</w:t>
            </w:r>
            <w:r>
              <w:t xml:space="preserve"> </w:t>
            </w:r>
            <w:r w:rsidRPr="00510D9B">
              <w:t>3.3 vs. 3.5 Sleeping 6.8 vs. 6.6 MANOVA Hotelling Trace (</w:t>
            </w:r>
            <w:r>
              <w:t>p</w:t>
            </w:r>
            <w:r w:rsidRPr="00510D9B">
              <w:t>=0.22)</w:t>
            </w:r>
          </w:p>
          <w:p w:rsidR="00F13B54" w:rsidRPr="00510D9B" w:rsidRDefault="00F13B54" w:rsidP="00A26C1C">
            <w:pPr>
              <w:pStyle w:val="TableBullet"/>
              <w:ind w:left="255" w:hanging="255"/>
            </w:pPr>
            <w:r w:rsidRPr="00510D9B">
              <w:t>12 mos Vitality 3.1 vs.3.2 Appetite</w:t>
            </w:r>
            <w:r>
              <w:t xml:space="preserve"> </w:t>
            </w:r>
            <w:r w:rsidRPr="00510D9B">
              <w:t>5.3 vs.4.9 Communication 5.9 vs.5.6 Motoric 4.2 vs.4.2 Social 3.5 vs. 3.5</w:t>
            </w:r>
          </w:p>
          <w:p w:rsidR="00F13B54" w:rsidRPr="00510D9B" w:rsidRDefault="00F13B54" w:rsidP="00A26C1C">
            <w:pPr>
              <w:pStyle w:val="TableBullet"/>
              <w:ind w:left="255" w:hanging="255"/>
            </w:pPr>
            <w:r w:rsidRPr="00510D9B">
              <w:t>Anxiety 4.6 vs. 4.3 Aggression 11.8 vs.11.5 Eating 3.3 vs. 3.4 Sleeping</w:t>
            </w:r>
            <w:r>
              <w:t xml:space="preserve"> </w:t>
            </w:r>
            <w:r w:rsidRPr="00510D9B">
              <w:t>6.4 vs. 6.4 MANOVA Hotelling Trace (</w:t>
            </w:r>
            <w:r>
              <w:t>p=</w:t>
            </w:r>
            <w:r w:rsidRPr="00510D9B">
              <w:t>0.94)</w:t>
            </w:r>
          </w:p>
          <w:p w:rsidR="00F13B54" w:rsidRPr="006C22DB" w:rsidRDefault="00F13B54" w:rsidP="00A26C1C">
            <w:pPr>
              <w:pStyle w:val="TableBoldText"/>
              <w:rPr>
                <w:rFonts w:eastAsia="Times New Roman" w:cs="Times New Roman"/>
              </w:rPr>
            </w:pPr>
            <w:r w:rsidRPr="006C22DB">
              <w:rPr>
                <w:rFonts w:eastAsia="Times New Roman" w:cs="Times New Roman"/>
              </w:rPr>
              <w:t>Adverse Events</w:t>
            </w:r>
          </w:p>
          <w:p w:rsidR="00F13B54" w:rsidRPr="006C22DB" w:rsidRDefault="00F13B54" w:rsidP="00A26C1C">
            <w:pPr>
              <w:pStyle w:val="TableBullet"/>
              <w:ind w:left="255" w:hanging="255"/>
            </w:pPr>
            <w:r w:rsidRPr="00C24C9E">
              <w:t xml:space="preserve">Tympanosclerosis </w:t>
            </w:r>
            <w:r w:rsidRPr="00510D9B">
              <w:t>by ear, 1 year (1 study) (N=78):</w:t>
            </w:r>
          </w:p>
          <w:p w:rsidR="00F13B54" w:rsidRPr="00510D9B" w:rsidRDefault="00F13B54" w:rsidP="00A26C1C">
            <w:pPr>
              <w:pStyle w:val="TableBullet"/>
              <w:ind w:left="255" w:hanging="255"/>
            </w:pPr>
            <w:r w:rsidRPr="00510D9B">
              <w:t xml:space="preserve"> Unilateral tube</w:t>
            </w:r>
            <w:r>
              <w:t xml:space="preserve"> vs. </w:t>
            </w:r>
            <w:r w:rsidRPr="00510D9B">
              <w:t>watchful waiting: 38%</w:t>
            </w:r>
            <w:r>
              <w:t xml:space="preserve"> vs. </w:t>
            </w:r>
            <w:r w:rsidRPr="00510D9B">
              <w:t>1%</w:t>
            </w:r>
          </w:p>
          <w:p w:rsidR="00F13B54" w:rsidRPr="00510D9B" w:rsidRDefault="00F13B54" w:rsidP="00A26C1C">
            <w:pPr>
              <w:pStyle w:val="TableBullet"/>
              <w:ind w:left="255" w:hanging="255"/>
            </w:pPr>
            <w:r w:rsidRPr="00510D9B">
              <w:t xml:space="preserve">Tympanosclerosis by child, 24 months (1 study) (N=248): </w:t>
            </w:r>
          </w:p>
          <w:p w:rsidR="00F13B54" w:rsidRPr="00510D9B" w:rsidRDefault="00F13B54" w:rsidP="00A26C1C">
            <w:pPr>
              <w:pStyle w:val="TableBullet"/>
              <w:ind w:left="255" w:hanging="255"/>
            </w:pPr>
            <w:r w:rsidRPr="00510D9B">
              <w:t>Bilateral tubes</w:t>
            </w:r>
            <w:r>
              <w:t xml:space="preserve"> vs. </w:t>
            </w:r>
            <w:r w:rsidRPr="00510D9B">
              <w:t>watchful waiting:</w:t>
            </w:r>
            <w:r>
              <w:t xml:space="preserve"> </w:t>
            </w:r>
            <w:r w:rsidRPr="00510D9B">
              <w:t>27%</w:t>
            </w:r>
            <w:r>
              <w:t xml:space="preserve"> vs. </w:t>
            </w:r>
            <w:r w:rsidRPr="00510D9B">
              <w:t>0</w:t>
            </w:r>
            <w:r>
              <w:t xml:space="preserve"> </w:t>
            </w:r>
          </w:p>
          <w:p w:rsidR="00F13B54" w:rsidRPr="00510D9B" w:rsidRDefault="00F13B54" w:rsidP="00A26C1C">
            <w:pPr>
              <w:pStyle w:val="TableBullet"/>
              <w:ind w:left="255" w:hanging="255"/>
            </w:pPr>
            <w:r w:rsidRPr="00510D9B">
              <w:t>Otorrhoea, 6 months (1 study (N=187)):</w:t>
            </w:r>
          </w:p>
          <w:p w:rsidR="00F13B54" w:rsidRPr="00510D9B" w:rsidRDefault="00F13B54" w:rsidP="00A26C1C">
            <w:pPr>
              <w:pStyle w:val="TableBullet"/>
              <w:ind w:left="255" w:hanging="255"/>
            </w:pPr>
            <w:r w:rsidRPr="00510D9B">
              <w:t>Tubed ears</w:t>
            </w:r>
            <w:r>
              <w:t xml:space="preserve"> vs. </w:t>
            </w:r>
            <w:r w:rsidRPr="00510D9B">
              <w:t>non-tubed ears 49% (</w:t>
            </w:r>
            <w:r>
              <w:t xml:space="preserve">95% CI, </w:t>
            </w:r>
            <w:r w:rsidRPr="00510D9B">
              <w:t>39%,</w:t>
            </w:r>
            <w:r>
              <w:t xml:space="preserve"> </w:t>
            </w:r>
            <w:r w:rsidRPr="00510D9B">
              <w:t>60%)</w:t>
            </w:r>
            <w:r>
              <w:t xml:space="preserve"> vs. </w:t>
            </w:r>
            <w:r w:rsidRPr="00510D9B">
              <w:t>10% (</w:t>
            </w:r>
            <w:r>
              <w:t xml:space="preserve">95% CI, </w:t>
            </w:r>
            <w:r w:rsidRPr="00510D9B">
              <w:t>4%, 16%)</w:t>
            </w:r>
          </w:p>
          <w:p w:rsidR="00F13B54" w:rsidRPr="00510D9B" w:rsidRDefault="00F13B54" w:rsidP="00A26C1C">
            <w:pPr>
              <w:pStyle w:val="TableBullet"/>
              <w:ind w:left="255" w:hanging="255"/>
            </w:pPr>
            <w:r w:rsidRPr="00510D9B">
              <w:t>Perforation and otorrhoea, 24 months</w:t>
            </w:r>
            <w:r>
              <w:t xml:space="preserve"> </w:t>
            </w:r>
            <w:r w:rsidRPr="00510D9B">
              <w:t>(1 study) (N=248):</w:t>
            </w:r>
          </w:p>
          <w:p w:rsidR="00F13B54" w:rsidRDefault="00F13B54" w:rsidP="00A26C1C">
            <w:pPr>
              <w:pStyle w:val="TableBullet"/>
              <w:ind w:left="255" w:hanging="255"/>
            </w:pPr>
            <w:r w:rsidRPr="00510D9B">
              <w:t>Perforation: &lt;1 %</w:t>
            </w:r>
          </w:p>
          <w:p w:rsidR="00F13B54" w:rsidRPr="00510D9B" w:rsidRDefault="00F13B54" w:rsidP="00A26C1C">
            <w:pPr>
              <w:pStyle w:val="TableBullet"/>
              <w:ind w:left="255" w:hanging="255"/>
            </w:pPr>
            <w:r w:rsidRPr="00510D9B">
              <w:t xml:space="preserve">Otorrhoea: 2% </w:t>
            </w:r>
          </w:p>
          <w:p w:rsidR="00F13B54" w:rsidRPr="00510D9B" w:rsidRDefault="00F13B54" w:rsidP="00A26C1C">
            <w:pPr>
              <w:pStyle w:val="TableBullet"/>
              <w:ind w:left="255" w:hanging="255"/>
            </w:pPr>
            <w:r>
              <w:t>AOM</w:t>
            </w:r>
            <w:r w:rsidRPr="00510D9B">
              <w:t xml:space="preserve"> (1 study) (n=236):</w:t>
            </w:r>
          </w:p>
          <w:p w:rsidR="00F13B54" w:rsidRPr="006C22DB" w:rsidRDefault="00F13B54" w:rsidP="00A26C1C">
            <w:pPr>
              <w:pStyle w:val="TableBullet"/>
              <w:ind w:left="255" w:hanging="255"/>
            </w:pPr>
            <w:r w:rsidRPr="006C22DB">
              <w:t>Tubed</w:t>
            </w:r>
            <w:r>
              <w:t xml:space="preserve"> vs. </w:t>
            </w:r>
            <w:r w:rsidRPr="006C22DB">
              <w:t>non-tubed 27%</w:t>
            </w:r>
            <w:r>
              <w:t xml:space="preserve"> vs. </w:t>
            </w:r>
            <w:r w:rsidRPr="006C22DB">
              <w:t>11%</w:t>
            </w:r>
          </w:p>
        </w:tc>
      </w:tr>
    </w:tbl>
    <w:p w:rsidR="00F13B54" w:rsidRDefault="00F13B54" w:rsidP="00F13B54"/>
    <w:p w:rsidR="00F13B54" w:rsidRDefault="00F13B54" w:rsidP="00F13B54">
      <w:pPr>
        <w:pStyle w:val="TableTitle"/>
      </w:pPr>
      <w:r>
        <w:br w:type="page"/>
      </w:r>
      <w:r>
        <w:lastRenderedPageBreak/>
        <w:t>Evidence Table 11. Systematic reviews (continued)</w:t>
      </w:r>
    </w:p>
    <w:tbl>
      <w:tblPr>
        <w:tblW w:w="13083" w:type="dxa"/>
        <w:tblBorders>
          <w:top w:val="single" w:sz="12" w:space="0" w:color="auto"/>
          <w:bottom w:val="single" w:sz="12" w:space="0" w:color="auto"/>
          <w:insideH w:val="single" w:sz="8" w:space="0" w:color="auto"/>
        </w:tblBorders>
        <w:tblLayout w:type="fixed"/>
        <w:tblLook w:val="04A0"/>
      </w:tblPr>
      <w:tblGrid>
        <w:gridCol w:w="1545"/>
        <w:gridCol w:w="11538"/>
      </w:tblGrid>
      <w:tr w:rsidR="00F13B54" w:rsidRPr="006C22DB" w:rsidTr="00A26C1C">
        <w:tc>
          <w:tcPr>
            <w:tcW w:w="1545"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Author, Year </w:t>
            </w:r>
          </w:p>
          <w:p w:rsidR="00F13B54" w:rsidRPr="006C22DB" w:rsidRDefault="00F13B54" w:rsidP="00A26C1C">
            <w:pPr>
              <w:pStyle w:val="TableLeftText"/>
              <w:rPr>
                <w:rFonts w:eastAsia="Times New Roman" w:cs="Times New Roman"/>
                <w:b/>
                <w:bCs/>
              </w:rPr>
            </w:pPr>
            <w:r w:rsidRPr="006C22DB">
              <w:rPr>
                <w:rFonts w:eastAsia="Times New Roman" w:cs="Times New Roman"/>
                <w:b/>
                <w:bCs/>
              </w:rPr>
              <w:t>Country</w:t>
            </w:r>
          </w:p>
          <w:p w:rsidR="00F13B54" w:rsidRPr="006C22DB" w:rsidRDefault="00F13B54" w:rsidP="00A26C1C">
            <w:pPr>
              <w:pStyle w:val="TableLeftText"/>
              <w:rPr>
                <w:rFonts w:eastAsia="Times New Roman" w:cs="Times New Roman"/>
                <w:b/>
                <w:bCs/>
              </w:rPr>
            </w:pPr>
            <w:r w:rsidRPr="006C22DB">
              <w:rPr>
                <w:rFonts w:eastAsia="Times New Roman" w:cs="Times New Roman"/>
                <w:b/>
                <w:bCs/>
              </w:rPr>
              <w:t>Funding</w:t>
            </w:r>
          </w:p>
          <w:p w:rsidR="00F13B54" w:rsidRPr="006C22DB" w:rsidRDefault="00F13B54" w:rsidP="00A26C1C">
            <w:pPr>
              <w:pStyle w:val="TableLeftText"/>
              <w:rPr>
                <w:rFonts w:eastAsia="Times New Roman" w:cs="Times New Roman"/>
                <w:b/>
                <w:bCs/>
              </w:rPr>
            </w:pPr>
            <w:r w:rsidRPr="006C22DB">
              <w:rPr>
                <w:rFonts w:eastAsia="Times New Roman" w:cs="Times New Roman"/>
                <w:b/>
                <w:bCs/>
              </w:rPr>
              <w:t>Study Design</w:t>
            </w:r>
          </w:p>
        </w:tc>
        <w:tc>
          <w:tcPr>
            <w:tcW w:w="11538"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Abstraction Form </w:t>
            </w:r>
          </w:p>
        </w:tc>
      </w:tr>
      <w:tr w:rsidR="00F13B54" w:rsidRPr="006C22DB" w:rsidTr="00A26C1C">
        <w:trPr>
          <w:trHeight w:val="1200"/>
        </w:trPr>
        <w:tc>
          <w:tcPr>
            <w:tcW w:w="1545" w:type="dxa"/>
            <w:shd w:val="clear" w:color="auto" w:fill="auto"/>
          </w:tcPr>
          <w:p w:rsidR="00F13B54" w:rsidRPr="006C22DB" w:rsidRDefault="00F13B54" w:rsidP="00A26C1C">
            <w:pPr>
              <w:pStyle w:val="TableText"/>
              <w:rPr>
                <w:rFonts w:eastAsia="Times New Roman" w:cs="Times New Roman"/>
              </w:rPr>
            </w:pPr>
            <w:r w:rsidRPr="006C22DB">
              <w:rPr>
                <w:rFonts w:eastAsia="Times New Roman" w:cs="Times New Roman"/>
                <w:noProof/>
              </w:rPr>
              <w:t>Hellstrom</w:t>
            </w:r>
            <w:r w:rsidRPr="006C22DB">
              <w:rPr>
                <w:rFonts w:eastAsia="Times New Roman" w:cs="Times New Roman"/>
              </w:rPr>
              <w:t xml:space="preserve">, </w:t>
            </w:r>
            <w:r w:rsidRPr="006C22DB">
              <w:rPr>
                <w:rFonts w:eastAsia="Times New Roman" w:cs="Times New Roman"/>
                <w:noProof/>
              </w:rPr>
              <w:t>2011</w:t>
            </w:r>
            <w:r w:rsidRPr="001805C7">
              <w:rPr>
                <w:rFonts w:ascii="Times New Roman" w:eastAsia="Times New Roman" w:hAnsi="Times New Roman" w:cs="Times New Roman"/>
                <w:noProof/>
                <w:vertAlign w:val="superscript"/>
              </w:rPr>
              <w:t>12</w:t>
            </w:r>
          </w:p>
          <w:p w:rsidR="00F13B54" w:rsidRPr="006C22DB" w:rsidRDefault="00F13B54" w:rsidP="00A26C1C">
            <w:pPr>
              <w:pStyle w:val="TableText"/>
              <w:rPr>
                <w:rFonts w:eastAsia="Times New Roman" w:cs="Times New Roman"/>
              </w:rPr>
            </w:pPr>
            <w:r w:rsidRPr="006C22DB">
              <w:rPr>
                <w:rFonts w:eastAsia="Times New Roman" w:cs="Times New Roman"/>
                <w:noProof/>
              </w:rPr>
              <w:t>Swedish Council on Technology Assessment in Health Care - A governmental Authority</w:t>
            </w:r>
          </w:p>
          <w:p w:rsidR="00F13B54" w:rsidRPr="006C22DB" w:rsidRDefault="00F13B54" w:rsidP="00A26C1C">
            <w:pPr>
              <w:pStyle w:val="TableText"/>
              <w:rPr>
                <w:rFonts w:eastAsia="Times New Roman" w:cs="Times New Roman"/>
              </w:rPr>
            </w:pPr>
            <w:r w:rsidRPr="006C22DB">
              <w:rPr>
                <w:rFonts w:eastAsia="Times New Roman" w:cs="Times New Roman"/>
                <w:noProof/>
              </w:rPr>
              <w:t>Systematic Review</w:t>
            </w:r>
          </w:p>
        </w:tc>
        <w:tc>
          <w:tcPr>
            <w:tcW w:w="11538" w:type="dxa"/>
            <w:shd w:val="clear" w:color="auto" w:fill="auto"/>
          </w:tcPr>
          <w:p w:rsidR="00F13B54" w:rsidRPr="006C22DB" w:rsidRDefault="00F13B54" w:rsidP="00A26C1C">
            <w:pPr>
              <w:pStyle w:val="TableBoldText"/>
            </w:pPr>
            <w:r w:rsidRPr="006C22DB">
              <w:t xml:space="preserve">Number of </w:t>
            </w:r>
            <w:r w:rsidRPr="00747216">
              <w:t>Patients</w:t>
            </w:r>
          </w:p>
          <w:p w:rsidR="00F13B54" w:rsidRPr="006C22DB" w:rsidRDefault="00F13B54" w:rsidP="00A26C1C">
            <w:pPr>
              <w:pStyle w:val="TableText"/>
              <w:rPr>
                <w:rFonts w:eastAsia="Times New Roman" w:cs="Times New Roman"/>
              </w:rPr>
            </w:pPr>
            <w:r>
              <w:rPr>
                <w:rFonts w:eastAsia="Times New Roman" w:cs="Times New Roman"/>
                <w:noProof/>
              </w:rPr>
              <w:t>3218</w:t>
            </w:r>
          </w:p>
          <w:p w:rsidR="00F13B54" w:rsidRPr="006C22DB" w:rsidRDefault="00F13B54" w:rsidP="00A26C1C">
            <w:pPr>
              <w:pStyle w:val="TableBoldText"/>
              <w:rPr>
                <w:rFonts w:eastAsia="Times New Roman" w:cs="Times New Roman"/>
              </w:rPr>
            </w:pPr>
            <w:r w:rsidRPr="006C22DB">
              <w:rPr>
                <w:rFonts w:eastAsia="Times New Roman" w:cs="Times New Roman"/>
              </w:rPr>
              <w:t>Aims of Review</w:t>
            </w:r>
          </w:p>
          <w:p w:rsidR="00F13B54" w:rsidRPr="006C22DB" w:rsidRDefault="00F13B54" w:rsidP="00A26C1C">
            <w:pPr>
              <w:pStyle w:val="TableText"/>
              <w:spacing w:after="120"/>
              <w:rPr>
                <w:rFonts w:eastAsia="Times New Roman" w:cs="Times New Roman"/>
                <w:bCs/>
              </w:rPr>
            </w:pPr>
            <w:r w:rsidRPr="006C22DB">
              <w:rPr>
                <w:rFonts w:eastAsia="Times New Roman" w:cs="Times New Roman"/>
                <w:bCs/>
                <w:noProof/>
              </w:rPr>
              <w:t>The aim of this review was to study the evidence for effectiveness of VT treatment in SOM (i.e., OME) and rAOM as well as the effect of VT material, the different procedures, and their benefits and complications. Note: only studies of participants with OME are included here. Studies with mix</w:t>
            </w:r>
            <w:r>
              <w:rPr>
                <w:rFonts w:eastAsia="Times New Roman" w:cs="Times New Roman"/>
                <w:bCs/>
                <w:noProof/>
              </w:rPr>
              <w:t>ed populations were not included unless OME results were stratified.</w:t>
            </w:r>
          </w:p>
          <w:p w:rsidR="00F13B54" w:rsidRPr="006C22DB" w:rsidRDefault="00F13B54" w:rsidP="00A26C1C">
            <w:pPr>
              <w:pStyle w:val="TableBoldText"/>
              <w:rPr>
                <w:rFonts w:eastAsia="Times New Roman" w:cs="Times New Roman"/>
              </w:rPr>
            </w:pPr>
          </w:p>
          <w:p w:rsidR="00F13B54" w:rsidRPr="006C22DB" w:rsidRDefault="00F13B54" w:rsidP="00A26C1C">
            <w:pPr>
              <w:pStyle w:val="TableText"/>
              <w:rPr>
                <w:rFonts w:eastAsia="Times New Roman" w:cs="Times New Roman"/>
              </w:rPr>
            </w:pPr>
            <w:r>
              <w:rPr>
                <w:rFonts w:eastAsia="Times New Roman" w:cs="Times New Roman"/>
                <w:noProof/>
              </w:rPr>
              <w:t>24 articles in</w:t>
            </w:r>
            <w:r w:rsidRPr="006C22DB">
              <w:rPr>
                <w:rFonts w:eastAsia="Times New Roman" w:cs="Times New Roman"/>
                <w:noProof/>
              </w:rPr>
              <w:t xml:space="preserve"> which OME</w:t>
            </w:r>
            <w:r>
              <w:rPr>
                <w:rFonts w:eastAsia="Times New Roman" w:cs="Times New Roman"/>
                <w:noProof/>
              </w:rPr>
              <w:t xml:space="preserve"> was the focus and there was a comparator of interest</w:t>
            </w:r>
            <w:r w:rsidRPr="006C22DB">
              <w:rPr>
                <w:rFonts w:eastAsia="Times New Roman" w:cs="Times New Roman"/>
                <w:noProof/>
              </w:rPr>
              <w:t>: Rovers 2000</w:t>
            </w:r>
            <w:r w:rsidRPr="00D70325">
              <w:rPr>
                <w:rFonts w:ascii="Times New Roman" w:eastAsia="Times New Roman" w:hAnsi="Times New Roman" w:cs="Times New Roman"/>
                <w:noProof/>
                <w:vertAlign w:val="superscript"/>
              </w:rPr>
              <w:t>9</w:t>
            </w:r>
            <w:r w:rsidRPr="006C22DB">
              <w:rPr>
                <w:rFonts w:eastAsia="Times New Roman" w:cs="Times New Roman"/>
                <w:noProof/>
              </w:rPr>
              <w:t>; Rovers 2001</w:t>
            </w:r>
            <w:r w:rsidRPr="001805C7">
              <w:rPr>
                <w:rFonts w:ascii="Times New Roman" w:eastAsia="Times New Roman" w:hAnsi="Times New Roman" w:cs="Times New Roman"/>
                <w:noProof/>
                <w:vertAlign w:val="superscript"/>
              </w:rPr>
              <w:t>13</w:t>
            </w:r>
            <w:r w:rsidRPr="006C22DB">
              <w:rPr>
                <w:rFonts w:eastAsia="Times New Roman" w:cs="Times New Roman"/>
                <w:noProof/>
              </w:rPr>
              <w:t>; Paradise 2003</w:t>
            </w:r>
            <w:r w:rsidRPr="001805C7">
              <w:rPr>
                <w:rFonts w:ascii="Times New Roman" w:eastAsia="Times New Roman" w:hAnsi="Times New Roman" w:cs="Times New Roman"/>
                <w:noProof/>
                <w:vertAlign w:val="superscript"/>
              </w:rPr>
              <w:t>14</w:t>
            </w:r>
            <w:r w:rsidRPr="006C22DB">
              <w:rPr>
                <w:rFonts w:eastAsia="Times New Roman" w:cs="Times New Roman"/>
                <w:noProof/>
              </w:rPr>
              <w:t>; Maw 1999</w:t>
            </w:r>
            <w:r w:rsidRPr="00D70325">
              <w:rPr>
                <w:rFonts w:ascii="Times New Roman" w:eastAsia="Times New Roman" w:hAnsi="Times New Roman" w:cs="Times New Roman"/>
                <w:noProof/>
                <w:vertAlign w:val="superscript"/>
              </w:rPr>
              <w:t>8</w:t>
            </w:r>
            <w:r w:rsidRPr="006C22DB">
              <w:rPr>
                <w:rFonts w:eastAsia="Times New Roman" w:cs="Times New Roman"/>
                <w:noProof/>
              </w:rPr>
              <w:t>; Maw 1986</w:t>
            </w:r>
            <w:r w:rsidRPr="00D70325">
              <w:rPr>
                <w:rFonts w:ascii="Times New Roman" w:eastAsia="Times New Roman" w:hAnsi="Times New Roman" w:cs="Times New Roman"/>
                <w:noProof/>
                <w:vertAlign w:val="superscript"/>
              </w:rPr>
              <w:t>2</w:t>
            </w:r>
            <w:r>
              <w:rPr>
                <w:rFonts w:eastAsia="Times New Roman" w:cs="Times New Roman"/>
                <w:noProof/>
              </w:rPr>
              <w:t>; Maw 1994</w:t>
            </w:r>
            <w:r w:rsidRPr="001805C7">
              <w:rPr>
                <w:rFonts w:ascii="Times New Roman" w:eastAsia="Times New Roman" w:hAnsi="Times New Roman" w:cs="Times New Roman"/>
                <w:noProof/>
                <w:vertAlign w:val="superscript"/>
              </w:rPr>
              <w:t>15</w:t>
            </w:r>
            <w:r w:rsidRPr="006C22DB">
              <w:rPr>
                <w:rFonts w:eastAsia="Times New Roman" w:cs="Times New Roman"/>
                <w:noProof/>
              </w:rPr>
              <w:t>; Dempster 1993</w:t>
            </w:r>
            <w:r w:rsidRPr="00D70325">
              <w:rPr>
                <w:rFonts w:ascii="Times New Roman" w:eastAsia="Times New Roman" w:hAnsi="Times New Roman" w:cs="Times New Roman"/>
                <w:noProof/>
                <w:vertAlign w:val="superscript"/>
              </w:rPr>
              <w:t>4</w:t>
            </w:r>
            <w:r w:rsidRPr="006C22DB">
              <w:rPr>
                <w:rFonts w:eastAsia="Times New Roman" w:cs="Times New Roman"/>
                <w:noProof/>
              </w:rPr>
              <w:t>; Gates 1989; Wilks 2000; Hampal 1991; Dingle 1993; Heaton 1991; Hern 1999; Hampton 1996; Pearson 1996; Salam 1993; Youngs 1988; Kinsella 1994; Bonding 1985; Lildholdt 1983;</w:t>
            </w:r>
            <w:r>
              <w:rPr>
                <w:rFonts w:eastAsia="Times New Roman" w:cs="Times New Roman"/>
                <w:noProof/>
              </w:rPr>
              <w:t xml:space="preserve"> </w:t>
            </w:r>
            <w:r w:rsidRPr="006C22DB">
              <w:rPr>
                <w:rFonts w:eastAsia="Times New Roman" w:cs="Times New Roman"/>
                <w:noProof/>
              </w:rPr>
              <w:t>Mandel 1992; Maw 1994b</w:t>
            </w:r>
          </w:p>
          <w:p w:rsidR="00F13B54" w:rsidRPr="006C22DB" w:rsidRDefault="00F13B54" w:rsidP="00A26C1C">
            <w:pPr>
              <w:pStyle w:val="TableBoldText"/>
              <w:rPr>
                <w:rFonts w:eastAsia="Times New Roman" w:cs="Times New Roman"/>
              </w:rPr>
            </w:pPr>
            <w:r w:rsidRPr="006C22DB">
              <w:rPr>
                <w:rFonts w:eastAsia="Times New Roman" w:cs="Times New Roman"/>
              </w:rPr>
              <w:t>Characteristics of Included Studies</w:t>
            </w:r>
          </w:p>
          <w:p w:rsidR="00F13B54" w:rsidRDefault="00F13B54" w:rsidP="00A26C1C">
            <w:pPr>
              <w:pStyle w:val="TableText"/>
              <w:rPr>
                <w:rFonts w:eastAsia="Times New Roman" w:cs="Times New Roman"/>
                <w:noProof/>
              </w:rPr>
            </w:pPr>
            <w:r w:rsidRPr="006C22DB">
              <w:rPr>
                <w:rFonts w:eastAsia="Times New Roman" w:cs="Times New Roman"/>
                <w:noProof/>
              </w:rPr>
              <w:t>OME studies included RCTs (individual or ear), nonrandomized controlled trials, and cohort studies published between 1966 and 2007 of efficacy of tubes on hearing, language development, and quality of life; tube design effects on functioning and complications; tube routines for insertion effects on functioning and complications; prophylaxis and treatment of tube otorrhea; complications and sequelae after tube insertion.</w:t>
            </w:r>
          </w:p>
          <w:p w:rsidR="00F13B54" w:rsidRDefault="00F13B54" w:rsidP="00A26C1C">
            <w:pPr>
              <w:pStyle w:val="TableText"/>
              <w:rPr>
                <w:rFonts w:eastAsia="Times New Roman" w:cs="Times New Roman"/>
                <w:b/>
              </w:rPr>
            </w:pPr>
          </w:p>
          <w:p w:rsidR="00F13B54" w:rsidRPr="00A32754" w:rsidRDefault="00F13B54" w:rsidP="00A26C1C">
            <w:pPr>
              <w:pStyle w:val="TableText"/>
              <w:rPr>
                <w:rFonts w:eastAsia="Times New Roman" w:cs="Times New Roman"/>
                <w:b/>
              </w:rPr>
            </w:pPr>
            <w:r w:rsidRPr="00A32754">
              <w:rPr>
                <w:rFonts w:eastAsia="Times New Roman" w:cs="Times New Roman"/>
                <w:b/>
              </w:rPr>
              <w:t>Criteria for diagnosing OME</w:t>
            </w:r>
            <w:r>
              <w:rPr>
                <w:rFonts w:eastAsia="Times New Roman" w:cs="Times New Roman"/>
                <w:b/>
              </w:rPr>
              <w:t>:</w:t>
            </w:r>
          </w:p>
          <w:p w:rsidR="00F13B54" w:rsidRPr="006C22DB" w:rsidRDefault="00F13B54" w:rsidP="00A26C1C">
            <w:pPr>
              <w:pStyle w:val="TableText"/>
              <w:rPr>
                <w:rFonts w:eastAsia="Times New Roman" w:cs="Times New Roman"/>
              </w:rPr>
            </w:pPr>
            <w:r>
              <w:rPr>
                <w:rFonts w:eastAsia="Times New Roman" w:cs="Times New Roman"/>
                <w:noProof/>
              </w:rPr>
              <w:t xml:space="preserve">Specified only that had to meet international criteria for OME and have OME present for 3 months. Based on methods of underlying studies, </w:t>
            </w:r>
            <w:r w:rsidRPr="006C22DB">
              <w:rPr>
                <w:rFonts w:eastAsia="Times New Roman" w:cs="Times New Roman"/>
                <w:noProof/>
              </w:rPr>
              <w:t xml:space="preserve">OME had to be diagnosed </w:t>
            </w:r>
            <w:r>
              <w:rPr>
                <w:rFonts w:eastAsia="Times New Roman" w:cs="Times New Roman"/>
                <w:noProof/>
              </w:rPr>
              <w:t xml:space="preserve">objectively using </w:t>
            </w:r>
            <w:r w:rsidRPr="006C22DB">
              <w:rPr>
                <w:rFonts w:eastAsia="Times New Roman" w:cs="Times New Roman"/>
                <w:noProof/>
              </w:rPr>
              <w:t>a combination of otoscopy (pneumatic and microsco</w:t>
            </w:r>
            <w:r>
              <w:rPr>
                <w:rFonts w:eastAsia="Times New Roman" w:cs="Times New Roman"/>
                <w:noProof/>
              </w:rPr>
              <w:t>pic), tympanometry and audiomet</w:t>
            </w:r>
            <w:r w:rsidRPr="006C22DB">
              <w:rPr>
                <w:rFonts w:eastAsia="Times New Roman" w:cs="Times New Roman"/>
                <w:noProof/>
              </w:rPr>
              <w:t>ry</w:t>
            </w:r>
          </w:p>
          <w:p w:rsidR="00F13B54" w:rsidRDefault="00F13B54" w:rsidP="00A26C1C">
            <w:pPr>
              <w:pStyle w:val="TableText"/>
              <w:rPr>
                <w:rFonts w:eastAsia="Times New Roman" w:cs="Times New Roman"/>
                <w:noProof/>
              </w:rPr>
            </w:pPr>
          </w:p>
          <w:p w:rsidR="00F13B54" w:rsidRPr="001E49F9" w:rsidRDefault="00F13B54" w:rsidP="00A26C1C">
            <w:pPr>
              <w:pStyle w:val="TableBulletBlank"/>
              <w:rPr>
                <w:b/>
              </w:rPr>
            </w:pPr>
            <w:r w:rsidRPr="001E49F9">
              <w:rPr>
                <w:b/>
              </w:rPr>
              <w:t>Setting(s):</w:t>
            </w:r>
          </w:p>
          <w:p w:rsidR="00F13B54" w:rsidRPr="000400FA" w:rsidRDefault="00F13B54" w:rsidP="00A26C1C">
            <w:pPr>
              <w:pStyle w:val="TableBulletBlank"/>
            </w:pPr>
            <w:r>
              <w:t>Referral population, largely to otolaryngology clinics in academic medical centers</w:t>
            </w:r>
          </w:p>
          <w:p w:rsidR="00F13B54" w:rsidRPr="006C22DB" w:rsidRDefault="00F13B54" w:rsidP="00A26C1C">
            <w:pPr>
              <w:pStyle w:val="TableText"/>
              <w:rPr>
                <w:rFonts w:eastAsia="Times New Roman" w:cs="Times New Roman"/>
              </w:rPr>
            </w:pPr>
          </w:p>
          <w:p w:rsidR="00F13B54" w:rsidRPr="006C22DB" w:rsidRDefault="00F13B54" w:rsidP="00A26C1C">
            <w:pPr>
              <w:pStyle w:val="TableBoldText"/>
              <w:rPr>
                <w:rFonts w:eastAsia="Times New Roman" w:cs="Times New Roman"/>
              </w:rPr>
            </w:pPr>
            <w:r w:rsidRPr="006C22DB">
              <w:rPr>
                <w:rFonts w:eastAsia="Times New Roman" w:cs="Times New Roman"/>
              </w:rPr>
              <w:t>Characteristics of Included Populations</w:t>
            </w:r>
          </w:p>
          <w:p w:rsidR="00F13B54" w:rsidRPr="006C22DB" w:rsidRDefault="00F13B54" w:rsidP="00A26C1C">
            <w:pPr>
              <w:pStyle w:val="TableText"/>
              <w:rPr>
                <w:rFonts w:eastAsia="Times New Roman" w:cs="Times New Roman"/>
              </w:rPr>
            </w:pPr>
            <w:r w:rsidRPr="006C22DB">
              <w:rPr>
                <w:rFonts w:eastAsia="Times New Roman" w:cs="Times New Roman"/>
                <w:noProof/>
              </w:rPr>
              <w:t>Children or adolescents with long-term OME defined as a painless inflammation with effusion in the middle ear with impaired hearing for at least 3 months</w:t>
            </w:r>
          </w:p>
          <w:p w:rsidR="00F13B54" w:rsidRPr="000400FA" w:rsidRDefault="00F13B54" w:rsidP="00A26C1C">
            <w:pPr>
              <w:pStyle w:val="TableText"/>
            </w:pPr>
          </w:p>
        </w:tc>
      </w:tr>
    </w:tbl>
    <w:p w:rsidR="00F13B54" w:rsidRDefault="00F13B54" w:rsidP="00F13B54">
      <w:pPr>
        <w:pStyle w:val="TableTitle"/>
      </w:pPr>
    </w:p>
    <w:p w:rsidR="00F13B54" w:rsidRDefault="00F13B54" w:rsidP="00F13B54">
      <w:pPr>
        <w:pStyle w:val="TableTitle"/>
      </w:pPr>
      <w:r>
        <w:br w:type="page"/>
      </w:r>
      <w:r>
        <w:lastRenderedPageBreak/>
        <w:t>Evidence Table 11. Systematic reviews (continued)</w:t>
      </w:r>
    </w:p>
    <w:tbl>
      <w:tblPr>
        <w:tblW w:w="13083" w:type="dxa"/>
        <w:tblBorders>
          <w:top w:val="single" w:sz="12" w:space="0" w:color="auto"/>
          <w:bottom w:val="single" w:sz="12" w:space="0" w:color="auto"/>
          <w:insideH w:val="single" w:sz="8" w:space="0" w:color="auto"/>
        </w:tblBorders>
        <w:tblLayout w:type="fixed"/>
        <w:tblLook w:val="04A0"/>
      </w:tblPr>
      <w:tblGrid>
        <w:gridCol w:w="1545"/>
        <w:gridCol w:w="11538"/>
      </w:tblGrid>
      <w:tr w:rsidR="00F13B54" w:rsidRPr="006C22DB" w:rsidTr="00A26C1C">
        <w:tc>
          <w:tcPr>
            <w:tcW w:w="1545"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Author, Year </w:t>
            </w:r>
          </w:p>
          <w:p w:rsidR="00F13B54" w:rsidRPr="006C22DB" w:rsidRDefault="00F13B54" w:rsidP="00A26C1C">
            <w:pPr>
              <w:pStyle w:val="TableLeftText"/>
              <w:rPr>
                <w:rFonts w:eastAsia="Times New Roman" w:cs="Times New Roman"/>
                <w:b/>
                <w:bCs/>
              </w:rPr>
            </w:pPr>
            <w:r w:rsidRPr="006C22DB">
              <w:rPr>
                <w:rFonts w:eastAsia="Times New Roman" w:cs="Times New Roman"/>
                <w:b/>
                <w:bCs/>
              </w:rPr>
              <w:t>Country</w:t>
            </w:r>
          </w:p>
          <w:p w:rsidR="00F13B54" w:rsidRPr="006C22DB" w:rsidRDefault="00F13B54" w:rsidP="00A26C1C">
            <w:pPr>
              <w:pStyle w:val="TableLeftText"/>
              <w:rPr>
                <w:rFonts w:eastAsia="Times New Roman" w:cs="Times New Roman"/>
                <w:b/>
                <w:bCs/>
              </w:rPr>
            </w:pPr>
            <w:r w:rsidRPr="006C22DB">
              <w:rPr>
                <w:rFonts w:eastAsia="Times New Roman" w:cs="Times New Roman"/>
                <w:b/>
                <w:bCs/>
              </w:rPr>
              <w:t>Funding</w:t>
            </w:r>
          </w:p>
          <w:p w:rsidR="00F13B54" w:rsidRPr="006C22DB" w:rsidRDefault="00F13B54" w:rsidP="00A26C1C">
            <w:pPr>
              <w:pStyle w:val="TableLeftText"/>
              <w:rPr>
                <w:rFonts w:eastAsia="Times New Roman" w:cs="Times New Roman"/>
                <w:b/>
                <w:bCs/>
              </w:rPr>
            </w:pPr>
            <w:r w:rsidRPr="006C22DB">
              <w:rPr>
                <w:rFonts w:eastAsia="Times New Roman" w:cs="Times New Roman"/>
                <w:b/>
                <w:bCs/>
              </w:rPr>
              <w:t>Study Design</w:t>
            </w:r>
          </w:p>
        </w:tc>
        <w:tc>
          <w:tcPr>
            <w:tcW w:w="11538"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Abstraction Form </w:t>
            </w:r>
          </w:p>
        </w:tc>
      </w:tr>
      <w:tr w:rsidR="00F13B54" w:rsidRPr="006C22DB" w:rsidTr="00A26C1C">
        <w:trPr>
          <w:trHeight w:val="1200"/>
        </w:trPr>
        <w:tc>
          <w:tcPr>
            <w:tcW w:w="1545" w:type="dxa"/>
            <w:shd w:val="clear" w:color="auto" w:fill="auto"/>
          </w:tcPr>
          <w:p w:rsidR="00F13B54" w:rsidRPr="006C22DB" w:rsidRDefault="00F13B54" w:rsidP="00A26C1C">
            <w:pPr>
              <w:pStyle w:val="TableText"/>
              <w:rPr>
                <w:rFonts w:eastAsia="Times New Roman" w:cs="Times New Roman"/>
              </w:rPr>
            </w:pPr>
            <w:r w:rsidRPr="006C22DB">
              <w:rPr>
                <w:rFonts w:eastAsia="Times New Roman" w:cs="Times New Roman"/>
                <w:noProof/>
              </w:rPr>
              <w:t>Hellstrom</w:t>
            </w:r>
            <w:r w:rsidRPr="006C22DB">
              <w:rPr>
                <w:rFonts w:eastAsia="Times New Roman" w:cs="Times New Roman"/>
              </w:rPr>
              <w:t xml:space="preserve">, </w:t>
            </w:r>
            <w:r w:rsidRPr="006C22DB">
              <w:rPr>
                <w:rFonts w:eastAsia="Times New Roman" w:cs="Times New Roman"/>
                <w:noProof/>
              </w:rPr>
              <w:t>2011</w:t>
            </w:r>
            <w:r w:rsidRPr="001805C7">
              <w:rPr>
                <w:rFonts w:ascii="Times New Roman" w:eastAsia="Times New Roman" w:hAnsi="Times New Roman" w:cs="Times New Roman"/>
                <w:noProof/>
                <w:vertAlign w:val="superscript"/>
              </w:rPr>
              <w:t>12</w:t>
            </w:r>
          </w:p>
          <w:p w:rsidR="00F13B54" w:rsidRPr="006C22DB" w:rsidRDefault="00F13B54" w:rsidP="00A26C1C">
            <w:pPr>
              <w:pStyle w:val="TableText"/>
              <w:rPr>
                <w:rFonts w:eastAsia="Times New Roman" w:cs="Times New Roman"/>
                <w:noProof/>
              </w:rPr>
            </w:pPr>
            <w:r w:rsidRPr="006C22DB">
              <w:rPr>
                <w:rFonts w:eastAsia="Times New Roman" w:cs="Times New Roman"/>
                <w:noProof/>
              </w:rPr>
              <w:t>(continued)</w:t>
            </w:r>
          </w:p>
        </w:tc>
        <w:tc>
          <w:tcPr>
            <w:tcW w:w="11538" w:type="dxa"/>
            <w:shd w:val="clear" w:color="auto" w:fill="auto"/>
          </w:tcPr>
          <w:p w:rsidR="00F13B54" w:rsidRPr="006C22DB" w:rsidRDefault="00F13B54" w:rsidP="00A26C1C">
            <w:pPr>
              <w:pStyle w:val="TableBoldText"/>
              <w:rPr>
                <w:rFonts w:eastAsia="Times New Roman" w:cs="Times New Roman"/>
              </w:rPr>
            </w:pPr>
            <w:r w:rsidRPr="006C22DB">
              <w:rPr>
                <w:rFonts w:eastAsia="Times New Roman" w:cs="Times New Roman"/>
              </w:rPr>
              <w:t>Characteristics of Interventions</w:t>
            </w:r>
          </w:p>
          <w:p w:rsidR="00F13B54" w:rsidRPr="006C22DB" w:rsidRDefault="00F13B54" w:rsidP="00A26C1C">
            <w:pPr>
              <w:pStyle w:val="TableText"/>
              <w:spacing w:after="120"/>
              <w:rPr>
                <w:rFonts w:eastAsia="Times New Roman" w:cs="Times New Roman"/>
                <w:noProof/>
              </w:rPr>
            </w:pPr>
            <w:r w:rsidRPr="006C22DB">
              <w:rPr>
                <w:rFonts w:eastAsia="Times New Roman" w:cs="Times New Roman"/>
                <w:noProof/>
              </w:rPr>
              <w:t>Interventions included trials of</w:t>
            </w:r>
            <w:r>
              <w:rPr>
                <w:rFonts w:eastAsia="Times New Roman" w:cs="Times New Roman"/>
                <w:noProof/>
              </w:rPr>
              <w:t>:</w:t>
            </w:r>
            <w:r w:rsidRPr="006C22DB">
              <w:rPr>
                <w:rFonts w:eastAsia="Times New Roman" w:cs="Times New Roman"/>
                <w:noProof/>
              </w:rPr>
              <w:t xml:space="preserve"> </w:t>
            </w:r>
          </w:p>
          <w:p w:rsidR="00F13B54" w:rsidRPr="00C24C9E" w:rsidRDefault="00F13B54" w:rsidP="00A26C1C">
            <w:pPr>
              <w:pStyle w:val="TableBullet"/>
              <w:ind w:left="255" w:hanging="255"/>
            </w:pPr>
            <w:r w:rsidRPr="00C24C9E">
              <w:t>Efficacy of tubes</w:t>
            </w:r>
            <w:r>
              <w:t xml:space="preserve"> vs. </w:t>
            </w:r>
            <w:r w:rsidRPr="00C24C9E">
              <w:t xml:space="preserve">watchful waiting (late tubes) or myringotomy on hearing, language development, and quality of life: Rovers 2000, Rovers 2001, Paradise, 2003; Maw 1999, Maw 1986; Maw 1994; Dempster 1993; Gates 1989; Wilks 2000 </w:t>
            </w:r>
          </w:p>
          <w:p w:rsidR="00F13B54" w:rsidRPr="00C24C9E" w:rsidRDefault="00F13B54" w:rsidP="00A26C1C">
            <w:pPr>
              <w:pStyle w:val="TableBullet"/>
              <w:ind w:left="255" w:hanging="255"/>
            </w:pPr>
            <w:r w:rsidRPr="00C24C9E">
              <w:t>Tube design effects on functioning and complications: Hampal 1991 (mini shah</w:t>
            </w:r>
            <w:r>
              <w:t xml:space="preserve"> vs. </w:t>
            </w:r>
            <w:r w:rsidRPr="00C24C9E">
              <w:t>Shah), Dingle 1993 (Mini Shah</w:t>
            </w:r>
            <w:r>
              <w:t xml:space="preserve"> vs. </w:t>
            </w:r>
            <w:r w:rsidRPr="00C24C9E">
              <w:t>Shah); Heaton 1991 (Shepard</w:t>
            </w:r>
            <w:r>
              <w:t xml:space="preserve"> vs. </w:t>
            </w:r>
            <w:r w:rsidRPr="00C24C9E">
              <w:t>Sheehy)</w:t>
            </w:r>
          </w:p>
          <w:p w:rsidR="00F13B54" w:rsidRPr="00C24C9E" w:rsidRDefault="00F13B54" w:rsidP="00A26C1C">
            <w:pPr>
              <w:pStyle w:val="TableBullet"/>
              <w:ind w:left="255" w:hanging="255"/>
            </w:pPr>
            <w:r w:rsidRPr="00C24C9E">
              <w:t>Tube routines for insertion effects on functioning and complications (all randomized ears):</w:t>
            </w:r>
            <w:r>
              <w:t xml:space="preserve"> </w:t>
            </w:r>
            <w:r w:rsidRPr="00C24C9E">
              <w:t>Heaton 1991 (anterior/inferior</w:t>
            </w:r>
            <w:r>
              <w:t xml:space="preserve"> vs. </w:t>
            </w:r>
            <w:r w:rsidRPr="00C24C9E">
              <w:t>posterior/inferior placement), Hern 1999 (anterior/superior</w:t>
            </w:r>
            <w:r>
              <w:t xml:space="preserve"> vs. </w:t>
            </w:r>
            <w:r w:rsidRPr="00C24C9E">
              <w:t>anterior/inferior placement), Hampton 1996 (anterior</w:t>
            </w:r>
            <w:r>
              <w:t xml:space="preserve"> vs. </w:t>
            </w:r>
            <w:r w:rsidRPr="00C24C9E">
              <w:t>posterior), Pearson 1996 (otic drops preop</w:t>
            </w:r>
            <w:r>
              <w:t xml:space="preserve"> vs. </w:t>
            </w:r>
            <w:r w:rsidRPr="00C24C9E">
              <w:t>no drops), Salam 1993 (otic drops preop</w:t>
            </w:r>
            <w:r>
              <w:t xml:space="preserve"> vs. </w:t>
            </w:r>
            <w:r w:rsidRPr="00C24C9E">
              <w:t>no drops), Youngs 1988 (aspiration</w:t>
            </w:r>
            <w:r>
              <w:t xml:space="preserve"> vs. </w:t>
            </w:r>
            <w:r w:rsidRPr="00C24C9E">
              <w:t>no aspiration), Kinsella 1994 (touch with surgeon gloves</w:t>
            </w:r>
            <w:r>
              <w:t xml:space="preserve"> vs. </w:t>
            </w:r>
            <w:r w:rsidRPr="00C24C9E">
              <w:t>non touch)</w:t>
            </w:r>
          </w:p>
          <w:p w:rsidR="00F13B54" w:rsidRPr="00C24C9E" w:rsidRDefault="00F13B54" w:rsidP="00A26C1C">
            <w:pPr>
              <w:pStyle w:val="TableBullet"/>
              <w:ind w:left="255" w:hanging="255"/>
            </w:pPr>
            <w:r w:rsidRPr="00C24C9E">
              <w:t>Prophylaxis and treatment of tube otorrhea (ears randomized): Salam 1993 (otitic drops</w:t>
            </w:r>
            <w:r>
              <w:t xml:space="preserve"> vs. </w:t>
            </w:r>
            <w:r w:rsidRPr="00C24C9E">
              <w:t>no drops)</w:t>
            </w:r>
          </w:p>
          <w:p w:rsidR="00F13B54" w:rsidRDefault="00F13B54" w:rsidP="00A26C1C">
            <w:pPr>
              <w:pStyle w:val="TableText"/>
            </w:pPr>
            <w:r w:rsidRPr="00C24C9E">
              <w:t xml:space="preserve">Complications and sequelae after tube insertion: </w:t>
            </w:r>
          </w:p>
          <w:p w:rsidR="00F13B54" w:rsidRDefault="00F13B54" w:rsidP="00A26C1C">
            <w:pPr>
              <w:pStyle w:val="TableBullet"/>
              <w:ind w:left="255" w:hanging="255"/>
            </w:pPr>
            <w:r w:rsidRPr="00C24C9E">
              <w:t>Gates 1989 (Tubes</w:t>
            </w:r>
            <w:r>
              <w:t xml:space="preserve"> vs. </w:t>
            </w:r>
            <w:r w:rsidRPr="00C24C9E">
              <w:t>myringotomy</w:t>
            </w:r>
            <w:r>
              <w:t xml:space="preserve"> vs. </w:t>
            </w:r>
            <w:r w:rsidRPr="00C24C9E">
              <w:t>adenoidectomy + tubes</w:t>
            </w:r>
            <w:r>
              <w:t xml:space="preserve"> vs. </w:t>
            </w:r>
            <w:r w:rsidRPr="00C24C9E">
              <w:t>adenoidectomy + myringotomy), Bonding 1985 (tubes right ear</w:t>
            </w:r>
            <w:r>
              <w:t xml:space="preserve"> vs. </w:t>
            </w:r>
            <w:r w:rsidRPr="00C24C9E">
              <w:t>myringotomy left ear), Lildholdt 1983 (tubes</w:t>
            </w:r>
            <w:r>
              <w:t xml:space="preserve"> vs. </w:t>
            </w:r>
            <w:r w:rsidRPr="00C24C9E">
              <w:t>control -ears randomized)., Mandel 1992 (tubes</w:t>
            </w:r>
            <w:r>
              <w:t xml:space="preserve"> vs. </w:t>
            </w:r>
            <w:r w:rsidRPr="00C24C9E">
              <w:t>myringotomy</w:t>
            </w:r>
            <w:r>
              <w:t xml:space="preserve"> vs. </w:t>
            </w:r>
            <w:r w:rsidRPr="00C24C9E">
              <w:t>no tx), Maw 1994 (tube</w:t>
            </w:r>
            <w:r>
              <w:t xml:space="preserve"> vs. </w:t>
            </w:r>
            <w:r w:rsidRPr="00C24C9E">
              <w:t>no tube - ears randomized)</w:t>
            </w:r>
          </w:p>
          <w:p w:rsidR="00F13B54" w:rsidRDefault="00F13B54" w:rsidP="00A26C1C">
            <w:pPr>
              <w:pStyle w:val="TableBoldText"/>
              <w:rPr>
                <w:rFonts w:eastAsia="Times New Roman" w:cs="Times New Roman"/>
              </w:rPr>
            </w:pPr>
          </w:p>
          <w:p w:rsidR="00F13B54" w:rsidRPr="006C22DB" w:rsidRDefault="00F13B54" w:rsidP="00A26C1C">
            <w:pPr>
              <w:pStyle w:val="TableBoldText"/>
              <w:rPr>
                <w:rFonts w:eastAsia="Times New Roman" w:cs="Times New Roman"/>
              </w:rPr>
            </w:pPr>
            <w:r w:rsidRPr="006C22DB">
              <w:rPr>
                <w:rFonts w:eastAsia="Times New Roman" w:cs="Times New Roman"/>
              </w:rPr>
              <w:t>Main Results</w:t>
            </w:r>
          </w:p>
          <w:p w:rsidR="00F13B54" w:rsidRPr="006C22DB" w:rsidRDefault="00F13B54" w:rsidP="00A26C1C">
            <w:pPr>
              <w:pStyle w:val="TableText"/>
              <w:spacing w:after="120"/>
              <w:rPr>
                <w:rFonts w:eastAsia="Times New Roman" w:cs="Times New Roman"/>
                <w:noProof/>
              </w:rPr>
            </w:pPr>
            <w:r w:rsidRPr="006C22DB">
              <w:rPr>
                <w:rFonts w:eastAsia="Times New Roman" w:cs="Times New Roman"/>
                <w:noProof/>
              </w:rPr>
              <w:t>For tubes v</w:t>
            </w:r>
            <w:r>
              <w:rPr>
                <w:rFonts w:eastAsia="Times New Roman" w:cs="Times New Roman"/>
                <w:noProof/>
              </w:rPr>
              <w:t>s</w:t>
            </w:r>
            <w:r w:rsidRPr="006C22DB">
              <w:rPr>
                <w:rFonts w:eastAsia="Times New Roman" w:cs="Times New Roman"/>
                <w:noProof/>
              </w:rPr>
              <w:t>. watchful waiting, outcomes in hearing and language devleopment were reported in the Browning review (same studies).</w:t>
            </w:r>
          </w:p>
          <w:p w:rsidR="00F13B54" w:rsidRPr="001805C7" w:rsidRDefault="00F13B54" w:rsidP="00A26C1C">
            <w:pPr>
              <w:pStyle w:val="TableBoldText"/>
              <w:rPr>
                <w:noProof/>
              </w:rPr>
            </w:pPr>
            <w:r w:rsidRPr="001805C7">
              <w:t>Behavior</w:t>
            </w:r>
            <w:r w:rsidRPr="001805C7">
              <w:rPr>
                <w:noProof/>
              </w:rPr>
              <w:t xml:space="preserve"> </w:t>
            </w:r>
          </w:p>
          <w:p w:rsidR="00F13B54" w:rsidRPr="00C24C9E" w:rsidRDefault="00F13B54" w:rsidP="00A26C1C">
            <w:pPr>
              <w:pStyle w:val="TableBullet"/>
              <w:ind w:left="255" w:hanging="255"/>
            </w:pPr>
            <w:r w:rsidRPr="00C24C9E">
              <w:t>1 study Richman Graham Behavioral Scale</w:t>
            </w:r>
          </w:p>
          <w:p w:rsidR="00F13B54" w:rsidRDefault="00F13B54" w:rsidP="00A26C1C">
            <w:pPr>
              <w:pStyle w:val="TableBullet"/>
              <w:ind w:left="255" w:hanging="255"/>
              <w:rPr>
                <w:bCs/>
              </w:rPr>
            </w:pPr>
            <w:r w:rsidRPr="006C22DB">
              <w:t xml:space="preserve">Richman Behavioral Scale % </w:t>
            </w:r>
            <w:r w:rsidRPr="007B147C">
              <w:t>with</w:t>
            </w:r>
            <w:r w:rsidRPr="006C22DB">
              <w:t xml:space="preserve"> Problems</w:t>
            </w:r>
            <w:r w:rsidRPr="00C24C9E">
              <w:t>9 mos: TT</w:t>
            </w:r>
            <w:r>
              <w:t xml:space="preserve"> vs. </w:t>
            </w:r>
            <w:r w:rsidRPr="00C24C9E">
              <w:t>WW 30% vs. 47% (95% CI, -33% to –2%) (</w:t>
            </w:r>
            <w:r>
              <w:t>p=</w:t>
            </w:r>
            <w:r w:rsidRPr="00C24C9E">
              <w:t>0.031) (favors tx)</w:t>
            </w:r>
          </w:p>
          <w:p w:rsidR="00F13B54" w:rsidRPr="00C24C9E" w:rsidRDefault="00F13B54" w:rsidP="00A26C1C">
            <w:pPr>
              <w:pStyle w:val="TableBullet"/>
              <w:ind w:left="255" w:hanging="255"/>
            </w:pPr>
            <w:r w:rsidRPr="00C24C9E">
              <w:t>18 mos: TT</w:t>
            </w:r>
            <w:r>
              <w:t xml:space="preserve"> vs. </w:t>
            </w:r>
            <w:r w:rsidRPr="00C24C9E">
              <w:t>WW 24%</w:t>
            </w:r>
            <w:r>
              <w:t xml:space="preserve"> vs. </w:t>
            </w:r>
            <w:r w:rsidRPr="00C24C9E">
              <w:t>20% (95% CI, -10%</w:t>
            </w:r>
            <w:r>
              <w:t xml:space="preserve"> </w:t>
            </w:r>
            <w:r w:rsidRPr="00C24C9E">
              <w:t>to 19%) (</w:t>
            </w:r>
            <w:r>
              <w:t>p=</w:t>
            </w:r>
            <w:r w:rsidRPr="00C24C9E">
              <w:t>0.66)</w:t>
            </w:r>
          </w:p>
          <w:p w:rsidR="00F13B54" w:rsidRPr="006C22DB" w:rsidRDefault="00F13B54" w:rsidP="00A26C1C">
            <w:pPr>
              <w:pStyle w:val="TableText"/>
              <w:rPr>
                <w:rFonts w:eastAsia="Times New Roman" w:cs="Times New Roman"/>
              </w:rPr>
            </w:pPr>
            <w:r w:rsidRPr="006C22DB">
              <w:rPr>
                <w:rFonts w:eastAsia="Times New Roman" w:cs="Times New Roman"/>
                <w:noProof/>
              </w:rPr>
              <w:t>Note: Outcomes varied as to whether they were collected during the treatment or after</w:t>
            </w:r>
          </w:p>
          <w:p w:rsidR="00F13B54" w:rsidRPr="006C22DB" w:rsidRDefault="00F13B54" w:rsidP="00A26C1C">
            <w:pPr>
              <w:pStyle w:val="TableBoldText"/>
              <w:rPr>
                <w:rFonts w:eastAsia="Times New Roman" w:cs="Times New Roman"/>
              </w:rPr>
            </w:pPr>
            <w:r w:rsidRPr="006C22DB">
              <w:rPr>
                <w:rFonts w:eastAsia="Times New Roman" w:cs="Times New Roman"/>
              </w:rPr>
              <w:t>Adverse Events</w:t>
            </w:r>
          </w:p>
          <w:p w:rsidR="00F13B54" w:rsidRPr="006C22DB" w:rsidRDefault="00F13B54" w:rsidP="00A26C1C">
            <w:pPr>
              <w:pStyle w:val="TableText"/>
              <w:spacing w:after="120"/>
              <w:rPr>
                <w:rFonts w:eastAsia="Times New Roman" w:cs="Times New Roman"/>
                <w:noProof/>
              </w:rPr>
            </w:pPr>
            <w:r w:rsidRPr="006C22DB">
              <w:rPr>
                <w:rFonts w:eastAsia="Times New Roman" w:cs="Times New Roman"/>
                <w:noProof/>
              </w:rPr>
              <w:t>Tubes</w:t>
            </w:r>
            <w:r>
              <w:rPr>
                <w:rFonts w:eastAsia="Times New Roman" w:cs="Times New Roman"/>
                <w:noProof/>
              </w:rPr>
              <w:t xml:space="preserve"> vs. </w:t>
            </w:r>
            <w:r w:rsidRPr="006C22DB">
              <w:rPr>
                <w:rFonts w:eastAsia="Times New Roman" w:cs="Times New Roman"/>
                <w:noProof/>
              </w:rPr>
              <w:t>myringotomy or combination treatment, antibiotics, or watchful waiting/control</w:t>
            </w:r>
          </w:p>
          <w:p w:rsidR="00F13B54" w:rsidRPr="006C22DB" w:rsidRDefault="00F13B54" w:rsidP="00A26C1C">
            <w:pPr>
              <w:pStyle w:val="TableText"/>
              <w:rPr>
                <w:rFonts w:eastAsia="Times New Roman" w:cs="Times New Roman"/>
                <w:noProof/>
              </w:rPr>
            </w:pPr>
            <w:r w:rsidRPr="006C22DB">
              <w:rPr>
                <w:rFonts w:eastAsia="Times New Roman" w:cs="Times New Roman"/>
                <w:noProof/>
              </w:rPr>
              <w:t>Perforation</w:t>
            </w:r>
          </w:p>
          <w:p w:rsidR="00F13B54" w:rsidRPr="00C24C9E" w:rsidRDefault="00F13B54" w:rsidP="00A26C1C">
            <w:pPr>
              <w:pStyle w:val="TableBullet"/>
              <w:ind w:left="255" w:hanging="255"/>
            </w:pPr>
            <w:r w:rsidRPr="00C24C9E">
              <w:t>Gates 1989</w:t>
            </w:r>
            <w:r>
              <w:t xml:space="preserve"> </w:t>
            </w:r>
            <w:r w:rsidRPr="00C24C9E">
              <w:t>-</w:t>
            </w:r>
            <w:r>
              <w:t xml:space="preserve"> </w:t>
            </w:r>
            <w:r w:rsidRPr="00C24C9E">
              <w:t>Tubes -2.4%</w:t>
            </w:r>
            <w:r>
              <w:t xml:space="preserve"> </w:t>
            </w:r>
            <w:r w:rsidRPr="00C24C9E">
              <w:t>v</w:t>
            </w:r>
            <w:r>
              <w:t>s</w:t>
            </w:r>
            <w:r w:rsidRPr="00C24C9E">
              <w:t>. myringotomy - 3% v</w:t>
            </w:r>
            <w:r>
              <w:t>s</w:t>
            </w:r>
            <w:r w:rsidRPr="00C24C9E">
              <w:t>. adenoidectomy</w:t>
            </w:r>
            <w:r>
              <w:t xml:space="preserve"> </w:t>
            </w:r>
            <w:r w:rsidRPr="00C24C9E">
              <w:t>+ tubes</w:t>
            </w:r>
            <w:r>
              <w:t xml:space="preserve"> </w:t>
            </w:r>
            <w:r w:rsidRPr="00C24C9E">
              <w:t>- 0% v</w:t>
            </w:r>
            <w:r>
              <w:t>s</w:t>
            </w:r>
            <w:r w:rsidRPr="00C24C9E">
              <w:t>. adenoidectomy + myringotomy - 0 every 6 weeks for 2 years (no statistical test done)</w:t>
            </w:r>
          </w:p>
          <w:p w:rsidR="00F13B54" w:rsidRPr="00C24C9E" w:rsidRDefault="00F13B54" w:rsidP="00A26C1C">
            <w:pPr>
              <w:pStyle w:val="TableBullet"/>
              <w:ind w:left="255" w:hanging="255"/>
            </w:pPr>
            <w:r w:rsidRPr="00C24C9E">
              <w:t>Mandel 1992 - tubes v</w:t>
            </w:r>
            <w:r>
              <w:t>s</w:t>
            </w:r>
            <w:r w:rsidRPr="00C24C9E">
              <w:t>. myringotomy v</w:t>
            </w:r>
            <w:r>
              <w:t>s</w:t>
            </w:r>
            <w:r w:rsidRPr="00C24C9E">
              <w:t>. control monthly for 3 years - tubes 5.6%</w:t>
            </w:r>
          </w:p>
          <w:p w:rsidR="00F13B54" w:rsidRPr="006C22DB" w:rsidRDefault="00F13B54" w:rsidP="00A26C1C">
            <w:pPr>
              <w:pStyle w:val="TableText"/>
              <w:rPr>
                <w:rFonts w:eastAsia="Times New Roman" w:cs="Times New Roman"/>
                <w:noProof/>
              </w:rPr>
            </w:pPr>
            <w:r w:rsidRPr="006C22DB">
              <w:rPr>
                <w:rFonts w:eastAsia="Times New Roman" w:cs="Times New Roman"/>
                <w:noProof/>
              </w:rPr>
              <w:t xml:space="preserve">Atrophy </w:t>
            </w:r>
          </w:p>
          <w:p w:rsidR="00F13B54" w:rsidRPr="00C24C9E" w:rsidRDefault="00F13B54" w:rsidP="00A26C1C">
            <w:pPr>
              <w:pStyle w:val="TableBullet"/>
              <w:ind w:left="255" w:hanging="255"/>
            </w:pPr>
            <w:r w:rsidRPr="00C24C9E">
              <w:t>Bonding 1985 tubes v</w:t>
            </w:r>
            <w:r>
              <w:t>s</w:t>
            </w:r>
            <w:r w:rsidRPr="00C24C9E">
              <w:t>. myringotomy 1-3 years, n.s.</w:t>
            </w:r>
          </w:p>
          <w:p w:rsidR="00F13B54" w:rsidRPr="00C24C9E" w:rsidRDefault="00F13B54" w:rsidP="00A26C1C">
            <w:pPr>
              <w:pStyle w:val="TableBullet"/>
              <w:ind w:left="255" w:hanging="255"/>
            </w:pPr>
            <w:r w:rsidRPr="00C24C9E">
              <w:t>Lildhold</w:t>
            </w:r>
            <w:r>
              <w:t>t</w:t>
            </w:r>
            <w:r w:rsidRPr="00C24C9E">
              <w:t xml:space="preserve"> 1983 - tubes worse than control every 3-6 mos. for 5 yrs. 13% v</w:t>
            </w:r>
            <w:r>
              <w:t>s</w:t>
            </w:r>
            <w:r w:rsidRPr="00C24C9E">
              <w:t>. 1.3%</w:t>
            </w:r>
          </w:p>
          <w:p w:rsidR="00F13B54" w:rsidRPr="00F64107" w:rsidRDefault="00F13B54" w:rsidP="00A26C1C">
            <w:pPr>
              <w:pStyle w:val="TableBullet"/>
              <w:ind w:left="255" w:hanging="255"/>
            </w:pPr>
            <w:r w:rsidRPr="00C24C9E">
              <w:t>Maw 1994 tubes worse than control 5 years RR 80%, 10 years RR 80%</w:t>
            </w:r>
          </w:p>
        </w:tc>
      </w:tr>
    </w:tbl>
    <w:p w:rsidR="00F13B54" w:rsidRDefault="00F13B54" w:rsidP="00F13B54">
      <w:pPr>
        <w:pStyle w:val="TableTitle"/>
      </w:pPr>
    </w:p>
    <w:p w:rsidR="00F13B54" w:rsidRDefault="00F13B54" w:rsidP="00F13B54">
      <w:pPr>
        <w:pStyle w:val="TableTitle"/>
      </w:pPr>
      <w:r>
        <w:br w:type="page"/>
      </w:r>
      <w:r>
        <w:lastRenderedPageBreak/>
        <w:t>Evidence Table 11. Systematic reviews (continued)</w:t>
      </w:r>
    </w:p>
    <w:tbl>
      <w:tblPr>
        <w:tblW w:w="13083" w:type="dxa"/>
        <w:tblBorders>
          <w:top w:val="single" w:sz="12" w:space="0" w:color="auto"/>
          <w:bottom w:val="single" w:sz="12" w:space="0" w:color="auto"/>
          <w:insideH w:val="single" w:sz="8" w:space="0" w:color="auto"/>
        </w:tblBorders>
        <w:tblLayout w:type="fixed"/>
        <w:tblLook w:val="04A0"/>
      </w:tblPr>
      <w:tblGrid>
        <w:gridCol w:w="1545"/>
        <w:gridCol w:w="11538"/>
      </w:tblGrid>
      <w:tr w:rsidR="00F13B54" w:rsidRPr="006C22DB" w:rsidTr="00A26C1C">
        <w:tc>
          <w:tcPr>
            <w:tcW w:w="1545"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Author, Year </w:t>
            </w:r>
          </w:p>
          <w:p w:rsidR="00F13B54" w:rsidRPr="006C22DB" w:rsidRDefault="00F13B54" w:rsidP="00A26C1C">
            <w:pPr>
              <w:pStyle w:val="TableLeftText"/>
              <w:rPr>
                <w:rFonts w:eastAsia="Times New Roman" w:cs="Times New Roman"/>
                <w:b/>
                <w:bCs/>
              </w:rPr>
            </w:pPr>
            <w:r w:rsidRPr="006C22DB">
              <w:rPr>
                <w:rFonts w:eastAsia="Times New Roman" w:cs="Times New Roman"/>
                <w:b/>
                <w:bCs/>
              </w:rPr>
              <w:t>Country</w:t>
            </w:r>
          </w:p>
          <w:p w:rsidR="00F13B54" w:rsidRPr="006C22DB" w:rsidRDefault="00F13B54" w:rsidP="00A26C1C">
            <w:pPr>
              <w:pStyle w:val="TableLeftText"/>
              <w:rPr>
                <w:rFonts w:eastAsia="Times New Roman" w:cs="Times New Roman"/>
                <w:b/>
                <w:bCs/>
              </w:rPr>
            </w:pPr>
            <w:r w:rsidRPr="006C22DB">
              <w:rPr>
                <w:rFonts w:eastAsia="Times New Roman" w:cs="Times New Roman"/>
                <w:b/>
                <w:bCs/>
              </w:rPr>
              <w:t>Funding</w:t>
            </w:r>
          </w:p>
          <w:p w:rsidR="00F13B54" w:rsidRPr="006C22DB" w:rsidRDefault="00F13B54" w:rsidP="00A26C1C">
            <w:pPr>
              <w:pStyle w:val="TableLeftText"/>
              <w:rPr>
                <w:rFonts w:eastAsia="Times New Roman" w:cs="Times New Roman"/>
                <w:b/>
                <w:bCs/>
              </w:rPr>
            </w:pPr>
            <w:r w:rsidRPr="006C22DB">
              <w:rPr>
                <w:rFonts w:eastAsia="Times New Roman" w:cs="Times New Roman"/>
                <w:b/>
                <w:bCs/>
              </w:rPr>
              <w:t>Study Design</w:t>
            </w:r>
          </w:p>
        </w:tc>
        <w:tc>
          <w:tcPr>
            <w:tcW w:w="11538"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Abstraction Form </w:t>
            </w:r>
          </w:p>
        </w:tc>
      </w:tr>
      <w:tr w:rsidR="00F13B54" w:rsidRPr="006C22DB" w:rsidTr="00A26C1C">
        <w:trPr>
          <w:trHeight w:val="1200"/>
        </w:trPr>
        <w:tc>
          <w:tcPr>
            <w:tcW w:w="1545" w:type="dxa"/>
            <w:shd w:val="clear" w:color="auto" w:fill="auto"/>
          </w:tcPr>
          <w:p w:rsidR="00F13B54" w:rsidRPr="006C22DB" w:rsidRDefault="00F13B54" w:rsidP="00A26C1C">
            <w:pPr>
              <w:pStyle w:val="TableText"/>
              <w:rPr>
                <w:rFonts w:eastAsia="Times New Roman" w:cs="Times New Roman"/>
              </w:rPr>
            </w:pPr>
            <w:r w:rsidRPr="006C22DB">
              <w:rPr>
                <w:rFonts w:eastAsia="Times New Roman" w:cs="Times New Roman"/>
                <w:noProof/>
              </w:rPr>
              <w:t>Hellstrom</w:t>
            </w:r>
            <w:r w:rsidRPr="006C22DB">
              <w:rPr>
                <w:rFonts w:eastAsia="Times New Roman" w:cs="Times New Roman"/>
              </w:rPr>
              <w:t xml:space="preserve">, </w:t>
            </w:r>
            <w:r w:rsidRPr="006C22DB">
              <w:rPr>
                <w:rFonts w:eastAsia="Times New Roman" w:cs="Times New Roman"/>
                <w:noProof/>
              </w:rPr>
              <w:t>2011</w:t>
            </w:r>
            <w:r w:rsidRPr="001805C7">
              <w:rPr>
                <w:rFonts w:ascii="Times New Roman" w:eastAsia="Times New Roman" w:hAnsi="Times New Roman" w:cs="Times New Roman"/>
                <w:noProof/>
                <w:vertAlign w:val="superscript"/>
              </w:rPr>
              <w:t>12</w:t>
            </w:r>
          </w:p>
          <w:p w:rsidR="00F13B54" w:rsidRPr="006C22DB" w:rsidRDefault="00F13B54" w:rsidP="00A26C1C">
            <w:pPr>
              <w:pStyle w:val="TableText"/>
              <w:rPr>
                <w:rFonts w:eastAsia="Times New Roman" w:cs="Times New Roman"/>
                <w:noProof/>
              </w:rPr>
            </w:pPr>
            <w:r w:rsidRPr="006C22DB">
              <w:rPr>
                <w:rFonts w:eastAsia="Times New Roman" w:cs="Times New Roman"/>
                <w:noProof/>
              </w:rPr>
              <w:t>(continued)</w:t>
            </w:r>
          </w:p>
        </w:tc>
        <w:tc>
          <w:tcPr>
            <w:tcW w:w="11538" w:type="dxa"/>
            <w:shd w:val="clear" w:color="auto" w:fill="auto"/>
          </w:tcPr>
          <w:p w:rsidR="00F13B54" w:rsidRPr="006C22DB" w:rsidRDefault="00F13B54" w:rsidP="00A26C1C">
            <w:pPr>
              <w:pStyle w:val="TableText"/>
              <w:rPr>
                <w:rFonts w:eastAsia="Times New Roman" w:cs="Times New Roman"/>
                <w:noProof/>
              </w:rPr>
            </w:pPr>
            <w:r w:rsidRPr="006C22DB">
              <w:rPr>
                <w:rFonts w:eastAsia="Times New Roman" w:cs="Times New Roman"/>
                <w:noProof/>
              </w:rPr>
              <w:t>Myringosclerosis</w:t>
            </w:r>
          </w:p>
          <w:p w:rsidR="00F13B54" w:rsidRPr="00C24C9E" w:rsidRDefault="00F13B54" w:rsidP="00A26C1C">
            <w:pPr>
              <w:pStyle w:val="TableBullet"/>
              <w:ind w:left="255" w:hanging="255"/>
            </w:pPr>
            <w:r w:rsidRPr="00C24C9E">
              <w:t>Bonding 1985 - tubes</w:t>
            </w:r>
            <w:r>
              <w:t xml:space="preserve"> worse than myringotomy 1-3 yrs p&lt;.001</w:t>
            </w:r>
          </w:p>
          <w:p w:rsidR="00F13B54" w:rsidRPr="00C24C9E" w:rsidRDefault="00F13B54" w:rsidP="00A26C1C">
            <w:pPr>
              <w:pStyle w:val="TableBullet"/>
              <w:ind w:left="255" w:hanging="255"/>
            </w:pPr>
            <w:r w:rsidRPr="00C24C9E">
              <w:t>Lildholdt 1983 - tubes worse than c</w:t>
            </w:r>
            <w:r>
              <w:t>ontrol every 3-6 mos. for 5 yrs</w:t>
            </w:r>
            <w:r w:rsidRPr="00C24C9E">
              <w:t xml:space="preserve"> 33% vs. 6.7%</w:t>
            </w:r>
          </w:p>
          <w:p w:rsidR="00F13B54" w:rsidRPr="006C22DB" w:rsidRDefault="00F13B54" w:rsidP="00A26C1C">
            <w:pPr>
              <w:pStyle w:val="TableText"/>
              <w:rPr>
                <w:rFonts w:eastAsia="Times New Roman" w:cs="Times New Roman"/>
                <w:noProof/>
              </w:rPr>
            </w:pPr>
            <w:r w:rsidRPr="006C22DB">
              <w:rPr>
                <w:rFonts w:eastAsia="Times New Roman" w:cs="Times New Roman"/>
                <w:noProof/>
              </w:rPr>
              <w:t>Granulation</w:t>
            </w:r>
          </w:p>
          <w:p w:rsidR="00F13B54" w:rsidRPr="00C24C9E" w:rsidRDefault="00F13B54" w:rsidP="00A26C1C">
            <w:pPr>
              <w:pStyle w:val="TableBullet"/>
              <w:ind w:left="255" w:hanging="255"/>
            </w:pPr>
            <w:r w:rsidRPr="00C24C9E">
              <w:t xml:space="preserve">Lildholdt tubes worse than </w:t>
            </w:r>
            <w:r>
              <w:t>control every 3-6 mos for 5 yrs 4% vs.</w:t>
            </w:r>
            <w:r w:rsidRPr="00C24C9E">
              <w:t xml:space="preserve"> 0%</w:t>
            </w:r>
          </w:p>
          <w:p w:rsidR="00F13B54" w:rsidRPr="006C22DB" w:rsidRDefault="00F13B54" w:rsidP="00A26C1C">
            <w:pPr>
              <w:pStyle w:val="TableText"/>
              <w:rPr>
                <w:rFonts w:eastAsia="Times New Roman" w:cs="Times New Roman"/>
                <w:noProof/>
              </w:rPr>
            </w:pPr>
            <w:r w:rsidRPr="006C22DB">
              <w:rPr>
                <w:rFonts w:eastAsia="Times New Roman" w:cs="Times New Roman"/>
                <w:noProof/>
              </w:rPr>
              <w:t xml:space="preserve">Cholesteatoma </w:t>
            </w:r>
          </w:p>
          <w:p w:rsidR="00F13B54" w:rsidRPr="00C24C9E" w:rsidRDefault="00F13B54" w:rsidP="00A26C1C">
            <w:pPr>
              <w:pStyle w:val="TableBullet"/>
              <w:ind w:left="255" w:hanging="255"/>
            </w:pPr>
            <w:r w:rsidRPr="00C24C9E">
              <w:t>Mandel 1992 tubes v</w:t>
            </w:r>
            <w:r>
              <w:t>s</w:t>
            </w:r>
            <w:r w:rsidRPr="00C24C9E">
              <w:t>. myringotomy v</w:t>
            </w:r>
            <w:r>
              <w:t>s</w:t>
            </w:r>
            <w:r w:rsidRPr="00C24C9E">
              <w:t>. no surgery - monthly for 3 yrs</w:t>
            </w:r>
            <w:r>
              <w:t xml:space="preserve"> </w:t>
            </w:r>
            <w:r w:rsidRPr="00C24C9E">
              <w:t>no surgery 5%</w:t>
            </w:r>
          </w:p>
          <w:p w:rsidR="00F13B54" w:rsidRPr="006C22DB" w:rsidRDefault="00F13B54" w:rsidP="00A26C1C">
            <w:pPr>
              <w:pStyle w:val="TableText"/>
              <w:rPr>
                <w:rFonts w:eastAsia="Times New Roman" w:cs="Times New Roman"/>
                <w:noProof/>
              </w:rPr>
            </w:pPr>
            <w:r w:rsidRPr="006C22DB">
              <w:rPr>
                <w:rFonts w:eastAsia="Times New Roman" w:cs="Times New Roman"/>
                <w:noProof/>
              </w:rPr>
              <w:t>Other abnormalities</w:t>
            </w:r>
          </w:p>
          <w:p w:rsidR="00F13B54" w:rsidRPr="00C24C9E" w:rsidRDefault="00F13B54" w:rsidP="00A26C1C">
            <w:pPr>
              <w:pStyle w:val="TableBullet"/>
              <w:numPr>
                <w:ilvl w:val="0"/>
                <w:numId w:val="0"/>
              </w:numPr>
              <w:ind w:left="255"/>
            </w:pPr>
            <w:r w:rsidRPr="00C24C9E">
              <w:t xml:space="preserve">Tube design effects on functioning and complications: </w:t>
            </w:r>
          </w:p>
          <w:p w:rsidR="00F13B54" w:rsidRPr="00C24C9E" w:rsidRDefault="00F13B54" w:rsidP="00A26C1C">
            <w:pPr>
              <w:pStyle w:val="TableBullet"/>
              <w:ind w:left="255" w:hanging="255"/>
            </w:pPr>
            <w:r w:rsidRPr="00C24C9E">
              <w:t>Hampal 1991 - Shah better than mini Shah</w:t>
            </w:r>
            <w:r>
              <w:t xml:space="preserve"> </w:t>
            </w:r>
            <w:r w:rsidRPr="00C24C9E">
              <w:t>in situ</w:t>
            </w:r>
            <w:r>
              <w:t xml:space="preserve"> 52 wks p&lt;.001, reccurence of OME p&lt;.05</w:t>
            </w:r>
          </w:p>
          <w:p w:rsidR="00F13B54" w:rsidRPr="00C24C9E" w:rsidRDefault="00F13B54" w:rsidP="00A26C1C">
            <w:pPr>
              <w:pStyle w:val="TableBullet"/>
              <w:ind w:left="255" w:hanging="255"/>
            </w:pPr>
            <w:r w:rsidRPr="00C24C9E">
              <w:t>Dingle 1993 Mini Shah better tha</w:t>
            </w:r>
            <w:r>
              <w:t>n Shah tympanosclerosis 2 year p&lt;.001</w:t>
            </w:r>
          </w:p>
          <w:p w:rsidR="00F13B54" w:rsidRDefault="00F13B54" w:rsidP="00A26C1C">
            <w:pPr>
              <w:pStyle w:val="TableText"/>
              <w:rPr>
                <w:rFonts w:eastAsia="Times New Roman" w:cs="Times New Roman"/>
              </w:rPr>
            </w:pPr>
            <w:r w:rsidRPr="00C24C9E">
              <w:t>Heaton 1991 - Sheehy better than Shephard</w:t>
            </w:r>
            <w:r>
              <w:t xml:space="preserve"> for retention time 15-36 mos p&lt;.0001</w:t>
            </w:r>
            <w:r w:rsidRPr="00C24C9E">
              <w:t>,</w:t>
            </w:r>
            <w:r>
              <w:t xml:space="preserve"> </w:t>
            </w:r>
            <w:r w:rsidRPr="00C24C9E">
              <w:t>complication rate 15-30 mos</w:t>
            </w:r>
            <w:r>
              <w:t xml:space="preserve"> p=NS</w:t>
            </w:r>
          </w:p>
          <w:p w:rsidR="00F13B54" w:rsidRDefault="00F13B54" w:rsidP="00A26C1C">
            <w:pPr>
              <w:pStyle w:val="TableText"/>
              <w:rPr>
                <w:rFonts w:eastAsia="Times New Roman" w:cs="Times New Roman"/>
              </w:rPr>
            </w:pPr>
          </w:p>
          <w:p w:rsidR="00F13B54" w:rsidRPr="006C22DB" w:rsidRDefault="00F13B54" w:rsidP="00A26C1C">
            <w:pPr>
              <w:pStyle w:val="TableText"/>
              <w:rPr>
                <w:rFonts w:eastAsia="Times New Roman" w:cs="Times New Roman"/>
              </w:rPr>
            </w:pPr>
            <w:r w:rsidRPr="006C22DB">
              <w:rPr>
                <w:rFonts w:eastAsia="Times New Roman" w:cs="Times New Roman"/>
              </w:rPr>
              <w:t xml:space="preserve">Tube routines for insertion effects on functioning and complications: </w:t>
            </w:r>
          </w:p>
          <w:p w:rsidR="00F13B54" w:rsidRPr="006C22DB" w:rsidRDefault="00F13B54" w:rsidP="00A26C1C">
            <w:pPr>
              <w:pStyle w:val="TableText"/>
              <w:rPr>
                <w:rFonts w:eastAsia="Times New Roman" w:cs="Times New Roman"/>
                <w:noProof/>
              </w:rPr>
            </w:pPr>
            <w:r w:rsidRPr="006C22DB">
              <w:rPr>
                <w:rFonts w:eastAsia="Times New Roman" w:cs="Times New Roman"/>
                <w:noProof/>
              </w:rPr>
              <w:t>Placement</w:t>
            </w:r>
          </w:p>
          <w:p w:rsidR="00F13B54" w:rsidRPr="00C24C9E" w:rsidRDefault="00F13B54" w:rsidP="00A26C1C">
            <w:pPr>
              <w:pStyle w:val="TableBullet"/>
              <w:ind w:left="255" w:hanging="255"/>
            </w:pPr>
            <w:r w:rsidRPr="00C24C9E">
              <w:t>Heaton 1991 - anterior/inferior better than</w:t>
            </w:r>
            <w:r>
              <w:t xml:space="preserve"> </w:t>
            </w:r>
            <w:r w:rsidRPr="00C24C9E">
              <w:t>posterior/inferior placement</w:t>
            </w:r>
            <w:r>
              <w:t xml:space="preserve"> function time 15-36 mos. p=.002</w:t>
            </w:r>
          </w:p>
          <w:p w:rsidR="00F13B54" w:rsidRPr="00C24C9E" w:rsidRDefault="00F13B54" w:rsidP="00A26C1C">
            <w:pPr>
              <w:pStyle w:val="TableBullet"/>
              <w:ind w:left="255" w:hanging="255"/>
            </w:pPr>
            <w:r w:rsidRPr="00C24C9E">
              <w:t xml:space="preserve">Hern 1999 - anterior/superior vs. anterior/inferior </w:t>
            </w:r>
            <w:r>
              <w:t>placement function time 26 mos p=NS</w:t>
            </w:r>
            <w:r w:rsidRPr="00C24C9E">
              <w:t>.</w:t>
            </w:r>
          </w:p>
          <w:p w:rsidR="00F13B54" w:rsidRPr="00C24C9E" w:rsidRDefault="00F13B54" w:rsidP="00A26C1C">
            <w:pPr>
              <w:pStyle w:val="TableBullet"/>
              <w:ind w:left="255" w:hanging="255"/>
            </w:pPr>
            <w:r w:rsidRPr="00C24C9E">
              <w:t>Hampton 1996 anterior vs.n posterior placement perfor</w:t>
            </w:r>
            <w:r>
              <w:t>ation rate 6 wks to 29 mos p=NS</w:t>
            </w:r>
          </w:p>
          <w:p w:rsidR="00F13B54" w:rsidRPr="006C22DB" w:rsidRDefault="00F13B54" w:rsidP="00A26C1C">
            <w:pPr>
              <w:pStyle w:val="TableText"/>
              <w:rPr>
                <w:rFonts w:eastAsia="Times New Roman" w:cs="Times New Roman"/>
                <w:noProof/>
              </w:rPr>
            </w:pPr>
            <w:r w:rsidRPr="006C22DB">
              <w:rPr>
                <w:rFonts w:eastAsia="Times New Roman" w:cs="Times New Roman"/>
                <w:noProof/>
              </w:rPr>
              <w:t>Drops</w:t>
            </w:r>
          </w:p>
          <w:p w:rsidR="00F13B54" w:rsidRPr="00C24C9E" w:rsidRDefault="00F13B54" w:rsidP="00A26C1C">
            <w:pPr>
              <w:pStyle w:val="TableBullet"/>
              <w:ind w:left="255" w:hanging="255"/>
            </w:pPr>
            <w:r w:rsidRPr="00C24C9E">
              <w:t>Pearson 1996 - otic drops preop vs. no dro</w:t>
            </w:r>
            <w:r>
              <w:t>ps tube patency rate 3 mos p=NS</w:t>
            </w:r>
          </w:p>
          <w:p w:rsidR="00F13B54" w:rsidRPr="00C24C9E" w:rsidRDefault="00F13B54" w:rsidP="00A26C1C">
            <w:pPr>
              <w:pStyle w:val="TableBullet"/>
              <w:ind w:left="255" w:hanging="255"/>
            </w:pPr>
            <w:r w:rsidRPr="00C24C9E">
              <w:t>Salam 1993 otic drops preop</w:t>
            </w:r>
            <w:r>
              <w:t xml:space="preserve"> vs. </w:t>
            </w:r>
            <w:r w:rsidRPr="00C24C9E">
              <w:t>no drops obstruction 2 w</w:t>
            </w:r>
            <w:r>
              <w:t>ks n.s., drops better otorrhea p&lt;.01</w:t>
            </w:r>
          </w:p>
          <w:p w:rsidR="00F13B54" w:rsidRPr="006C22DB" w:rsidRDefault="00F13B54" w:rsidP="00A26C1C">
            <w:pPr>
              <w:pStyle w:val="TableText"/>
              <w:rPr>
                <w:rFonts w:eastAsia="Times New Roman" w:cs="Times New Roman"/>
                <w:noProof/>
              </w:rPr>
            </w:pPr>
            <w:r w:rsidRPr="006C22DB">
              <w:rPr>
                <w:rFonts w:eastAsia="Times New Roman" w:cs="Times New Roman"/>
                <w:noProof/>
              </w:rPr>
              <w:t>Other</w:t>
            </w:r>
          </w:p>
          <w:p w:rsidR="00F13B54" w:rsidRPr="00C24C9E" w:rsidRDefault="00F13B54" w:rsidP="00A26C1C">
            <w:pPr>
              <w:pStyle w:val="TableBullet"/>
              <w:ind w:left="255" w:hanging="255"/>
            </w:pPr>
            <w:r w:rsidRPr="00C24C9E">
              <w:t>Youngs 1988 aspiration</w:t>
            </w:r>
            <w:r>
              <w:t xml:space="preserve"> vs. </w:t>
            </w:r>
            <w:r w:rsidRPr="00C24C9E">
              <w:t>no</w:t>
            </w:r>
            <w:r>
              <w:t xml:space="preserve"> aspiration patency 3 mos., p=NS</w:t>
            </w:r>
          </w:p>
          <w:p w:rsidR="00F13B54" w:rsidRPr="000400FA" w:rsidRDefault="00F13B54" w:rsidP="00A26C1C">
            <w:pPr>
              <w:pStyle w:val="TableBullet"/>
              <w:ind w:left="255" w:hanging="255"/>
            </w:pPr>
            <w:r w:rsidRPr="00C24C9E">
              <w:t>Kinsella 1994 - touch with surgeon gloves</w:t>
            </w:r>
            <w:r>
              <w:t xml:space="preserve"> vs. </w:t>
            </w:r>
            <w:r w:rsidRPr="00C24C9E">
              <w:t>n</w:t>
            </w:r>
            <w:r>
              <w:t>on touch otorrhea 7-10 days p=NS</w:t>
            </w:r>
          </w:p>
          <w:p w:rsidR="00F13B54" w:rsidRPr="006C22DB" w:rsidRDefault="00F13B54" w:rsidP="00A26C1C">
            <w:pPr>
              <w:pStyle w:val="TableBoldText"/>
              <w:rPr>
                <w:rFonts w:eastAsia="Times New Roman" w:cs="Times New Roman"/>
              </w:rPr>
            </w:pPr>
            <w:r w:rsidRPr="006C22DB">
              <w:rPr>
                <w:rFonts w:eastAsia="Times New Roman" w:cs="Times New Roman"/>
              </w:rPr>
              <w:t>Comments</w:t>
            </w:r>
          </w:p>
          <w:p w:rsidR="00F13B54" w:rsidRPr="00C24C9E" w:rsidRDefault="00F13B54" w:rsidP="00A26C1C">
            <w:pPr>
              <w:pStyle w:val="TableBullet"/>
              <w:ind w:left="255" w:hanging="255"/>
            </w:pPr>
            <w:r w:rsidRPr="00C24C9E">
              <w:t>Very difficult to ascertain what kind of statistical test was carried out and not all rates are listed</w:t>
            </w:r>
          </w:p>
          <w:p w:rsidR="00F13B54" w:rsidRPr="00F64107" w:rsidRDefault="00F13B54" w:rsidP="00A26C1C">
            <w:pPr>
              <w:pStyle w:val="TableBullet"/>
              <w:ind w:left="255" w:hanging="255"/>
            </w:pPr>
            <w:r w:rsidRPr="00C24C9E">
              <w:t>Can't use their conclusions for adverse events since they combined studies of rAOM along with OME</w:t>
            </w:r>
          </w:p>
        </w:tc>
      </w:tr>
    </w:tbl>
    <w:p w:rsidR="00F13B54" w:rsidRDefault="00F13B54" w:rsidP="00F13B54"/>
    <w:p w:rsidR="00F13B54" w:rsidRDefault="00F13B54" w:rsidP="00F13B54">
      <w:pPr>
        <w:pStyle w:val="TableTitle"/>
      </w:pPr>
      <w:r>
        <w:br w:type="page"/>
      </w:r>
      <w:r>
        <w:lastRenderedPageBreak/>
        <w:t>Evidence Table 11. Systematic reviews (continued)</w:t>
      </w:r>
    </w:p>
    <w:tbl>
      <w:tblPr>
        <w:tblW w:w="13083" w:type="dxa"/>
        <w:tblBorders>
          <w:top w:val="single" w:sz="12" w:space="0" w:color="auto"/>
          <w:bottom w:val="single" w:sz="12" w:space="0" w:color="auto"/>
          <w:insideH w:val="single" w:sz="8" w:space="0" w:color="auto"/>
        </w:tblBorders>
        <w:tblLayout w:type="fixed"/>
        <w:tblLook w:val="04A0"/>
      </w:tblPr>
      <w:tblGrid>
        <w:gridCol w:w="1545"/>
        <w:gridCol w:w="11538"/>
      </w:tblGrid>
      <w:tr w:rsidR="00F13B54" w:rsidRPr="006C22DB" w:rsidTr="00A26C1C">
        <w:tc>
          <w:tcPr>
            <w:tcW w:w="1545" w:type="dxa"/>
            <w:shd w:val="clear" w:color="auto" w:fill="auto"/>
            <w:vAlign w:val="bottom"/>
            <w:hideMark/>
          </w:tcPr>
          <w:p w:rsidR="00F13B54" w:rsidRPr="004E20CF" w:rsidRDefault="00F13B54" w:rsidP="00A26C1C">
            <w:pPr>
              <w:pStyle w:val="TableLeftText"/>
              <w:rPr>
                <w:rFonts w:eastAsia="Times New Roman"/>
                <w:b/>
                <w:bCs/>
              </w:rPr>
            </w:pPr>
            <w:r w:rsidRPr="004E20CF">
              <w:rPr>
                <w:rFonts w:eastAsia="Times New Roman"/>
                <w:b/>
                <w:bCs/>
              </w:rPr>
              <w:t xml:space="preserve">Author, Year </w:t>
            </w:r>
          </w:p>
          <w:p w:rsidR="00F13B54" w:rsidRPr="004E20CF" w:rsidRDefault="00F13B54" w:rsidP="00A26C1C">
            <w:pPr>
              <w:pStyle w:val="TableLeftText"/>
              <w:rPr>
                <w:rFonts w:eastAsia="Times New Roman"/>
                <w:b/>
                <w:bCs/>
              </w:rPr>
            </w:pPr>
            <w:r w:rsidRPr="004E20CF">
              <w:rPr>
                <w:rFonts w:eastAsia="Times New Roman"/>
                <w:b/>
                <w:bCs/>
              </w:rPr>
              <w:t>Country</w:t>
            </w:r>
          </w:p>
          <w:p w:rsidR="00F13B54" w:rsidRPr="004E20CF" w:rsidRDefault="00F13B54" w:rsidP="00A26C1C">
            <w:pPr>
              <w:pStyle w:val="TableLeftText"/>
              <w:rPr>
                <w:rFonts w:eastAsia="Times New Roman"/>
                <w:b/>
                <w:bCs/>
              </w:rPr>
            </w:pPr>
            <w:r w:rsidRPr="004E20CF">
              <w:rPr>
                <w:rFonts w:eastAsia="Times New Roman"/>
                <w:b/>
                <w:bCs/>
              </w:rPr>
              <w:t>Funding</w:t>
            </w:r>
          </w:p>
          <w:p w:rsidR="00F13B54" w:rsidRPr="004E20CF" w:rsidRDefault="00F13B54" w:rsidP="00A26C1C">
            <w:pPr>
              <w:pStyle w:val="TableLeftText"/>
              <w:rPr>
                <w:rFonts w:eastAsia="Times New Roman"/>
                <w:b/>
                <w:bCs/>
              </w:rPr>
            </w:pPr>
            <w:r w:rsidRPr="004E20CF">
              <w:rPr>
                <w:rFonts w:eastAsia="Times New Roman"/>
                <w:b/>
                <w:bCs/>
              </w:rPr>
              <w:t>Study Design</w:t>
            </w:r>
          </w:p>
        </w:tc>
        <w:tc>
          <w:tcPr>
            <w:tcW w:w="11538" w:type="dxa"/>
            <w:shd w:val="clear" w:color="auto" w:fill="auto"/>
            <w:vAlign w:val="bottom"/>
            <w:hideMark/>
          </w:tcPr>
          <w:p w:rsidR="00F13B54" w:rsidRPr="004E20CF" w:rsidRDefault="00F13B54" w:rsidP="00A26C1C">
            <w:pPr>
              <w:pStyle w:val="TableLeftText"/>
              <w:rPr>
                <w:rFonts w:eastAsia="Times New Roman"/>
                <w:b/>
                <w:bCs/>
              </w:rPr>
            </w:pPr>
            <w:r w:rsidRPr="004E20CF">
              <w:rPr>
                <w:rFonts w:eastAsia="Times New Roman"/>
                <w:b/>
                <w:bCs/>
              </w:rPr>
              <w:t xml:space="preserve">Abstraction Form </w:t>
            </w:r>
          </w:p>
        </w:tc>
      </w:tr>
      <w:tr w:rsidR="00F13B54" w:rsidRPr="006C22DB" w:rsidTr="00A26C1C">
        <w:tc>
          <w:tcPr>
            <w:tcW w:w="1545" w:type="dxa"/>
            <w:shd w:val="clear" w:color="auto" w:fill="auto"/>
          </w:tcPr>
          <w:p w:rsidR="00F13B54" w:rsidRPr="004E20CF" w:rsidRDefault="00F13B54" w:rsidP="00A26C1C">
            <w:pPr>
              <w:pStyle w:val="TableText"/>
              <w:rPr>
                <w:rFonts w:eastAsia="Times New Roman"/>
              </w:rPr>
            </w:pPr>
            <w:r w:rsidRPr="004E20CF">
              <w:rPr>
                <w:rFonts w:eastAsia="Times New Roman"/>
                <w:noProof/>
              </w:rPr>
              <w:t>Perera</w:t>
            </w:r>
            <w:r w:rsidRPr="004E20CF">
              <w:rPr>
                <w:rFonts w:eastAsia="Times New Roman"/>
              </w:rPr>
              <w:t xml:space="preserve"> et al., </w:t>
            </w:r>
            <w:r w:rsidRPr="004E20CF">
              <w:rPr>
                <w:rFonts w:eastAsia="Times New Roman"/>
                <w:noProof/>
              </w:rPr>
              <w:t>2009</w:t>
            </w:r>
            <w:r w:rsidRPr="004E20CF">
              <w:rPr>
                <w:rFonts w:ascii="Times New Roman" w:eastAsia="Times New Roman" w:hAnsi="Times New Roman"/>
                <w:noProof/>
                <w:vertAlign w:val="superscript"/>
              </w:rPr>
              <w:t>16</w:t>
            </w:r>
          </w:p>
          <w:p w:rsidR="00F13B54" w:rsidRPr="004E20CF" w:rsidRDefault="00F13B54" w:rsidP="00A26C1C">
            <w:pPr>
              <w:pStyle w:val="TableText"/>
              <w:rPr>
                <w:rFonts w:eastAsia="Times New Roman"/>
              </w:rPr>
            </w:pPr>
            <w:r w:rsidRPr="004E20CF">
              <w:rPr>
                <w:rFonts w:eastAsia="Times New Roman"/>
                <w:noProof/>
              </w:rPr>
              <w:t>University medical Center Oxford, UK</w:t>
            </w:r>
          </w:p>
          <w:p w:rsidR="00F13B54" w:rsidRPr="004E20CF" w:rsidRDefault="00F13B54" w:rsidP="00A26C1C">
            <w:pPr>
              <w:pStyle w:val="TableText"/>
              <w:rPr>
                <w:rFonts w:eastAsia="Times New Roman"/>
              </w:rPr>
            </w:pPr>
            <w:r w:rsidRPr="004E20CF">
              <w:rPr>
                <w:rFonts w:eastAsia="Times New Roman"/>
                <w:noProof/>
              </w:rPr>
              <w:t>Systematic Review</w:t>
            </w:r>
          </w:p>
        </w:tc>
        <w:tc>
          <w:tcPr>
            <w:tcW w:w="11538" w:type="dxa"/>
            <w:shd w:val="clear" w:color="auto" w:fill="auto"/>
          </w:tcPr>
          <w:p w:rsidR="00F13B54" w:rsidRPr="004E20CF" w:rsidRDefault="00F13B54" w:rsidP="00A26C1C">
            <w:pPr>
              <w:pStyle w:val="TableBoldText"/>
              <w:rPr>
                <w:rFonts w:eastAsia="Times New Roman"/>
              </w:rPr>
            </w:pPr>
            <w:r w:rsidRPr="004E20CF">
              <w:rPr>
                <w:rFonts w:eastAsia="Times New Roman"/>
              </w:rPr>
              <w:t>Number of Patients</w:t>
            </w:r>
          </w:p>
          <w:p w:rsidR="00F13B54" w:rsidRPr="004E20CF" w:rsidRDefault="00F13B54" w:rsidP="00A26C1C">
            <w:pPr>
              <w:pStyle w:val="TableText"/>
              <w:rPr>
                <w:rFonts w:eastAsia="Times New Roman"/>
              </w:rPr>
            </w:pPr>
            <w:r w:rsidRPr="004E20CF">
              <w:rPr>
                <w:rFonts w:eastAsia="Times New Roman"/>
                <w:noProof/>
              </w:rPr>
              <w:t>404 in 5 studies of children; 198 adults in 1 study. Total of 602 participants</w:t>
            </w:r>
          </w:p>
          <w:p w:rsidR="00F13B54" w:rsidRPr="004E20CF" w:rsidRDefault="00F13B54" w:rsidP="00A26C1C">
            <w:pPr>
              <w:pStyle w:val="TableBoldText"/>
              <w:rPr>
                <w:rFonts w:eastAsia="Times New Roman"/>
              </w:rPr>
            </w:pPr>
            <w:r w:rsidRPr="004E20CF">
              <w:rPr>
                <w:rFonts w:eastAsia="Times New Roman"/>
              </w:rPr>
              <w:t>Aims of Review</w:t>
            </w:r>
          </w:p>
          <w:p w:rsidR="00F13B54" w:rsidRPr="004E20CF" w:rsidRDefault="00F13B54" w:rsidP="00A26C1C">
            <w:pPr>
              <w:pStyle w:val="TableText"/>
              <w:rPr>
                <w:rFonts w:eastAsia="Times New Roman"/>
                <w:bCs/>
              </w:rPr>
            </w:pPr>
            <w:r w:rsidRPr="004E20CF">
              <w:rPr>
                <w:rFonts w:eastAsia="Times New Roman"/>
                <w:bCs/>
                <w:noProof/>
              </w:rPr>
              <w:t>To determine the effects of autoinflation in adults an children with OME.</w:t>
            </w:r>
          </w:p>
          <w:p w:rsidR="00F13B54" w:rsidRPr="004E20CF" w:rsidRDefault="00F13B54" w:rsidP="00A26C1C">
            <w:pPr>
              <w:pStyle w:val="TableBoldText"/>
              <w:rPr>
                <w:rFonts w:eastAsia="Times New Roman"/>
              </w:rPr>
            </w:pPr>
            <w:r w:rsidRPr="004E20CF">
              <w:rPr>
                <w:rFonts w:eastAsia="Times New Roman"/>
              </w:rPr>
              <w:t>Studies Included in Analysis or Review</w:t>
            </w:r>
          </w:p>
          <w:p w:rsidR="00F13B54" w:rsidRPr="004E20CF" w:rsidRDefault="00F13B54" w:rsidP="00A26C1C">
            <w:pPr>
              <w:pStyle w:val="TableText"/>
              <w:rPr>
                <w:rFonts w:eastAsia="Times New Roman"/>
              </w:rPr>
            </w:pPr>
            <w:r w:rsidRPr="004E20CF">
              <w:rPr>
                <w:rFonts w:eastAsia="Times New Roman"/>
                <w:noProof/>
              </w:rPr>
              <w:t>6, 5 of which were for children and 1 of adults. Children: Brooker 1992; Stangerup 1992; Blanshard 1993; Fraser 1977; Arick 2005. Adults: Lesinskas 2003</w:t>
            </w:r>
          </w:p>
          <w:p w:rsidR="00F13B54" w:rsidRPr="004E20CF" w:rsidRDefault="00F13B54" w:rsidP="00A26C1C">
            <w:pPr>
              <w:pStyle w:val="TableBoldText"/>
              <w:rPr>
                <w:rFonts w:eastAsia="Times New Roman"/>
              </w:rPr>
            </w:pPr>
            <w:r w:rsidRPr="004E20CF">
              <w:rPr>
                <w:rFonts w:eastAsia="Times New Roman"/>
              </w:rPr>
              <w:t>Characteristics of Included Studies</w:t>
            </w:r>
          </w:p>
          <w:p w:rsidR="00F13B54" w:rsidRPr="004E20CF" w:rsidRDefault="00F13B54" w:rsidP="00A26C1C">
            <w:pPr>
              <w:pStyle w:val="TableText"/>
              <w:rPr>
                <w:rFonts w:eastAsia="Times New Roman"/>
                <w:noProof/>
              </w:rPr>
            </w:pPr>
            <w:r w:rsidRPr="004E20CF">
              <w:rPr>
                <w:rFonts w:eastAsia="Times New Roman"/>
                <w:noProof/>
              </w:rPr>
              <w:t xml:space="preserve">RCTs. (excluding </w:t>
            </w:r>
            <w:r w:rsidRPr="004E20CF">
              <w:rPr>
                <w:rFonts w:eastAsia="Times New Roman"/>
              </w:rPr>
              <w:t>any</w:t>
            </w:r>
            <w:r w:rsidRPr="004E20CF">
              <w:rPr>
                <w:rFonts w:eastAsia="Times New Roman"/>
                <w:noProof/>
              </w:rPr>
              <w:t xml:space="preserve"> form of quasi-experimental trials)</w:t>
            </w:r>
          </w:p>
          <w:p w:rsidR="00F13B54" w:rsidRPr="00C24C9E" w:rsidRDefault="00F13B54" w:rsidP="00A26C1C">
            <w:pPr>
              <w:pStyle w:val="TableBulletBlank"/>
            </w:pPr>
            <w:r w:rsidRPr="00C24C9E">
              <w:t>1. Any form of autoinflation</w:t>
            </w:r>
            <w:r>
              <w:t xml:space="preserve"> vs. </w:t>
            </w:r>
            <w:r w:rsidRPr="00C24C9E">
              <w:t xml:space="preserve">no autoinflation; other treatments (e.g., analgesics, antiobiotics, decongestants) were permitted as long as given equally to the two groups. </w:t>
            </w:r>
          </w:p>
          <w:p w:rsidR="00F13B54" w:rsidRDefault="00F13B54" w:rsidP="00A26C1C">
            <w:pPr>
              <w:pStyle w:val="TableBulletBlank"/>
            </w:pPr>
            <w:r>
              <w:t>2</w:t>
            </w:r>
            <w:r w:rsidRPr="00C24C9E">
              <w:t>. Comparison could not include another OME treatment</w:t>
            </w:r>
          </w:p>
          <w:p w:rsidR="00F13B54" w:rsidRPr="004E20CF" w:rsidRDefault="00F13B54" w:rsidP="00A26C1C">
            <w:pPr>
              <w:pStyle w:val="TableBoldText"/>
              <w:rPr>
                <w:rFonts w:eastAsia="Times New Roman"/>
              </w:rPr>
            </w:pPr>
            <w:r w:rsidRPr="004E20CF">
              <w:rPr>
                <w:rFonts w:eastAsia="Times New Roman"/>
              </w:rPr>
              <w:t>Criteria for diagnosing OME:</w:t>
            </w:r>
          </w:p>
          <w:p w:rsidR="00F13B54" w:rsidRDefault="00F13B54" w:rsidP="00A26C1C">
            <w:pPr>
              <w:pStyle w:val="TableBulletBlank"/>
            </w:pPr>
            <w:r w:rsidRPr="00C24C9E">
              <w:t>OME diagnosis needed to include tympanometery</w:t>
            </w:r>
          </w:p>
          <w:p w:rsidR="00F13B54" w:rsidRPr="004E20CF" w:rsidRDefault="00F13B54" w:rsidP="00A26C1C">
            <w:pPr>
              <w:pStyle w:val="TableBoldText"/>
              <w:rPr>
                <w:rFonts w:eastAsia="Times New Roman"/>
              </w:rPr>
            </w:pPr>
            <w:r w:rsidRPr="004E20CF">
              <w:rPr>
                <w:rFonts w:eastAsia="Times New Roman"/>
              </w:rPr>
              <w:t>Setting(s):</w:t>
            </w:r>
          </w:p>
          <w:p w:rsidR="00F13B54" w:rsidRPr="004E20CF" w:rsidRDefault="00F13B54" w:rsidP="00A26C1C">
            <w:pPr>
              <w:pStyle w:val="TableBoldText"/>
              <w:rPr>
                <w:rFonts w:eastAsia="Times New Roman"/>
              </w:rPr>
            </w:pPr>
            <w:r w:rsidRPr="004E20CF">
              <w:rPr>
                <w:rFonts w:eastAsia="Times New Roman"/>
              </w:rPr>
              <w:t>Characteristics of Included Populations</w:t>
            </w:r>
          </w:p>
          <w:p w:rsidR="00F13B54" w:rsidRPr="00C24C9E" w:rsidRDefault="00F13B54" w:rsidP="00A26C1C">
            <w:pPr>
              <w:pStyle w:val="TableBullet"/>
              <w:ind w:left="450"/>
            </w:pPr>
            <w:r w:rsidRPr="00C24C9E">
              <w:t xml:space="preserve">Children and adults with unilateral or bilateral OME and a clinical diagnosis by a primary care physician or specialist using tympanomerty including: </w:t>
            </w:r>
          </w:p>
          <w:p w:rsidR="00F13B54" w:rsidRPr="00C24C9E" w:rsidRDefault="00F13B54" w:rsidP="00A26C1C">
            <w:pPr>
              <w:pStyle w:val="TableBullet"/>
              <w:ind w:left="450"/>
            </w:pPr>
            <w:r w:rsidRPr="00C24C9E">
              <w:t xml:space="preserve">Arick (2005): 94 children age 4-11 at least 2 month history of MEE and associated hearing loss; absence of enlarged adenoids, </w:t>
            </w:r>
            <w:r>
              <w:t>AOM</w:t>
            </w:r>
            <w:r w:rsidRPr="00C24C9E">
              <w:t xml:space="preserve"> or other ear abnormalities at pretest.</w:t>
            </w:r>
          </w:p>
          <w:p w:rsidR="00F13B54" w:rsidRPr="00C24C9E" w:rsidRDefault="00F13B54" w:rsidP="00A26C1C">
            <w:pPr>
              <w:pStyle w:val="TableBullet"/>
              <w:ind w:left="450"/>
            </w:pPr>
            <w:r w:rsidRPr="00C24C9E">
              <w:t>Blanshard (1993): 85 children aged 3-10 with bilateral OME using tympanometry on waiting list for tubes.</w:t>
            </w:r>
          </w:p>
          <w:p w:rsidR="00F13B54" w:rsidRPr="00C24C9E" w:rsidRDefault="00F13B54" w:rsidP="00A26C1C">
            <w:pPr>
              <w:pStyle w:val="TableBullet"/>
              <w:ind w:left="450"/>
            </w:pPr>
            <w:r w:rsidRPr="00C24C9E">
              <w:t>Brooker (1992): 40 children aged 3 to 10 with unilateral or bilateral OME diagnosed by otoscopy, audiometry and tympanometry referred t</w:t>
            </w:r>
            <w:r>
              <w:t>o</w:t>
            </w:r>
            <w:r w:rsidRPr="00C24C9E">
              <w:t xml:space="preserve"> ENT.</w:t>
            </w:r>
          </w:p>
          <w:p w:rsidR="00F13B54" w:rsidRPr="00C24C9E" w:rsidRDefault="00F13B54" w:rsidP="00A26C1C">
            <w:pPr>
              <w:pStyle w:val="TableBullet"/>
              <w:ind w:left="450"/>
            </w:pPr>
            <w:r w:rsidRPr="00C24C9E">
              <w:t>Fraser (1977): 85 children aged 3 to 12 with bilateral OME using tympanometry.</w:t>
            </w:r>
          </w:p>
          <w:p w:rsidR="00F13B54" w:rsidRDefault="00F13B54" w:rsidP="00A26C1C">
            <w:pPr>
              <w:pStyle w:val="TableBullet"/>
              <w:ind w:left="450"/>
            </w:pPr>
            <w:r w:rsidRPr="00C24C9E">
              <w:t>Lesinskas (2003): 198 adults aged 16 to 75 with unilateral or bilateral OME diagnosed by tympanometry and PTA.</w:t>
            </w:r>
          </w:p>
          <w:p w:rsidR="00F13B54" w:rsidRDefault="00F13B54" w:rsidP="00A26C1C">
            <w:pPr>
              <w:pStyle w:val="TableBullet"/>
              <w:ind w:left="450"/>
            </w:pPr>
            <w:r w:rsidRPr="00C24C9E">
              <w:t>Stangerup (1992): 100 children aged 3 to 10 unilateral or bilateral OME for at least 3 mos. diagnosed by tympanometry</w:t>
            </w:r>
          </w:p>
          <w:p w:rsidR="00F13B54" w:rsidRPr="004E20CF" w:rsidRDefault="00F13B54" w:rsidP="00A26C1C">
            <w:pPr>
              <w:pStyle w:val="TableBoldText"/>
              <w:rPr>
                <w:rFonts w:eastAsia="Times New Roman"/>
              </w:rPr>
            </w:pPr>
            <w:r w:rsidRPr="004E20CF">
              <w:rPr>
                <w:rFonts w:eastAsia="Times New Roman"/>
              </w:rPr>
              <w:t>Characteristics of Interventions</w:t>
            </w:r>
          </w:p>
          <w:p w:rsidR="00F13B54" w:rsidRPr="004E20CF" w:rsidRDefault="00F13B54" w:rsidP="00A26C1C">
            <w:pPr>
              <w:pStyle w:val="TableText"/>
              <w:rPr>
                <w:rFonts w:eastAsia="Times New Roman"/>
              </w:rPr>
            </w:pPr>
            <w:r w:rsidRPr="004E20CF">
              <w:rPr>
                <w:rFonts w:eastAsia="Times New Roman"/>
                <w:noProof/>
              </w:rPr>
              <w:t xml:space="preserve">Any form of </w:t>
            </w:r>
            <w:r w:rsidRPr="004E20CF">
              <w:rPr>
                <w:rFonts w:eastAsia="Times New Roman"/>
              </w:rPr>
              <w:t>autoinflation vs. no autoinflation with other treatments permitted as long as these were provided equally in the 2 groups.</w:t>
            </w:r>
          </w:p>
          <w:p w:rsidR="00F13B54" w:rsidRPr="00510D9B" w:rsidRDefault="00F13B54" w:rsidP="00A26C1C">
            <w:pPr>
              <w:pStyle w:val="TableBullet"/>
              <w:ind w:left="450"/>
            </w:pPr>
            <w:r w:rsidRPr="00510D9B">
              <w:t>Arick (2005): Modified Politzer (ear popper) device for 7 weeks twice daily alternating nostrils</w:t>
            </w:r>
          </w:p>
          <w:p w:rsidR="00F13B54" w:rsidRPr="00510D9B" w:rsidRDefault="00F13B54" w:rsidP="00A26C1C">
            <w:pPr>
              <w:pStyle w:val="TableBullet"/>
              <w:ind w:left="450"/>
            </w:pPr>
            <w:r w:rsidRPr="00510D9B">
              <w:t>Blanshard (1993): Otovent (inflating a baloon) 3 times a day for 3 months</w:t>
            </w:r>
          </w:p>
          <w:p w:rsidR="00F13B54" w:rsidRPr="000400FA" w:rsidRDefault="00F13B54" w:rsidP="00A26C1C">
            <w:pPr>
              <w:pStyle w:val="TableBullet"/>
              <w:ind w:left="450"/>
            </w:pPr>
            <w:r w:rsidRPr="00510D9B">
              <w:t>Brooker (1992): Carnival ball</w:t>
            </w:r>
            <w:r>
              <w:t xml:space="preserve">oon 3 times a day for 3 weeks </w:t>
            </w:r>
          </w:p>
        </w:tc>
      </w:tr>
    </w:tbl>
    <w:p w:rsidR="00F13B54" w:rsidRDefault="00F13B54" w:rsidP="00F13B54">
      <w:pPr>
        <w:pStyle w:val="TableTitle"/>
      </w:pPr>
      <w:r>
        <w:br w:type="page"/>
      </w:r>
      <w:r>
        <w:lastRenderedPageBreak/>
        <w:t>Evidence Table 11. Systematic reviews (continued)</w:t>
      </w:r>
    </w:p>
    <w:tbl>
      <w:tblPr>
        <w:tblW w:w="13083" w:type="dxa"/>
        <w:tblBorders>
          <w:top w:val="single" w:sz="12" w:space="0" w:color="auto"/>
          <w:bottom w:val="single" w:sz="12" w:space="0" w:color="auto"/>
          <w:insideH w:val="single" w:sz="8" w:space="0" w:color="auto"/>
        </w:tblBorders>
        <w:tblLayout w:type="fixed"/>
        <w:tblLook w:val="04A0"/>
      </w:tblPr>
      <w:tblGrid>
        <w:gridCol w:w="1545"/>
        <w:gridCol w:w="11538"/>
      </w:tblGrid>
      <w:tr w:rsidR="00F13B54" w:rsidRPr="006C22DB" w:rsidTr="00A26C1C">
        <w:tc>
          <w:tcPr>
            <w:tcW w:w="1545" w:type="dxa"/>
            <w:shd w:val="clear" w:color="auto" w:fill="auto"/>
            <w:vAlign w:val="bottom"/>
          </w:tcPr>
          <w:p w:rsidR="00F13B54" w:rsidRPr="004E20CF" w:rsidRDefault="00F13B54" w:rsidP="00A26C1C">
            <w:pPr>
              <w:pStyle w:val="TableColumnHead"/>
              <w:jc w:val="left"/>
              <w:rPr>
                <w:rFonts w:eastAsia="Times New Roman"/>
                <w:b w:val="0"/>
                <w:bCs w:val="0"/>
                <w:noProof/>
              </w:rPr>
            </w:pPr>
            <w:r w:rsidRPr="004E20CF">
              <w:rPr>
                <w:rFonts w:eastAsia="Times New Roman"/>
                <w:b w:val="0"/>
                <w:bCs w:val="0"/>
                <w:noProof/>
              </w:rPr>
              <w:t xml:space="preserve">Author, Year </w:t>
            </w:r>
          </w:p>
          <w:p w:rsidR="00F13B54" w:rsidRPr="004E20CF" w:rsidRDefault="00F13B54" w:rsidP="00A26C1C">
            <w:pPr>
              <w:pStyle w:val="TableColumnHead"/>
              <w:jc w:val="left"/>
              <w:rPr>
                <w:rFonts w:eastAsia="Times New Roman"/>
                <w:b w:val="0"/>
                <w:bCs w:val="0"/>
                <w:noProof/>
              </w:rPr>
            </w:pPr>
            <w:r w:rsidRPr="004E20CF">
              <w:rPr>
                <w:rFonts w:eastAsia="Times New Roman"/>
                <w:b w:val="0"/>
                <w:bCs w:val="0"/>
                <w:noProof/>
              </w:rPr>
              <w:t>Country</w:t>
            </w:r>
          </w:p>
          <w:p w:rsidR="00F13B54" w:rsidRPr="004E20CF" w:rsidRDefault="00F13B54" w:rsidP="00A26C1C">
            <w:pPr>
              <w:pStyle w:val="TableColumnHead"/>
              <w:jc w:val="left"/>
              <w:rPr>
                <w:rFonts w:eastAsia="Times New Roman"/>
                <w:b w:val="0"/>
                <w:bCs w:val="0"/>
                <w:noProof/>
              </w:rPr>
            </w:pPr>
            <w:r w:rsidRPr="004E20CF">
              <w:rPr>
                <w:rFonts w:eastAsia="Times New Roman"/>
                <w:b w:val="0"/>
                <w:bCs w:val="0"/>
                <w:noProof/>
              </w:rPr>
              <w:t>Funding</w:t>
            </w:r>
          </w:p>
          <w:p w:rsidR="00F13B54" w:rsidRPr="004E20CF" w:rsidRDefault="00F13B54" w:rsidP="00A26C1C">
            <w:pPr>
              <w:pStyle w:val="TableColumnHead"/>
              <w:jc w:val="left"/>
              <w:rPr>
                <w:rFonts w:eastAsia="Times New Roman"/>
                <w:b w:val="0"/>
                <w:bCs w:val="0"/>
                <w:noProof/>
              </w:rPr>
            </w:pPr>
            <w:r w:rsidRPr="004E20CF">
              <w:rPr>
                <w:rFonts w:eastAsia="Times New Roman"/>
                <w:b w:val="0"/>
                <w:bCs w:val="0"/>
                <w:noProof/>
              </w:rPr>
              <w:t>Study Design</w:t>
            </w:r>
          </w:p>
        </w:tc>
        <w:tc>
          <w:tcPr>
            <w:tcW w:w="11538" w:type="dxa"/>
            <w:shd w:val="clear" w:color="auto" w:fill="auto"/>
            <w:vAlign w:val="bottom"/>
          </w:tcPr>
          <w:p w:rsidR="00F13B54" w:rsidRPr="004E20CF" w:rsidRDefault="00F13B54" w:rsidP="00A26C1C">
            <w:pPr>
              <w:pStyle w:val="TableColumnHead"/>
              <w:jc w:val="left"/>
              <w:rPr>
                <w:rFonts w:eastAsia="Times New Roman"/>
                <w:b w:val="0"/>
                <w:bCs w:val="0"/>
              </w:rPr>
            </w:pPr>
            <w:r w:rsidRPr="004E20CF">
              <w:rPr>
                <w:rFonts w:eastAsia="Times New Roman"/>
                <w:b w:val="0"/>
                <w:bCs w:val="0"/>
              </w:rPr>
              <w:t xml:space="preserve">Abstraction Form </w:t>
            </w:r>
          </w:p>
        </w:tc>
      </w:tr>
      <w:tr w:rsidR="00F13B54" w:rsidRPr="006C22DB" w:rsidTr="00A26C1C">
        <w:tc>
          <w:tcPr>
            <w:tcW w:w="1545" w:type="dxa"/>
            <w:shd w:val="clear" w:color="auto" w:fill="auto"/>
          </w:tcPr>
          <w:p w:rsidR="00F13B54" w:rsidRPr="004E20CF" w:rsidRDefault="00F13B54" w:rsidP="00A26C1C">
            <w:pPr>
              <w:pStyle w:val="TableText"/>
              <w:rPr>
                <w:rFonts w:eastAsia="Times New Roman"/>
              </w:rPr>
            </w:pPr>
            <w:r w:rsidRPr="004E20CF">
              <w:rPr>
                <w:rFonts w:eastAsia="Times New Roman"/>
                <w:noProof/>
              </w:rPr>
              <w:t>Perera</w:t>
            </w:r>
            <w:r w:rsidRPr="004E20CF">
              <w:rPr>
                <w:rFonts w:eastAsia="Times New Roman"/>
              </w:rPr>
              <w:t xml:space="preserve"> et al., </w:t>
            </w:r>
            <w:r w:rsidRPr="004E20CF">
              <w:rPr>
                <w:rFonts w:eastAsia="Times New Roman"/>
                <w:noProof/>
              </w:rPr>
              <w:t>2009</w:t>
            </w:r>
            <w:r w:rsidRPr="004E20CF">
              <w:rPr>
                <w:rFonts w:ascii="Times New Roman" w:eastAsia="Times New Roman" w:hAnsi="Times New Roman"/>
                <w:noProof/>
                <w:vertAlign w:val="superscript"/>
              </w:rPr>
              <w:t>16</w:t>
            </w:r>
          </w:p>
          <w:p w:rsidR="00F13B54" w:rsidRPr="004E20CF" w:rsidRDefault="00F13B54" w:rsidP="00A26C1C">
            <w:pPr>
              <w:pStyle w:val="TableText"/>
              <w:rPr>
                <w:rFonts w:eastAsia="Times New Roman"/>
                <w:noProof/>
              </w:rPr>
            </w:pPr>
            <w:r w:rsidRPr="004E20CF">
              <w:rPr>
                <w:rFonts w:eastAsia="Times New Roman"/>
                <w:noProof/>
              </w:rPr>
              <w:t>(continued)</w:t>
            </w:r>
          </w:p>
        </w:tc>
        <w:tc>
          <w:tcPr>
            <w:tcW w:w="11538" w:type="dxa"/>
            <w:shd w:val="clear" w:color="auto" w:fill="auto"/>
          </w:tcPr>
          <w:p w:rsidR="00F13B54" w:rsidRPr="001805C7" w:rsidRDefault="00F13B54" w:rsidP="00A26C1C">
            <w:pPr>
              <w:pStyle w:val="TableBullet"/>
              <w:ind w:left="450"/>
            </w:pPr>
            <w:r w:rsidRPr="004613D3">
              <w:t xml:space="preserve">Fraser (1977): Carnival blower for 6 weeks; factorial design in which autoinflation, Dimotapp Elixir (i.e., an </w:t>
            </w:r>
            <w:r w:rsidRPr="004E20CF">
              <w:rPr>
                <w:rFonts w:eastAsia="Calibri"/>
              </w:rPr>
              <w:t>antihistamine and nasal decongestant)</w:t>
            </w:r>
            <w:r w:rsidRPr="004613D3">
              <w:t xml:space="preserve">, </w:t>
            </w:r>
            <w:r w:rsidRPr="004E20CF">
              <w:rPr>
                <w:rFonts w:eastAsia="Calibri"/>
              </w:rPr>
              <w:t xml:space="preserve">Ephedrine nose drops,were assigned so that each individual received one of eight combinations of all three treatments (or control). The group receiving autoinflation with those who had not received autoinflation were similar in respect to the proportion of individuals who received the antihistamine and nose drops. </w:t>
            </w:r>
          </w:p>
          <w:p w:rsidR="00F13B54" w:rsidRPr="004613D3" w:rsidRDefault="00F13B54" w:rsidP="00A26C1C">
            <w:pPr>
              <w:pStyle w:val="TableBullet"/>
              <w:ind w:left="450"/>
            </w:pPr>
            <w:r w:rsidRPr="004613D3">
              <w:t>Lesinskas (2003): Politzer inflation 2 times a day for 10 days, with or without oral antibiotics</w:t>
            </w:r>
            <w:r>
              <w:t xml:space="preserve">; all patients were prescribed nasal decongestants </w:t>
            </w:r>
          </w:p>
          <w:p w:rsidR="00F13B54" w:rsidRDefault="00F13B54" w:rsidP="00A26C1C">
            <w:pPr>
              <w:pStyle w:val="TableBullet"/>
              <w:ind w:left="450"/>
            </w:pPr>
            <w:r w:rsidRPr="00510D9B">
              <w:t>Stangerup (1992):</w:t>
            </w:r>
            <w:r w:rsidRPr="00C24C9E">
              <w:t xml:space="preserve"> Otovent 3 times a day for 2 weeks, extended to 4 weeks in those with persistent OME</w:t>
            </w:r>
          </w:p>
          <w:p w:rsidR="00F13B54" w:rsidRPr="00510D9B" w:rsidRDefault="00F13B54" w:rsidP="00A26C1C">
            <w:pPr>
              <w:pStyle w:val="TableBullet"/>
              <w:ind w:left="450"/>
            </w:pPr>
            <w:r w:rsidRPr="00510D9B">
              <w:t xml:space="preserve">Brooker (1992): Carnival balloon 3 times a day for 3 weeks </w:t>
            </w:r>
          </w:p>
          <w:p w:rsidR="00F13B54" w:rsidRDefault="00F13B54" w:rsidP="00A26C1C">
            <w:pPr>
              <w:pStyle w:val="TableBullet"/>
              <w:ind w:left="450"/>
            </w:pPr>
            <w:r w:rsidRPr="004613D3">
              <w:t xml:space="preserve">Fraser (1977): Carnival blower for 6 weeks; factorial design in which autoinflation, Dimotapp Elixir (i.e., an </w:t>
            </w:r>
            <w:r w:rsidRPr="004E20CF">
              <w:rPr>
                <w:rFonts w:eastAsia="Calibri"/>
              </w:rPr>
              <w:t>antihistamine and nasal decongestant)</w:t>
            </w:r>
            <w:r w:rsidRPr="004613D3">
              <w:t xml:space="preserve">, </w:t>
            </w:r>
            <w:r w:rsidRPr="004E20CF">
              <w:rPr>
                <w:rFonts w:eastAsia="Calibri"/>
              </w:rPr>
              <w:t xml:space="preserve">Ephedrine nose drops,were assigned so that each individual received one of eight combinations of all three treatments (or control). The group receiving autoinflation with those who had not received autoinflation were similar in respect to the proportion of individuals who received the antihistamine and nose drops. </w:t>
            </w:r>
          </w:p>
          <w:p w:rsidR="00F13B54" w:rsidRPr="004613D3" w:rsidRDefault="00F13B54" w:rsidP="00A26C1C">
            <w:pPr>
              <w:pStyle w:val="TableBullet"/>
              <w:ind w:left="450"/>
            </w:pPr>
            <w:r w:rsidRPr="004613D3">
              <w:t>Lesinskas (2003): Politzer inflation 2 times a day for 10 days, with or without oral antibiotics</w:t>
            </w:r>
            <w:r>
              <w:t xml:space="preserve">; all patients were prescribed nasal decongestants </w:t>
            </w:r>
          </w:p>
          <w:p w:rsidR="00F13B54" w:rsidRDefault="00F13B54" w:rsidP="00A26C1C">
            <w:pPr>
              <w:pStyle w:val="TableBullet"/>
              <w:ind w:left="450"/>
            </w:pPr>
            <w:r w:rsidRPr="00510D9B">
              <w:t>Stangerup (1992):</w:t>
            </w:r>
            <w:r w:rsidRPr="00C24C9E">
              <w:t xml:space="preserve"> Otovent 3 times a day for 2 weeks, extended to 4 weeks in those with persistent OME</w:t>
            </w:r>
          </w:p>
          <w:p w:rsidR="00F13B54" w:rsidRPr="00013BDC" w:rsidRDefault="00F13B54" w:rsidP="00A26C1C">
            <w:pPr>
              <w:pStyle w:val="TableBullet"/>
              <w:numPr>
                <w:ilvl w:val="0"/>
                <w:numId w:val="0"/>
              </w:numPr>
              <w:ind w:left="450"/>
            </w:pPr>
          </w:p>
          <w:p w:rsidR="00F13B54" w:rsidRPr="004E20CF" w:rsidRDefault="00F13B54" w:rsidP="00A26C1C">
            <w:pPr>
              <w:pStyle w:val="TableBoldText"/>
              <w:rPr>
                <w:rFonts w:eastAsia="Times New Roman"/>
              </w:rPr>
            </w:pPr>
            <w:r w:rsidRPr="004E20CF">
              <w:rPr>
                <w:rFonts w:eastAsia="Times New Roman"/>
              </w:rPr>
              <w:t>Main Results</w:t>
            </w:r>
          </w:p>
          <w:p w:rsidR="00F13B54" w:rsidRPr="004E20CF" w:rsidRDefault="00F13B54" w:rsidP="00A26C1C">
            <w:pPr>
              <w:pStyle w:val="TableText"/>
              <w:rPr>
                <w:rFonts w:eastAsia="Times New Roman"/>
                <w:noProof/>
              </w:rPr>
            </w:pPr>
            <w:r w:rsidRPr="004E20CF">
              <w:rPr>
                <w:rFonts w:eastAsia="Times New Roman"/>
                <w:noProof/>
              </w:rPr>
              <w:t xml:space="preserve">Tympanometry </w:t>
            </w:r>
            <w:r w:rsidRPr="004E20CF">
              <w:rPr>
                <w:rFonts w:eastAsia="Times New Roman"/>
              </w:rPr>
              <w:t>Improvement</w:t>
            </w:r>
            <w:r w:rsidRPr="004E20CF">
              <w:rPr>
                <w:rFonts w:eastAsia="Times New Roman"/>
                <w:noProof/>
              </w:rPr>
              <w:t xml:space="preserve"> </w:t>
            </w:r>
            <w:r w:rsidRPr="004E20CF">
              <w:rPr>
                <w:rFonts w:eastAsia="Times New Roman"/>
                <w:noProof/>
                <w:u w:val="single"/>
              </w:rPr>
              <w:t xml:space="preserve">&lt; </w:t>
            </w:r>
            <w:r w:rsidRPr="004E20CF">
              <w:rPr>
                <w:rFonts w:eastAsia="Times New Roman"/>
                <w:noProof/>
              </w:rPr>
              <w:t>1 month</w:t>
            </w:r>
          </w:p>
          <w:p w:rsidR="00F13B54" w:rsidRPr="00C24C9E" w:rsidRDefault="00F13B54" w:rsidP="00A26C1C">
            <w:pPr>
              <w:pStyle w:val="TableBullet"/>
              <w:ind w:left="450"/>
            </w:pPr>
            <w:r w:rsidRPr="00C24C9E">
              <w:t>3 studies (Blanchard, Brooker, Stangerup): B or C2 to C1 or A</w:t>
            </w:r>
            <w:r>
              <w:t xml:space="preserve"> </w:t>
            </w:r>
            <w:r w:rsidRPr="00C24C9E">
              <w:t>RR: 1.65 (</w:t>
            </w:r>
            <w:r>
              <w:t xml:space="preserve">95% CI, </w:t>
            </w:r>
            <w:r w:rsidRPr="00C24C9E">
              <w:t>0.49</w:t>
            </w:r>
            <w:r>
              <w:t xml:space="preserve"> to</w:t>
            </w:r>
            <w:r w:rsidRPr="00C24C9E">
              <w:t xml:space="preserve"> 5.56)</w:t>
            </w:r>
          </w:p>
          <w:p w:rsidR="00F13B54" w:rsidRPr="00C24C9E" w:rsidRDefault="00F13B54" w:rsidP="00A26C1C">
            <w:pPr>
              <w:pStyle w:val="TableBullet"/>
              <w:ind w:left="450"/>
            </w:pPr>
            <w:r w:rsidRPr="00C24C9E">
              <w:t>2 studies (Blanshard, Stangerup): B to C1 or A RR: 2.71 (</w:t>
            </w:r>
            <w:r>
              <w:t xml:space="preserve">95% CI, </w:t>
            </w:r>
            <w:r w:rsidRPr="00C24C9E">
              <w:t>1.43</w:t>
            </w:r>
            <w:r>
              <w:t xml:space="preserve"> to</w:t>
            </w:r>
            <w:r w:rsidRPr="00C24C9E">
              <w:t xml:space="preserve"> 5.12)</w:t>
            </w:r>
          </w:p>
          <w:p w:rsidR="00F13B54" w:rsidRPr="00C24C9E" w:rsidRDefault="00F13B54" w:rsidP="00A26C1C">
            <w:pPr>
              <w:pStyle w:val="TableBullet"/>
              <w:ind w:left="450"/>
            </w:pPr>
            <w:r w:rsidRPr="00C24C9E">
              <w:t>2 studies (Blanshard, Stangerup) C2 to C1 or A RR: 3.84 (</w:t>
            </w:r>
            <w:r>
              <w:t xml:space="preserve">95% CI, </w:t>
            </w:r>
            <w:r w:rsidRPr="00C24C9E">
              <w:t>1.94</w:t>
            </w:r>
            <w:r>
              <w:t xml:space="preserve"> to</w:t>
            </w:r>
            <w:r w:rsidRPr="00C24C9E">
              <w:t xml:space="preserve"> 7.59)</w:t>
            </w:r>
          </w:p>
          <w:p w:rsidR="00F13B54" w:rsidRPr="004E20CF" w:rsidRDefault="00F13B54" w:rsidP="00A26C1C">
            <w:pPr>
              <w:pStyle w:val="TableText"/>
              <w:rPr>
                <w:rFonts w:eastAsia="Times New Roman"/>
                <w:noProof/>
              </w:rPr>
            </w:pPr>
            <w:r w:rsidRPr="004E20CF">
              <w:rPr>
                <w:rFonts w:eastAsia="Times New Roman"/>
                <w:noProof/>
              </w:rPr>
              <w:t>Tympanometry improvement &gt; 1 month</w:t>
            </w:r>
          </w:p>
          <w:p w:rsidR="00F13B54" w:rsidRPr="00C24C9E" w:rsidRDefault="00F13B54" w:rsidP="00A26C1C">
            <w:pPr>
              <w:pStyle w:val="TableBullet"/>
              <w:ind w:left="450"/>
            </w:pPr>
            <w:r w:rsidRPr="00C24C9E">
              <w:t>2 studies (Blanshard, Stangerup): B1 or C2 to C1 or A RR 1.89 (</w:t>
            </w:r>
            <w:r>
              <w:t xml:space="preserve">95% CI, </w:t>
            </w:r>
            <w:r w:rsidRPr="00C24C9E">
              <w:t>0.77</w:t>
            </w:r>
            <w:r>
              <w:t xml:space="preserve"> to</w:t>
            </w:r>
            <w:r w:rsidRPr="00C24C9E">
              <w:t xml:space="preserve"> 4,67)</w:t>
            </w:r>
          </w:p>
          <w:p w:rsidR="00F13B54" w:rsidRPr="004E20CF" w:rsidRDefault="00F13B54" w:rsidP="00A26C1C">
            <w:pPr>
              <w:pStyle w:val="TableText"/>
              <w:rPr>
                <w:rFonts w:eastAsia="Times New Roman"/>
                <w:noProof/>
              </w:rPr>
            </w:pPr>
            <w:r w:rsidRPr="004E20CF">
              <w:rPr>
                <w:rFonts w:eastAsia="Times New Roman"/>
                <w:noProof/>
              </w:rPr>
              <w:t xml:space="preserve">Mean change in middle ear pressure </w:t>
            </w:r>
          </w:p>
          <w:p w:rsidR="00F13B54" w:rsidRDefault="00F13B54" w:rsidP="00A26C1C">
            <w:pPr>
              <w:pStyle w:val="TableBullet"/>
              <w:ind w:left="450"/>
            </w:pPr>
            <w:r w:rsidRPr="00C24C9E">
              <w:t xml:space="preserve">1 study (Fraser): </w:t>
            </w:r>
            <w:r>
              <w:t xml:space="preserve">Autoinflation: 12..7 vs. No Autoinflation: 53.3, p = NS. </w:t>
            </w:r>
          </w:p>
          <w:p w:rsidR="00F13B54" w:rsidRDefault="00F13B54" w:rsidP="00A26C1C">
            <w:pPr>
              <w:pStyle w:val="TableBullet"/>
              <w:numPr>
                <w:ilvl w:val="0"/>
                <w:numId w:val="0"/>
              </w:numPr>
              <w:ind w:left="90" w:hanging="105"/>
            </w:pPr>
            <w:r>
              <w:t>Mean change in middle ear compliance</w:t>
            </w:r>
          </w:p>
          <w:p w:rsidR="00F13B54" w:rsidRDefault="00F13B54" w:rsidP="00F13B54">
            <w:pPr>
              <w:pStyle w:val="TableBullet"/>
              <w:numPr>
                <w:ilvl w:val="0"/>
                <w:numId w:val="23"/>
              </w:numPr>
              <w:ind w:left="435"/>
            </w:pPr>
            <w:r>
              <w:t>1 study (Frase) Autoinflation: 0.052 vs. No Autoinflation: 0.064, p = NS.</w:t>
            </w:r>
          </w:p>
          <w:p w:rsidR="00F13B54" w:rsidRPr="006C22DB" w:rsidRDefault="00F13B54" w:rsidP="00A26C1C">
            <w:pPr>
              <w:pStyle w:val="TableBullet"/>
              <w:numPr>
                <w:ilvl w:val="0"/>
                <w:numId w:val="0"/>
              </w:numPr>
              <w:ind w:left="90" w:hanging="105"/>
            </w:pPr>
            <w:r w:rsidRPr="006C22DB">
              <w:t xml:space="preserve">Pure tone threshold average improvement &gt; 10 dB (250 Hz to 2000 Hz) </w:t>
            </w:r>
          </w:p>
          <w:p w:rsidR="00F13B54" w:rsidRPr="00C24C9E" w:rsidRDefault="00F13B54" w:rsidP="00A26C1C">
            <w:pPr>
              <w:pStyle w:val="TableBullet"/>
              <w:ind w:left="450"/>
            </w:pPr>
            <w:r w:rsidRPr="00C24C9E">
              <w:t>2 stud</w:t>
            </w:r>
            <w:r w:rsidRPr="006015B5">
              <w:t>ies discrete outcome (Blanchard, Brooker) RR 0.80 (95% CI, 0.22 to 2.</w:t>
            </w:r>
            <w:r w:rsidRPr="00C24C9E">
              <w:t xml:space="preserve">88) </w:t>
            </w:r>
          </w:p>
          <w:p w:rsidR="00F13B54" w:rsidRPr="00C24C9E" w:rsidRDefault="00F13B54" w:rsidP="00A26C1C">
            <w:pPr>
              <w:pStyle w:val="TableBullet"/>
              <w:ind w:left="450"/>
            </w:pPr>
            <w:r w:rsidRPr="00C24C9E">
              <w:t>2 studies continuous outcome (Arick, Fraser) Weighted Mean Diff 7.02 (</w:t>
            </w:r>
            <w:r>
              <w:t xml:space="preserve">95% CI, </w:t>
            </w:r>
            <w:r w:rsidRPr="00C24C9E">
              <w:t>-6.92</w:t>
            </w:r>
            <w:r>
              <w:t xml:space="preserve"> to</w:t>
            </w:r>
            <w:r w:rsidRPr="00C24C9E">
              <w:t xml:space="preserve"> 20.96)</w:t>
            </w:r>
          </w:p>
          <w:p w:rsidR="00F13B54" w:rsidRPr="004E20CF" w:rsidRDefault="00F13B54" w:rsidP="00A26C1C">
            <w:pPr>
              <w:pStyle w:val="TableText"/>
              <w:rPr>
                <w:rFonts w:eastAsia="Times New Roman"/>
                <w:noProof/>
              </w:rPr>
            </w:pPr>
            <w:r w:rsidRPr="004E20CF">
              <w:rPr>
                <w:rFonts w:eastAsia="Times New Roman"/>
                <w:noProof/>
              </w:rPr>
              <w:t>Composite improvement in either tympanometry or audiometry (</w:t>
            </w:r>
            <w:r w:rsidRPr="004E20CF">
              <w:rPr>
                <w:rFonts w:eastAsia="Times New Roman"/>
                <w:noProof/>
                <w:u w:val="single"/>
              </w:rPr>
              <w:t>&lt;</w:t>
            </w:r>
            <w:r w:rsidRPr="004E20CF">
              <w:rPr>
                <w:rFonts w:eastAsia="Times New Roman"/>
                <w:noProof/>
              </w:rPr>
              <w:t xml:space="preserve"> 1 month) </w:t>
            </w:r>
          </w:p>
          <w:p w:rsidR="00F13B54" w:rsidRDefault="00F13B54" w:rsidP="00A26C1C">
            <w:pPr>
              <w:pStyle w:val="TableBullet"/>
              <w:ind w:left="450"/>
            </w:pPr>
            <w:r w:rsidRPr="00C24C9E">
              <w:t>4 studies (Blanshard, Brooker, Lesinskas</w:t>
            </w:r>
            <w:r>
              <w:t xml:space="preserve">, </w:t>
            </w:r>
            <w:r w:rsidRPr="00C24C9E">
              <w:t>Stan</w:t>
            </w:r>
            <w:r>
              <w:t>g</w:t>
            </w:r>
            <w:r w:rsidRPr="00C24C9E">
              <w:t>erup,): RR 2.47 (</w:t>
            </w:r>
            <w:r>
              <w:t xml:space="preserve">95% CI, </w:t>
            </w:r>
            <w:r w:rsidRPr="00C24C9E">
              <w:t>0.93</w:t>
            </w:r>
            <w:r>
              <w:t xml:space="preserve"> to</w:t>
            </w:r>
            <w:r w:rsidRPr="00C24C9E">
              <w:t xml:space="preserve"> 6.58)</w:t>
            </w:r>
          </w:p>
          <w:p w:rsidR="00F13B54" w:rsidRPr="004E20CF" w:rsidRDefault="00F13B54" w:rsidP="00A26C1C">
            <w:pPr>
              <w:pStyle w:val="TableText"/>
              <w:rPr>
                <w:rFonts w:eastAsia="Times New Roman"/>
                <w:noProof/>
              </w:rPr>
            </w:pPr>
            <w:r w:rsidRPr="004E20CF">
              <w:rPr>
                <w:rFonts w:eastAsia="Times New Roman"/>
                <w:noProof/>
              </w:rPr>
              <w:t xml:space="preserve">Composite improvement in either tympanometry or audiometry (&gt; 1 month) </w:t>
            </w:r>
          </w:p>
          <w:p w:rsidR="00F13B54" w:rsidRPr="00C24C9E" w:rsidRDefault="00F13B54" w:rsidP="00A26C1C">
            <w:pPr>
              <w:pStyle w:val="TableBullet"/>
              <w:ind w:left="450"/>
            </w:pPr>
            <w:r w:rsidRPr="00C24C9E">
              <w:t>4 studies (Arick, Blanshard, Lesinskas, Stan</w:t>
            </w:r>
            <w:r>
              <w:t>g</w:t>
            </w:r>
            <w:r w:rsidRPr="00C24C9E">
              <w:t>erup): RR 2.20 (</w:t>
            </w:r>
            <w:r>
              <w:t xml:space="preserve">95% CI, </w:t>
            </w:r>
            <w:r w:rsidRPr="00C24C9E">
              <w:t>1.71</w:t>
            </w:r>
            <w:r>
              <w:t xml:space="preserve"> to</w:t>
            </w:r>
            <w:r w:rsidRPr="00C24C9E">
              <w:t xml:space="preserve"> 2.82) </w:t>
            </w:r>
          </w:p>
          <w:p w:rsidR="00F13B54" w:rsidRPr="004E20CF" w:rsidRDefault="00F13B54" w:rsidP="00A26C1C">
            <w:pPr>
              <w:pStyle w:val="TableText"/>
              <w:rPr>
                <w:rFonts w:eastAsia="Times New Roman"/>
                <w:noProof/>
              </w:rPr>
            </w:pPr>
            <w:r w:rsidRPr="004E20CF">
              <w:rPr>
                <w:rFonts w:eastAsia="Times New Roman"/>
                <w:noProof/>
              </w:rPr>
              <w:t>Improvement in composite by intervention (</w:t>
            </w:r>
            <w:r w:rsidRPr="004E20CF">
              <w:rPr>
                <w:rFonts w:eastAsia="Times New Roman"/>
                <w:noProof/>
                <w:u w:val="single"/>
              </w:rPr>
              <w:t>&lt;</w:t>
            </w:r>
            <w:r w:rsidRPr="004E20CF">
              <w:rPr>
                <w:rFonts w:eastAsia="Times New Roman"/>
                <w:noProof/>
              </w:rPr>
              <w:t xml:space="preserve"> 1 month) Otovent or blower + balloon</w:t>
            </w:r>
          </w:p>
          <w:p w:rsidR="00F13B54" w:rsidRPr="00C24C9E" w:rsidRDefault="00F13B54" w:rsidP="00A26C1C">
            <w:pPr>
              <w:pStyle w:val="TableBullet"/>
              <w:ind w:left="450"/>
            </w:pPr>
            <w:r w:rsidRPr="00C24C9E">
              <w:t>3 studies (Blanshard, Brooker, Stangerup) Risk Ratio 1.65 (</w:t>
            </w:r>
            <w:r>
              <w:t xml:space="preserve">95% CI, </w:t>
            </w:r>
            <w:r w:rsidRPr="00C24C9E">
              <w:t>0.49</w:t>
            </w:r>
            <w:r>
              <w:t xml:space="preserve"> to</w:t>
            </w:r>
            <w:r w:rsidRPr="00C24C9E">
              <w:t xml:space="preserve"> 5.55)</w:t>
            </w:r>
          </w:p>
          <w:p w:rsidR="00F13B54" w:rsidRPr="007B147C" w:rsidRDefault="00F13B54" w:rsidP="00A26C1C">
            <w:pPr>
              <w:pStyle w:val="TableBullet"/>
              <w:ind w:left="450"/>
            </w:pPr>
          </w:p>
        </w:tc>
      </w:tr>
    </w:tbl>
    <w:p w:rsidR="00F13B54" w:rsidRDefault="00F13B54" w:rsidP="00F13B54">
      <w:pPr>
        <w:pStyle w:val="TableTitle"/>
      </w:pPr>
      <w:r>
        <w:lastRenderedPageBreak/>
        <w:t>Evidence Table 11. Systematic reviews (continued)</w:t>
      </w:r>
    </w:p>
    <w:tbl>
      <w:tblPr>
        <w:tblW w:w="13083" w:type="dxa"/>
        <w:tblBorders>
          <w:top w:val="single" w:sz="12" w:space="0" w:color="auto"/>
          <w:bottom w:val="single" w:sz="12" w:space="0" w:color="auto"/>
          <w:insideH w:val="single" w:sz="8" w:space="0" w:color="auto"/>
        </w:tblBorders>
        <w:tblLayout w:type="fixed"/>
        <w:tblLook w:val="04A0"/>
      </w:tblPr>
      <w:tblGrid>
        <w:gridCol w:w="1545"/>
        <w:gridCol w:w="11538"/>
      </w:tblGrid>
      <w:tr w:rsidR="00F13B54" w:rsidRPr="006C22DB" w:rsidTr="00A26C1C">
        <w:tc>
          <w:tcPr>
            <w:tcW w:w="1545" w:type="dxa"/>
            <w:shd w:val="clear" w:color="auto" w:fill="auto"/>
            <w:vAlign w:val="bottom"/>
          </w:tcPr>
          <w:p w:rsidR="00F13B54" w:rsidRPr="004E20CF" w:rsidRDefault="00F13B54" w:rsidP="00A26C1C">
            <w:pPr>
              <w:pStyle w:val="TableColumnHead"/>
              <w:jc w:val="left"/>
              <w:rPr>
                <w:rFonts w:eastAsia="Times New Roman"/>
                <w:b w:val="0"/>
                <w:bCs w:val="0"/>
                <w:noProof/>
              </w:rPr>
            </w:pPr>
            <w:r w:rsidRPr="004E20CF">
              <w:rPr>
                <w:rFonts w:eastAsia="Times New Roman"/>
                <w:b w:val="0"/>
                <w:bCs w:val="0"/>
                <w:noProof/>
              </w:rPr>
              <w:t xml:space="preserve">Author, Year </w:t>
            </w:r>
          </w:p>
          <w:p w:rsidR="00F13B54" w:rsidRPr="004E20CF" w:rsidRDefault="00F13B54" w:rsidP="00A26C1C">
            <w:pPr>
              <w:pStyle w:val="TableColumnHead"/>
              <w:jc w:val="left"/>
              <w:rPr>
                <w:rFonts w:eastAsia="Times New Roman"/>
                <w:b w:val="0"/>
                <w:bCs w:val="0"/>
                <w:noProof/>
              </w:rPr>
            </w:pPr>
            <w:r w:rsidRPr="004E20CF">
              <w:rPr>
                <w:rFonts w:eastAsia="Times New Roman"/>
                <w:b w:val="0"/>
                <w:bCs w:val="0"/>
                <w:noProof/>
              </w:rPr>
              <w:t>Country</w:t>
            </w:r>
          </w:p>
          <w:p w:rsidR="00F13B54" w:rsidRPr="004E20CF" w:rsidRDefault="00F13B54" w:rsidP="00A26C1C">
            <w:pPr>
              <w:pStyle w:val="TableColumnHead"/>
              <w:jc w:val="left"/>
              <w:rPr>
                <w:rFonts w:eastAsia="Times New Roman"/>
                <w:b w:val="0"/>
                <w:bCs w:val="0"/>
                <w:noProof/>
              </w:rPr>
            </w:pPr>
            <w:r w:rsidRPr="004E20CF">
              <w:rPr>
                <w:rFonts w:eastAsia="Times New Roman"/>
                <w:b w:val="0"/>
                <w:bCs w:val="0"/>
                <w:noProof/>
              </w:rPr>
              <w:t>Funding</w:t>
            </w:r>
          </w:p>
          <w:p w:rsidR="00F13B54" w:rsidRPr="004E20CF" w:rsidRDefault="00F13B54" w:rsidP="00A26C1C">
            <w:pPr>
              <w:pStyle w:val="TableColumnHead"/>
              <w:jc w:val="left"/>
              <w:rPr>
                <w:rFonts w:eastAsia="Times New Roman"/>
                <w:b w:val="0"/>
                <w:bCs w:val="0"/>
                <w:noProof/>
              </w:rPr>
            </w:pPr>
            <w:r w:rsidRPr="004E20CF">
              <w:rPr>
                <w:rFonts w:eastAsia="Times New Roman"/>
                <w:b w:val="0"/>
                <w:bCs w:val="0"/>
                <w:noProof/>
              </w:rPr>
              <w:t>Study Design</w:t>
            </w:r>
          </w:p>
        </w:tc>
        <w:tc>
          <w:tcPr>
            <w:tcW w:w="11538" w:type="dxa"/>
            <w:shd w:val="clear" w:color="auto" w:fill="auto"/>
            <w:vAlign w:val="bottom"/>
          </w:tcPr>
          <w:p w:rsidR="00F13B54" w:rsidRPr="004E20CF" w:rsidRDefault="00F13B54" w:rsidP="00A26C1C">
            <w:pPr>
              <w:pStyle w:val="TableColumnHead"/>
              <w:jc w:val="left"/>
              <w:rPr>
                <w:rFonts w:eastAsia="Times New Roman"/>
                <w:b w:val="0"/>
                <w:bCs w:val="0"/>
              </w:rPr>
            </w:pPr>
            <w:r w:rsidRPr="004E20CF">
              <w:rPr>
                <w:rFonts w:eastAsia="Times New Roman"/>
                <w:b w:val="0"/>
                <w:bCs w:val="0"/>
              </w:rPr>
              <w:t xml:space="preserve">Abstraction Form </w:t>
            </w:r>
          </w:p>
        </w:tc>
      </w:tr>
      <w:tr w:rsidR="00F13B54" w:rsidRPr="006C22DB" w:rsidTr="00A26C1C">
        <w:tc>
          <w:tcPr>
            <w:tcW w:w="1545" w:type="dxa"/>
            <w:shd w:val="clear" w:color="auto" w:fill="auto"/>
          </w:tcPr>
          <w:p w:rsidR="00F13B54" w:rsidRPr="004E20CF" w:rsidRDefault="00F13B54" w:rsidP="00A26C1C">
            <w:pPr>
              <w:pStyle w:val="TableText"/>
              <w:rPr>
                <w:rFonts w:eastAsia="Times New Roman"/>
              </w:rPr>
            </w:pPr>
            <w:r w:rsidRPr="004E20CF">
              <w:rPr>
                <w:rFonts w:eastAsia="Times New Roman"/>
                <w:noProof/>
              </w:rPr>
              <w:t>Perera</w:t>
            </w:r>
            <w:r w:rsidRPr="004E20CF">
              <w:rPr>
                <w:rFonts w:eastAsia="Times New Roman"/>
              </w:rPr>
              <w:t xml:space="preserve"> et al., </w:t>
            </w:r>
            <w:r w:rsidRPr="004E20CF">
              <w:rPr>
                <w:rFonts w:eastAsia="Times New Roman"/>
                <w:noProof/>
              </w:rPr>
              <w:t>2009</w:t>
            </w:r>
            <w:r w:rsidRPr="004E20CF">
              <w:rPr>
                <w:rFonts w:ascii="Times New Roman" w:eastAsia="Times New Roman" w:hAnsi="Times New Roman"/>
                <w:noProof/>
                <w:vertAlign w:val="superscript"/>
              </w:rPr>
              <w:t>16</w:t>
            </w:r>
          </w:p>
          <w:p w:rsidR="00F13B54" w:rsidRPr="004E20CF" w:rsidRDefault="00F13B54" w:rsidP="00A26C1C">
            <w:pPr>
              <w:pStyle w:val="TableText"/>
              <w:rPr>
                <w:rFonts w:eastAsia="Times New Roman"/>
                <w:noProof/>
              </w:rPr>
            </w:pPr>
            <w:r w:rsidRPr="004E20CF">
              <w:rPr>
                <w:rFonts w:eastAsia="Times New Roman"/>
                <w:noProof/>
              </w:rPr>
              <w:t>(continued)</w:t>
            </w:r>
          </w:p>
        </w:tc>
        <w:tc>
          <w:tcPr>
            <w:tcW w:w="11538" w:type="dxa"/>
            <w:shd w:val="clear" w:color="auto" w:fill="auto"/>
          </w:tcPr>
          <w:p w:rsidR="00F13B54" w:rsidRPr="004E20CF" w:rsidRDefault="00F13B54" w:rsidP="00A26C1C">
            <w:pPr>
              <w:pStyle w:val="TableText"/>
              <w:rPr>
                <w:rFonts w:eastAsia="Times New Roman"/>
                <w:noProof/>
              </w:rPr>
            </w:pPr>
            <w:r w:rsidRPr="004E20CF">
              <w:rPr>
                <w:rFonts w:eastAsia="Times New Roman"/>
                <w:noProof/>
              </w:rPr>
              <w:t>Improvement in composite by intervention (</w:t>
            </w:r>
            <w:r w:rsidRPr="004E20CF">
              <w:rPr>
                <w:rFonts w:eastAsia="Times New Roman"/>
                <w:noProof/>
                <w:u w:val="single"/>
              </w:rPr>
              <w:t>&lt;</w:t>
            </w:r>
            <w:r w:rsidRPr="004E20CF">
              <w:rPr>
                <w:rFonts w:eastAsia="Times New Roman"/>
                <w:noProof/>
              </w:rPr>
              <w:t xml:space="preserve"> 1 month) Politzer </w:t>
            </w:r>
          </w:p>
          <w:p w:rsidR="00F13B54" w:rsidRPr="00C24C9E" w:rsidRDefault="00F13B54" w:rsidP="00A26C1C">
            <w:pPr>
              <w:pStyle w:val="TableBullet"/>
              <w:ind w:left="450"/>
            </w:pPr>
            <w:r w:rsidRPr="00C24C9E">
              <w:t>1 study (Lesinskas): Risk Ratio 7.07 (</w:t>
            </w:r>
            <w:r>
              <w:t xml:space="preserve">95% CI, </w:t>
            </w:r>
            <w:r w:rsidRPr="00C24C9E">
              <w:t>3.70</w:t>
            </w:r>
            <w:r>
              <w:t xml:space="preserve"> to</w:t>
            </w:r>
            <w:r w:rsidRPr="00C24C9E">
              <w:t xml:space="preserve"> 13.51)</w:t>
            </w:r>
          </w:p>
          <w:p w:rsidR="00F13B54" w:rsidRPr="004E20CF" w:rsidRDefault="00F13B54" w:rsidP="00A26C1C">
            <w:pPr>
              <w:pStyle w:val="TableText"/>
              <w:rPr>
                <w:rFonts w:eastAsia="Times New Roman"/>
                <w:noProof/>
              </w:rPr>
            </w:pPr>
            <w:r w:rsidRPr="004E20CF">
              <w:rPr>
                <w:rFonts w:eastAsia="Times New Roman"/>
                <w:noProof/>
              </w:rPr>
              <w:t>Improvement in composite by intervention (&gt; 1 month) Otovent or blower + balloon</w:t>
            </w:r>
          </w:p>
          <w:p w:rsidR="00F13B54" w:rsidRPr="00C24C9E" w:rsidRDefault="00F13B54" w:rsidP="00A26C1C">
            <w:pPr>
              <w:pStyle w:val="TableBullet"/>
              <w:ind w:left="450"/>
            </w:pPr>
            <w:r w:rsidRPr="00C24C9E">
              <w:t>2 studies (Blanshard, Stangerup) Risk Ratio 1.89 (</w:t>
            </w:r>
            <w:r>
              <w:t xml:space="preserve">95% CI, </w:t>
            </w:r>
            <w:r w:rsidRPr="00C24C9E">
              <w:t>0.7</w:t>
            </w:r>
            <w:r>
              <w:t>7 to</w:t>
            </w:r>
            <w:r w:rsidRPr="00C24C9E">
              <w:t xml:space="preserve"> 4.67)</w:t>
            </w:r>
          </w:p>
          <w:p w:rsidR="00F13B54" w:rsidRPr="004E20CF" w:rsidRDefault="00F13B54" w:rsidP="00A26C1C">
            <w:pPr>
              <w:pStyle w:val="TableText"/>
              <w:rPr>
                <w:rFonts w:eastAsia="Times New Roman"/>
                <w:noProof/>
              </w:rPr>
            </w:pPr>
            <w:r w:rsidRPr="004E20CF">
              <w:rPr>
                <w:rFonts w:eastAsia="Times New Roman"/>
                <w:noProof/>
              </w:rPr>
              <w:t>Improvement in composite by intervention (&gt; 1 month) Politzer</w:t>
            </w:r>
          </w:p>
          <w:p w:rsidR="00F13B54" w:rsidRDefault="00F13B54" w:rsidP="00A26C1C">
            <w:pPr>
              <w:pStyle w:val="TableBullet"/>
              <w:ind w:left="255" w:hanging="255"/>
            </w:pPr>
            <w:r w:rsidRPr="00C24C9E">
              <w:t>2 studies (Arick, Lesinskas): Risk Ratio 2.25 (</w:t>
            </w:r>
            <w:r>
              <w:t xml:space="preserve">95% CI, </w:t>
            </w:r>
            <w:r w:rsidRPr="00C24C9E">
              <w:t>1.67</w:t>
            </w:r>
            <w:r>
              <w:t xml:space="preserve"> to</w:t>
            </w:r>
            <w:r w:rsidRPr="00C24C9E">
              <w:t xml:space="preserve"> 3.04)</w:t>
            </w:r>
          </w:p>
          <w:p w:rsidR="00F13B54" w:rsidRPr="004E20CF" w:rsidRDefault="00F13B54" w:rsidP="00A26C1C">
            <w:pPr>
              <w:pStyle w:val="TableText"/>
              <w:rPr>
                <w:rFonts w:eastAsia="Times New Roman"/>
                <w:noProof/>
              </w:rPr>
            </w:pPr>
            <w:r w:rsidRPr="004E20CF">
              <w:rPr>
                <w:rFonts w:eastAsia="Times New Roman"/>
                <w:noProof/>
              </w:rPr>
              <w:t>Adults 16-75 yrs</w:t>
            </w:r>
          </w:p>
          <w:p w:rsidR="00F13B54" w:rsidRPr="00C24C9E" w:rsidRDefault="00F13B54" w:rsidP="00A26C1C">
            <w:pPr>
              <w:pStyle w:val="TableBullet"/>
              <w:ind w:left="450"/>
            </w:pPr>
            <w:r w:rsidRPr="00C24C9E">
              <w:t>1 study (Lesinskas), improvement in composite (pneumo-otoscopy, tympanometry, pure tone audiometry) by ears</w:t>
            </w:r>
          </w:p>
          <w:p w:rsidR="00F13B54" w:rsidRDefault="00F13B54" w:rsidP="00F13B54">
            <w:pPr>
              <w:pStyle w:val="TableBullet"/>
              <w:numPr>
                <w:ilvl w:val="1"/>
                <w:numId w:val="21"/>
              </w:numPr>
              <w:ind w:left="795"/>
            </w:pPr>
            <w:r>
              <w:t>E</w:t>
            </w:r>
            <w:r w:rsidRPr="00C24C9E">
              <w:t>nd of tx: autoinflation vs. control</w:t>
            </w:r>
            <w:r>
              <w:t xml:space="preserve"> </w:t>
            </w:r>
            <w:r w:rsidRPr="00C24C9E">
              <w:t>49.2% vs.9% (</w:t>
            </w:r>
            <w:r>
              <w:t>p&lt;</w:t>
            </w:r>
            <w:r w:rsidRPr="00C24C9E">
              <w:t>.001)</w:t>
            </w:r>
          </w:p>
          <w:p w:rsidR="00F13B54" w:rsidRDefault="00F13B54" w:rsidP="00F13B54">
            <w:pPr>
              <w:pStyle w:val="TableBullet"/>
              <w:numPr>
                <w:ilvl w:val="1"/>
                <w:numId w:val="21"/>
              </w:numPr>
              <w:ind w:left="795"/>
            </w:pPr>
            <w:r w:rsidRPr="00C24C9E">
              <w:t>50 days post tx: autoinflation vs. control 57.8% vs. 11.8% (</w:t>
            </w:r>
            <w:r>
              <w:t>p&lt;</w:t>
            </w:r>
            <w:r w:rsidRPr="00C24C9E">
              <w:t>.001)</w:t>
            </w:r>
          </w:p>
          <w:p w:rsidR="00F13B54" w:rsidRPr="004E20CF" w:rsidRDefault="00F13B54" w:rsidP="00A26C1C">
            <w:pPr>
              <w:pStyle w:val="TableBoldText"/>
              <w:rPr>
                <w:rFonts w:eastAsia="Times New Roman"/>
              </w:rPr>
            </w:pPr>
            <w:r w:rsidRPr="004E20CF">
              <w:rPr>
                <w:rFonts w:eastAsia="Times New Roman"/>
              </w:rPr>
              <w:t>Adverse Events</w:t>
            </w:r>
          </w:p>
          <w:p w:rsidR="00F13B54" w:rsidRPr="004E20CF" w:rsidRDefault="00F13B54" w:rsidP="00A26C1C">
            <w:pPr>
              <w:pStyle w:val="TableText"/>
              <w:rPr>
                <w:rFonts w:eastAsia="Times New Roman"/>
              </w:rPr>
            </w:pPr>
            <w:r w:rsidRPr="004E20CF">
              <w:rPr>
                <w:rFonts w:eastAsia="Times New Roman"/>
                <w:noProof/>
              </w:rPr>
              <w:t xml:space="preserve">"No studies </w:t>
            </w:r>
            <w:r w:rsidRPr="004E20CF">
              <w:rPr>
                <w:rFonts w:eastAsia="Times New Roman"/>
              </w:rPr>
              <w:t>demonstrated a significant difference in the incidence of side effects between control or intervention group"</w:t>
            </w:r>
          </w:p>
          <w:p w:rsidR="00F13B54" w:rsidRPr="004E20CF" w:rsidRDefault="00F13B54" w:rsidP="00A26C1C">
            <w:pPr>
              <w:pStyle w:val="TableText"/>
              <w:rPr>
                <w:rFonts w:eastAsia="Times New Roman"/>
              </w:rPr>
            </w:pPr>
            <w:r w:rsidRPr="004E20CF">
              <w:rPr>
                <w:rFonts w:eastAsia="Times New Roman"/>
              </w:rPr>
              <w:t xml:space="preserve">AOM </w:t>
            </w:r>
          </w:p>
          <w:p w:rsidR="00F13B54" w:rsidRDefault="00F13B54" w:rsidP="00A26C1C">
            <w:pPr>
              <w:pStyle w:val="TableBullet"/>
              <w:ind w:left="450"/>
            </w:pPr>
            <w:r w:rsidRPr="00510D9B">
              <w:t>1 study (Blanchard) stratified by compliance: Control 44%, Low Compliance 30%, High Compliance 36%</w:t>
            </w:r>
          </w:p>
          <w:p w:rsidR="00F13B54" w:rsidRDefault="00F13B54" w:rsidP="00A26C1C">
            <w:pPr>
              <w:pStyle w:val="TableBullet"/>
              <w:ind w:left="450"/>
            </w:pPr>
            <w:r>
              <w:t>1 study (Stangerup): 2 week Autoinflation 2%, Control 5.5%; 1 month Autoinflation 0%, Control 6.6%; 2 month Autoinflation 9.1%, Control 5.3%; 3 months Autoinflation 9.1%, Control 4.1%</w:t>
            </w:r>
          </w:p>
          <w:p w:rsidR="00F13B54" w:rsidRDefault="00F13B54" w:rsidP="00A26C1C">
            <w:pPr>
              <w:pStyle w:val="TableBullet"/>
              <w:numPr>
                <w:ilvl w:val="0"/>
                <w:numId w:val="0"/>
              </w:numPr>
              <w:ind w:left="90"/>
            </w:pPr>
            <w:r w:rsidRPr="00510D9B">
              <w:t>URTI</w:t>
            </w:r>
          </w:p>
          <w:p w:rsidR="00F13B54" w:rsidRPr="006C22DB" w:rsidRDefault="00F13B54" w:rsidP="00A26C1C">
            <w:pPr>
              <w:pStyle w:val="TableBullet"/>
              <w:ind w:left="255" w:hanging="255"/>
            </w:pPr>
            <w:r>
              <w:t>1 study (Blans</w:t>
            </w:r>
            <w:r w:rsidRPr="00510D9B">
              <w:t>hard) stratified by compliance: Control 23%, Low Compliance 61%, High Compliance 32%</w:t>
            </w:r>
          </w:p>
        </w:tc>
      </w:tr>
    </w:tbl>
    <w:p w:rsidR="00F13B54" w:rsidRDefault="00F13B54" w:rsidP="00F13B54"/>
    <w:p w:rsidR="00F13B54" w:rsidRDefault="00F13B54" w:rsidP="00F13B54">
      <w:pPr>
        <w:pStyle w:val="TableTitle"/>
      </w:pPr>
      <w:r>
        <w:br w:type="page"/>
      </w:r>
      <w:r>
        <w:lastRenderedPageBreak/>
        <w:t>Evidence Table 11. Systematic reviews (continued)</w:t>
      </w:r>
    </w:p>
    <w:tbl>
      <w:tblPr>
        <w:tblW w:w="13083" w:type="dxa"/>
        <w:tblBorders>
          <w:top w:val="single" w:sz="12" w:space="0" w:color="auto"/>
          <w:bottom w:val="single" w:sz="12" w:space="0" w:color="auto"/>
          <w:insideH w:val="single" w:sz="8" w:space="0" w:color="auto"/>
        </w:tblBorders>
        <w:tblLayout w:type="fixed"/>
        <w:tblLook w:val="04A0"/>
      </w:tblPr>
      <w:tblGrid>
        <w:gridCol w:w="1545"/>
        <w:gridCol w:w="11538"/>
      </w:tblGrid>
      <w:tr w:rsidR="00F13B54" w:rsidRPr="006C22DB" w:rsidTr="00A26C1C">
        <w:tc>
          <w:tcPr>
            <w:tcW w:w="1545"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Author, Year </w:t>
            </w:r>
          </w:p>
          <w:p w:rsidR="00F13B54" w:rsidRPr="006C22DB" w:rsidRDefault="00F13B54" w:rsidP="00A26C1C">
            <w:pPr>
              <w:pStyle w:val="TableLeftText"/>
              <w:rPr>
                <w:rFonts w:eastAsia="Times New Roman" w:cs="Times New Roman"/>
                <w:b/>
                <w:bCs/>
              </w:rPr>
            </w:pPr>
            <w:r w:rsidRPr="006C22DB">
              <w:rPr>
                <w:rFonts w:eastAsia="Times New Roman" w:cs="Times New Roman"/>
                <w:b/>
                <w:bCs/>
              </w:rPr>
              <w:t>Country</w:t>
            </w:r>
          </w:p>
          <w:p w:rsidR="00F13B54" w:rsidRPr="006C22DB" w:rsidRDefault="00F13B54" w:rsidP="00A26C1C">
            <w:pPr>
              <w:pStyle w:val="TableLeftText"/>
              <w:rPr>
                <w:rFonts w:eastAsia="Times New Roman" w:cs="Times New Roman"/>
                <w:b/>
                <w:bCs/>
              </w:rPr>
            </w:pPr>
            <w:r w:rsidRPr="006C22DB">
              <w:rPr>
                <w:rFonts w:eastAsia="Times New Roman" w:cs="Times New Roman"/>
                <w:b/>
                <w:bCs/>
              </w:rPr>
              <w:t>Funding</w:t>
            </w:r>
          </w:p>
          <w:p w:rsidR="00F13B54" w:rsidRPr="006C22DB" w:rsidRDefault="00F13B54" w:rsidP="00A26C1C">
            <w:pPr>
              <w:pStyle w:val="TableLeftText"/>
              <w:rPr>
                <w:rFonts w:eastAsia="Times New Roman" w:cs="Times New Roman"/>
                <w:b/>
                <w:bCs/>
              </w:rPr>
            </w:pPr>
            <w:r w:rsidRPr="006C22DB">
              <w:rPr>
                <w:rFonts w:eastAsia="Times New Roman" w:cs="Times New Roman"/>
                <w:b/>
                <w:bCs/>
              </w:rPr>
              <w:t>Study Design</w:t>
            </w:r>
          </w:p>
        </w:tc>
        <w:tc>
          <w:tcPr>
            <w:tcW w:w="11538"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Abstraction Form </w:t>
            </w:r>
          </w:p>
        </w:tc>
      </w:tr>
      <w:tr w:rsidR="00F13B54" w:rsidRPr="006C22DB" w:rsidTr="00A26C1C">
        <w:tc>
          <w:tcPr>
            <w:tcW w:w="1545" w:type="dxa"/>
            <w:shd w:val="clear" w:color="auto" w:fill="auto"/>
          </w:tcPr>
          <w:p w:rsidR="00F13B54" w:rsidRPr="006C22DB" w:rsidRDefault="00F13B54" w:rsidP="00A26C1C">
            <w:pPr>
              <w:pStyle w:val="TableText"/>
              <w:rPr>
                <w:rFonts w:eastAsia="Times New Roman" w:cs="Times New Roman"/>
              </w:rPr>
            </w:pPr>
            <w:r>
              <w:rPr>
                <w:rFonts w:eastAsia="Times New Roman" w:cs="Times New Roman"/>
                <w:noProof/>
              </w:rPr>
              <w:t>Simpson,</w:t>
            </w:r>
            <w:r w:rsidRPr="006C22DB">
              <w:rPr>
                <w:rFonts w:eastAsia="Times New Roman" w:cs="Times New Roman"/>
              </w:rPr>
              <w:t xml:space="preserve"> </w:t>
            </w:r>
            <w:r>
              <w:rPr>
                <w:rFonts w:eastAsia="Times New Roman" w:cs="Times New Roman"/>
                <w:noProof/>
              </w:rPr>
              <w:t>2011</w:t>
            </w:r>
            <w:r w:rsidRPr="00A446F9">
              <w:rPr>
                <w:rFonts w:ascii="Times New Roman" w:eastAsia="Times New Roman" w:hAnsi="Times New Roman" w:cs="Times New Roman"/>
                <w:noProof/>
                <w:vertAlign w:val="superscript"/>
              </w:rPr>
              <w:t>17</w:t>
            </w:r>
          </w:p>
          <w:p w:rsidR="00F13B54" w:rsidRDefault="00F13B54" w:rsidP="00A26C1C">
            <w:pPr>
              <w:pStyle w:val="TableText"/>
              <w:rPr>
                <w:rFonts w:eastAsia="Times New Roman" w:cs="Times New Roman"/>
                <w:noProof/>
              </w:rPr>
            </w:pPr>
          </w:p>
          <w:p w:rsidR="00F13B54" w:rsidRPr="008F1900" w:rsidRDefault="00F13B54" w:rsidP="00A26C1C">
            <w:pPr>
              <w:pStyle w:val="TableText"/>
              <w:rPr>
                <w:rFonts w:eastAsia="Times New Roman"/>
              </w:rPr>
            </w:pPr>
            <w:r w:rsidRPr="008F1900">
              <w:rPr>
                <w:rFonts w:eastAsia="Times New Roman"/>
              </w:rPr>
              <w:t>Department of Primary Care and Public Health, Cardiff University, UK.</w:t>
            </w:r>
            <w:r>
              <w:rPr>
                <w:rFonts w:eastAsia="Times New Roman"/>
              </w:rPr>
              <w:t>;</w:t>
            </w:r>
          </w:p>
          <w:p w:rsidR="00F13B54" w:rsidRPr="008F1900" w:rsidRDefault="00F13B54" w:rsidP="00A26C1C">
            <w:pPr>
              <w:pStyle w:val="TableText"/>
              <w:rPr>
                <w:rFonts w:eastAsia="Times New Roman"/>
              </w:rPr>
            </w:pPr>
            <w:r w:rsidRPr="008F1900">
              <w:rPr>
                <w:rFonts w:eastAsia="Times New Roman"/>
              </w:rPr>
              <w:t>Wales School of Primary Care Research, UK.</w:t>
            </w:r>
            <w:r>
              <w:rPr>
                <w:rFonts w:eastAsia="Times New Roman"/>
              </w:rPr>
              <w:t>;</w:t>
            </w:r>
          </w:p>
          <w:p w:rsidR="00F13B54" w:rsidRDefault="00F13B54" w:rsidP="00A26C1C">
            <w:pPr>
              <w:pStyle w:val="TableText"/>
              <w:rPr>
                <w:rFonts w:eastAsia="Times New Roman" w:cs="Times New Roman"/>
              </w:rPr>
            </w:pPr>
            <w:r w:rsidRPr="008F1900">
              <w:rPr>
                <w:rFonts w:eastAsia="Times New Roman" w:cs="Times New Roman"/>
              </w:rPr>
              <w:t>The National Insti</w:t>
            </w:r>
            <w:r>
              <w:rPr>
                <w:rFonts w:eastAsia="Times New Roman" w:cs="Times New Roman"/>
              </w:rPr>
              <w:t>tute For Social Care and Health Research All-Wales (NISCHR)</w:t>
            </w:r>
          </w:p>
          <w:p w:rsidR="00F13B54" w:rsidRPr="006C22DB" w:rsidRDefault="00F13B54" w:rsidP="00A26C1C">
            <w:pPr>
              <w:pStyle w:val="TableText"/>
              <w:rPr>
                <w:rFonts w:eastAsia="Times New Roman" w:cs="Times New Roman"/>
              </w:rPr>
            </w:pPr>
            <w:r>
              <w:rPr>
                <w:rFonts w:eastAsia="Times New Roman" w:cs="Times New Roman"/>
              </w:rPr>
              <w:t>Last search: August 2010</w:t>
            </w:r>
          </w:p>
        </w:tc>
        <w:tc>
          <w:tcPr>
            <w:tcW w:w="11538" w:type="dxa"/>
            <w:shd w:val="clear" w:color="auto" w:fill="auto"/>
          </w:tcPr>
          <w:p w:rsidR="00F13B54" w:rsidRPr="00B95E87" w:rsidRDefault="00F13B54" w:rsidP="00A26C1C">
            <w:pPr>
              <w:pStyle w:val="TableBoldText"/>
              <w:rPr>
                <w:rFonts w:eastAsia="Times New Roman" w:cs="Times New Roman"/>
              </w:rPr>
            </w:pPr>
            <w:r w:rsidRPr="00B95E87">
              <w:rPr>
                <w:rFonts w:eastAsia="Times New Roman" w:cs="Times New Roman"/>
              </w:rPr>
              <w:t>Number of Patients</w:t>
            </w:r>
          </w:p>
          <w:p w:rsidR="00F13B54" w:rsidRPr="00B95E87" w:rsidRDefault="00F13B54" w:rsidP="00A26C1C">
            <w:pPr>
              <w:pStyle w:val="TableText"/>
              <w:rPr>
                <w:rFonts w:eastAsia="Times New Roman" w:cs="Times New Roman"/>
              </w:rPr>
            </w:pPr>
            <w:r w:rsidRPr="00B95E87">
              <w:rPr>
                <w:rFonts w:eastAsia="Times New Roman" w:cs="Times New Roman"/>
                <w:noProof/>
              </w:rPr>
              <w:t>945 in 12 studies</w:t>
            </w:r>
          </w:p>
          <w:p w:rsidR="00F13B54" w:rsidRPr="00B95E87" w:rsidRDefault="00F13B54" w:rsidP="00A26C1C">
            <w:pPr>
              <w:pStyle w:val="TableBoldText"/>
              <w:rPr>
                <w:rFonts w:eastAsia="Times New Roman" w:cs="Times New Roman"/>
              </w:rPr>
            </w:pPr>
            <w:r w:rsidRPr="00B95E87">
              <w:rPr>
                <w:rFonts w:eastAsia="Times New Roman" w:cs="Times New Roman"/>
              </w:rPr>
              <w:t>Aims of Review</w:t>
            </w:r>
          </w:p>
          <w:p w:rsidR="00F13B54" w:rsidRPr="00B95E87" w:rsidRDefault="00F13B54" w:rsidP="00A26C1C">
            <w:pPr>
              <w:pStyle w:val="TableBoldText"/>
              <w:rPr>
                <w:rFonts w:eastAsia="Times New Roman" w:cs="Times New Roman"/>
                <w:b w:val="0"/>
                <w:noProof/>
              </w:rPr>
            </w:pPr>
            <w:r w:rsidRPr="00B95E87">
              <w:rPr>
                <w:rFonts w:eastAsia="Times New Roman" w:cs="Times New Roman"/>
                <w:b w:val="0"/>
                <w:noProof/>
              </w:rPr>
              <w:t>To examine the evidence for treating children with hearing loss associated with OME with systemic or topical intranasal steroids.</w:t>
            </w:r>
          </w:p>
          <w:p w:rsidR="00F13B54" w:rsidRPr="00B95E87" w:rsidRDefault="00F13B54" w:rsidP="00A26C1C">
            <w:pPr>
              <w:pStyle w:val="TableBoldText"/>
              <w:rPr>
                <w:rFonts w:eastAsia="Times New Roman" w:cs="Times New Roman"/>
              </w:rPr>
            </w:pPr>
            <w:r w:rsidRPr="00B95E87">
              <w:rPr>
                <w:rFonts w:eastAsia="Times New Roman" w:cs="Times New Roman"/>
              </w:rPr>
              <w:t>Studies Included in Analysis or Review</w:t>
            </w:r>
          </w:p>
          <w:p w:rsidR="00F13B54" w:rsidRPr="00B95E87" w:rsidRDefault="00F13B54" w:rsidP="00A26C1C">
            <w:pPr>
              <w:pStyle w:val="TableBullet"/>
            </w:pPr>
            <w:r w:rsidRPr="00B95E87">
              <w:t>Oral steroids: Schwartz 1980</w:t>
            </w:r>
            <w:r w:rsidRPr="00A446F9">
              <w:rPr>
                <w:rFonts w:ascii="Times New Roman" w:hAnsi="Times New Roman"/>
                <w:vertAlign w:val="superscript"/>
              </w:rPr>
              <w:t>18</w:t>
            </w:r>
            <w:r w:rsidRPr="00B95E87">
              <w:t>; Niederman 1984</w:t>
            </w:r>
            <w:r w:rsidRPr="00A446F9">
              <w:rPr>
                <w:rFonts w:ascii="Times New Roman" w:hAnsi="Times New Roman"/>
                <w:vertAlign w:val="superscript"/>
              </w:rPr>
              <w:t>19</w:t>
            </w:r>
            <w:r w:rsidRPr="00B95E87">
              <w:t>; Macknin 1985</w:t>
            </w:r>
            <w:r w:rsidRPr="00A446F9">
              <w:rPr>
                <w:rFonts w:ascii="Times New Roman" w:hAnsi="Times New Roman"/>
                <w:vertAlign w:val="superscript"/>
              </w:rPr>
              <w:t>20</w:t>
            </w:r>
            <w:r w:rsidRPr="00B95E87">
              <w:t>; Lambert 1986</w:t>
            </w:r>
            <w:r w:rsidRPr="00A446F9">
              <w:rPr>
                <w:rFonts w:ascii="Times New Roman" w:hAnsi="Times New Roman"/>
                <w:vertAlign w:val="superscript"/>
              </w:rPr>
              <w:t>21</w:t>
            </w:r>
            <w:r w:rsidRPr="00B95E87">
              <w:t>; Berman 1990</w:t>
            </w:r>
            <w:r w:rsidRPr="00A446F9">
              <w:rPr>
                <w:rFonts w:ascii="Times New Roman" w:hAnsi="Times New Roman"/>
                <w:vertAlign w:val="superscript"/>
              </w:rPr>
              <w:t>22</w:t>
            </w:r>
            <w:r w:rsidRPr="00B95E87">
              <w:t>; Giebink 1990</w:t>
            </w:r>
            <w:r w:rsidRPr="00A446F9">
              <w:rPr>
                <w:rFonts w:ascii="Times New Roman" w:hAnsi="Times New Roman"/>
                <w:vertAlign w:val="superscript"/>
              </w:rPr>
              <w:t>23</w:t>
            </w:r>
            <w:r w:rsidRPr="00B95E87">
              <w:t>; Podoshin 1990</w:t>
            </w:r>
            <w:r w:rsidRPr="00A446F9">
              <w:rPr>
                <w:rFonts w:ascii="Times New Roman" w:hAnsi="Times New Roman"/>
                <w:vertAlign w:val="superscript"/>
              </w:rPr>
              <w:t>24</w:t>
            </w:r>
            <w:r w:rsidRPr="00B95E87">
              <w:t>; Hemlin 1997</w:t>
            </w:r>
            <w:r w:rsidRPr="00A446F9">
              <w:rPr>
                <w:rFonts w:ascii="Times New Roman" w:hAnsi="Times New Roman"/>
                <w:vertAlign w:val="superscript"/>
              </w:rPr>
              <w:t>25</w:t>
            </w:r>
            <w:r w:rsidRPr="00B95E87">
              <w:t>; Mandel 2002</w:t>
            </w:r>
            <w:r w:rsidRPr="00A446F9">
              <w:rPr>
                <w:rFonts w:ascii="Times New Roman" w:hAnsi="Times New Roman"/>
                <w:vertAlign w:val="superscript"/>
              </w:rPr>
              <w:t>26</w:t>
            </w:r>
            <w:r w:rsidRPr="00B95E87">
              <w:t xml:space="preserve"> </w:t>
            </w:r>
          </w:p>
          <w:p w:rsidR="00F13B54" w:rsidRPr="00B95E87" w:rsidRDefault="00F13B54" w:rsidP="00A26C1C">
            <w:pPr>
              <w:pStyle w:val="TableBullet"/>
            </w:pPr>
            <w:r w:rsidRPr="00B95E87">
              <w:t>Topical intranasal steroids: Shap</w:t>
            </w:r>
            <w:r>
              <w:t>i</w:t>
            </w:r>
            <w:r w:rsidRPr="00B95E87">
              <w:t>ro 1982</w:t>
            </w:r>
            <w:r w:rsidRPr="00A446F9">
              <w:rPr>
                <w:rFonts w:ascii="Times New Roman" w:hAnsi="Times New Roman"/>
                <w:vertAlign w:val="superscript"/>
              </w:rPr>
              <w:t>27</w:t>
            </w:r>
            <w:r w:rsidRPr="00B95E87">
              <w:t>; Tracy 1998</w:t>
            </w:r>
            <w:r w:rsidRPr="00A446F9">
              <w:rPr>
                <w:rFonts w:ascii="Times New Roman" w:hAnsi="Times New Roman"/>
                <w:vertAlign w:val="superscript"/>
              </w:rPr>
              <w:t>28</w:t>
            </w:r>
            <w:r w:rsidRPr="00B95E87">
              <w:t>; Williamson 2009</w:t>
            </w:r>
            <w:r w:rsidRPr="00A446F9">
              <w:rPr>
                <w:rFonts w:ascii="Times New Roman" w:hAnsi="Times New Roman"/>
                <w:vertAlign w:val="superscript"/>
              </w:rPr>
              <w:t>29, 30</w:t>
            </w:r>
          </w:p>
          <w:p w:rsidR="00F13B54" w:rsidRPr="00B95E87" w:rsidRDefault="00F13B54" w:rsidP="00A26C1C">
            <w:pPr>
              <w:pStyle w:val="TableBoldText"/>
              <w:rPr>
                <w:rFonts w:eastAsia="Times New Roman" w:cs="Times New Roman"/>
              </w:rPr>
            </w:pPr>
            <w:r w:rsidRPr="00B95E87">
              <w:rPr>
                <w:rFonts w:eastAsia="Times New Roman" w:cs="Times New Roman"/>
              </w:rPr>
              <w:t>Characteristics of Included Studies</w:t>
            </w:r>
          </w:p>
          <w:p w:rsidR="00F13B54" w:rsidRPr="00B95E87" w:rsidRDefault="00F13B54" w:rsidP="00A26C1C">
            <w:pPr>
              <w:pStyle w:val="TableText"/>
              <w:rPr>
                <w:rFonts w:eastAsia="Times New Roman" w:cs="Times New Roman"/>
              </w:rPr>
            </w:pPr>
            <w:r w:rsidRPr="00B95E87">
              <w:rPr>
                <w:rFonts w:eastAsia="Times New Roman" w:cs="Times New Roman"/>
                <w:noProof/>
              </w:rPr>
              <w:t xml:space="preserve">Include: </w:t>
            </w:r>
          </w:p>
          <w:p w:rsidR="00F13B54" w:rsidRPr="00B95E87" w:rsidRDefault="00F13B54" w:rsidP="00A26C1C">
            <w:pPr>
              <w:pStyle w:val="TableBullet"/>
            </w:pPr>
            <w:r w:rsidRPr="00B95E87">
              <w:t xml:space="preserve">RCTs of oral and topical intranasal steroids. either alone or in combination with another agent such as an oral antibiotic. </w:t>
            </w:r>
          </w:p>
          <w:p w:rsidR="00F13B54" w:rsidRPr="00B95E87" w:rsidRDefault="00F13B54" w:rsidP="00A26C1C">
            <w:pPr>
              <w:pStyle w:val="TableBullet"/>
            </w:pPr>
            <w:r w:rsidRPr="00B95E87">
              <w:t>Publications in abstract form only; uncontrolled, non-randomised or retrospective studies; and studies reporting outcomes by ears (rather than children).</w:t>
            </w:r>
          </w:p>
          <w:p w:rsidR="00F13B54" w:rsidRPr="00B95E87" w:rsidRDefault="00F13B54" w:rsidP="00A26C1C">
            <w:pPr>
              <w:pStyle w:val="TableBoldText"/>
              <w:rPr>
                <w:rFonts w:eastAsia="Times New Roman" w:cs="Times New Roman"/>
              </w:rPr>
            </w:pPr>
            <w:r w:rsidRPr="00B95E87">
              <w:rPr>
                <w:rFonts w:eastAsia="Times New Roman" w:cs="Times New Roman"/>
              </w:rPr>
              <w:t>Criteria for diagnosing OME</w:t>
            </w:r>
          </w:p>
          <w:p w:rsidR="00F13B54" w:rsidRPr="00B95E87" w:rsidRDefault="00F13B54" w:rsidP="00A26C1C">
            <w:pPr>
              <w:autoSpaceDE w:val="0"/>
              <w:autoSpaceDN w:val="0"/>
              <w:adjustRightInd w:val="0"/>
              <w:rPr>
                <w:rFonts w:ascii="AGaramond-Regular" w:hAnsi="AGaramond-Regular" w:cs="AGaramond-Regular"/>
                <w:szCs w:val="18"/>
              </w:rPr>
            </w:pPr>
            <w:r w:rsidRPr="00B95E87">
              <w:rPr>
                <w:rFonts w:ascii="AGaramond-Regular" w:hAnsi="AGaramond-Regular" w:cs="AGaramond-Regular"/>
                <w:szCs w:val="18"/>
              </w:rPr>
              <w:t xml:space="preserve"> </w:t>
            </w:r>
          </w:p>
          <w:p w:rsidR="00F13B54" w:rsidRPr="00B95E87" w:rsidRDefault="00F13B54" w:rsidP="00A26C1C">
            <w:pPr>
              <w:pStyle w:val="TableBulletBlank"/>
            </w:pPr>
            <w:r w:rsidRPr="00B95E87">
              <w:t>A. Air-bone gap of 10 dB or more + 2 or more of: otomicroscopy, pneumatic otoscopy, tympanometry (type B or C2)</w:t>
            </w:r>
          </w:p>
          <w:p w:rsidR="00F13B54" w:rsidRPr="00B95E87" w:rsidRDefault="00F13B54" w:rsidP="00A26C1C">
            <w:pPr>
              <w:pStyle w:val="TableBulletBlank"/>
            </w:pPr>
            <w:r w:rsidRPr="00B95E87">
              <w:t>B. 2 or more of: otomiscroscopy, pneumatic otoscopy, tympanometry (type B or C2)</w:t>
            </w:r>
          </w:p>
          <w:p w:rsidR="00F13B54" w:rsidRPr="00B95E87" w:rsidRDefault="00F13B54" w:rsidP="00A26C1C">
            <w:pPr>
              <w:pStyle w:val="TableBulletBlank"/>
            </w:pPr>
            <w:r w:rsidRPr="00B95E87">
              <w:t>C. 1 of otoscopy alone or tympanometry (type B or C2)</w:t>
            </w:r>
          </w:p>
          <w:p w:rsidR="00F13B54" w:rsidRPr="00B95E87" w:rsidRDefault="00F13B54" w:rsidP="00A26C1C">
            <w:pPr>
              <w:pStyle w:val="TableBulletBlank"/>
            </w:pPr>
            <w:r w:rsidRPr="00B95E87">
              <w:t xml:space="preserve">D. Poorly or not defined </w:t>
            </w:r>
          </w:p>
          <w:p w:rsidR="00F13B54" w:rsidRPr="00B95E87" w:rsidRDefault="00F13B54" w:rsidP="00A26C1C">
            <w:pPr>
              <w:pStyle w:val="TableText"/>
              <w:rPr>
                <w:rFonts w:eastAsia="Times New Roman" w:cs="Times New Roman"/>
                <w:noProof/>
              </w:rPr>
            </w:pPr>
            <w:r w:rsidRPr="00B95E87">
              <w:rPr>
                <w:rFonts w:eastAsia="Times New Roman" w:cs="Times New Roman"/>
                <w:noProof/>
              </w:rPr>
              <w:t>Significant hearing loss defined by:</w:t>
            </w:r>
          </w:p>
          <w:p w:rsidR="00F13B54" w:rsidRPr="00B95E87" w:rsidRDefault="00F13B54" w:rsidP="00A26C1C">
            <w:pPr>
              <w:pStyle w:val="TableBulletBlank"/>
            </w:pPr>
            <w:r w:rsidRPr="00B95E87">
              <w:t>A. Pure-tone audiometry hearing loss of &gt;20 dB at 2 or more times within 3 mos (for example, mean of 500, 1000, and 2000 Hz hearing loss bilaterally)</w:t>
            </w:r>
          </w:p>
          <w:p w:rsidR="00F13B54" w:rsidRPr="00B95E87" w:rsidRDefault="00F13B54" w:rsidP="00A26C1C">
            <w:pPr>
              <w:pStyle w:val="TableBulletBlank"/>
            </w:pPr>
            <w:r w:rsidRPr="00B95E87">
              <w:t>B. Defined, but less strict than A</w:t>
            </w:r>
          </w:p>
          <w:p w:rsidR="00F13B54" w:rsidRPr="00B95E87" w:rsidRDefault="00F13B54" w:rsidP="00A26C1C">
            <w:pPr>
              <w:pStyle w:val="TableBulletBlank"/>
            </w:pPr>
            <w:r w:rsidRPr="00B95E87">
              <w:t>C. Uncertain or not defined</w:t>
            </w:r>
          </w:p>
          <w:p w:rsidR="00F13B54" w:rsidRPr="00B95E87" w:rsidRDefault="00F13B54" w:rsidP="00A26C1C">
            <w:pPr>
              <w:autoSpaceDE w:val="0"/>
              <w:autoSpaceDN w:val="0"/>
              <w:adjustRightInd w:val="0"/>
              <w:rPr>
                <w:rFonts w:ascii="AGaramond-Regular" w:hAnsi="AGaramond-Regular" w:cs="AGaramond-Regular"/>
                <w:szCs w:val="18"/>
              </w:rPr>
            </w:pPr>
          </w:p>
          <w:p w:rsidR="00F13B54" w:rsidRPr="00B95E87" w:rsidRDefault="00F13B54" w:rsidP="00A26C1C">
            <w:pPr>
              <w:pStyle w:val="TableBulletBlank"/>
              <w:rPr>
                <w:b/>
                <w:noProof w:val="0"/>
              </w:rPr>
            </w:pPr>
            <w:r w:rsidRPr="00B95E87">
              <w:rPr>
                <w:b/>
                <w:noProof w:val="0"/>
              </w:rPr>
              <w:t>Setting(s):</w:t>
            </w:r>
          </w:p>
          <w:p w:rsidR="00F13B54" w:rsidRPr="00B95E87" w:rsidRDefault="00F13B54" w:rsidP="00A26C1C">
            <w:pPr>
              <w:pStyle w:val="TableBulletBlank"/>
            </w:pPr>
            <w:r w:rsidRPr="00B95E87">
              <w:t>International; Hospital (secondary or tertiary care) or general practice (primary care)</w:t>
            </w:r>
          </w:p>
          <w:p w:rsidR="00F13B54" w:rsidRPr="00B95E87" w:rsidRDefault="00F13B54" w:rsidP="00A26C1C">
            <w:pPr>
              <w:pStyle w:val="TableBulletBlank"/>
              <w:rPr>
                <w:noProof w:val="0"/>
              </w:rPr>
            </w:pPr>
            <w:r w:rsidRPr="00B95E87">
              <w:rPr>
                <w:noProof w:val="0"/>
              </w:rPr>
              <w:t>Recruited from the otitis clinic, Departments of Otolaryngology or otolaryngology clinics, hospital based pediatric practices,</w:t>
            </w:r>
          </w:p>
          <w:p w:rsidR="00F13B54" w:rsidRPr="00B95E87" w:rsidRDefault="00F13B54" w:rsidP="00A26C1C">
            <w:pPr>
              <w:pStyle w:val="TableBulletBlank"/>
              <w:rPr>
                <w:noProof w:val="0"/>
              </w:rPr>
            </w:pPr>
            <w:r w:rsidRPr="00B95E87">
              <w:rPr>
                <w:noProof w:val="0"/>
              </w:rPr>
              <w:t xml:space="preserve">research centers, private clinics, a </w:t>
            </w:r>
            <w:r w:rsidRPr="00B95E87">
              <w:t>hospital and medical centre-based A</w:t>
            </w:r>
            <w:r w:rsidRPr="00B95E87">
              <w:rPr>
                <w:noProof w:val="0"/>
              </w:rPr>
              <w:t xml:space="preserve">mbulatory Care Clinic, a </w:t>
            </w:r>
            <w:r w:rsidRPr="00B95E87">
              <w:t xml:space="preserve">Children’s Orthopedic </w:t>
            </w:r>
            <w:r w:rsidRPr="00B95E87">
              <w:rPr>
                <w:noProof w:val="0"/>
              </w:rPr>
              <w:t>Hospital and Medical</w:t>
            </w:r>
          </w:p>
          <w:p w:rsidR="00F13B54" w:rsidRPr="004412AE" w:rsidRDefault="00F13B54" w:rsidP="00A26C1C">
            <w:pPr>
              <w:pStyle w:val="TableBulletBlank"/>
            </w:pPr>
            <w:r w:rsidRPr="00B95E87">
              <w:rPr>
                <w:noProof w:val="0"/>
              </w:rPr>
              <w:t>Centre, a Medical Centre-based pediatric Chronic Ear Clinic and general practices</w:t>
            </w:r>
          </w:p>
        </w:tc>
      </w:tr>
    </w:tbl>
    <w:p w:rsidR="00F13B54" w:rsidRDefault="00F13B54" w:rsidP="00F13B54"/>
    <w:p w:rsidR="00F13B54" w:rsidRDefault="00F13B54" w:rsidP="00F13B54">
      <w:pPr>
        <w:pStyle w:val="TableTitle"/>
      </w:pPr>
      <w:r>
        <w:br w:type="page"/>
      </w:r>
      <w:r>
        <w:lastRenderedPageBreak/>
        <w:t>Evidence Table 11. Systematic reviews (continued)</w:t>
      </w:r>
    </w:p>
    <w:tbl>
      <w:tblPr>
        <w:tblW w:w="13083" w:type="dxa"/>
        <w:tblBorders>
          <w:top w:val="single" w:sz="12" w:space="0" w:color="auto"/>
          <w:bottom w:val="single" w:sz="12" w:space="0" w:color="auto"/>
          <w:insideH w:val="single" w:sz="8" w:space="0" w:color="auto"/>
        </w:tblBorders>
        <w:tblLayout w:type="fixed"/>
        <w:tblLook w:val="04A0"/>
      </w:tblPr>
      <w:tblGrid>
        <w:gridCol w:w="1545"/>
        <w:gridCol w:w="11538"/>
      </w:tblGrid>
      <w:tr w:rsidR="00F13B54" w:rsidRPr="006C22DB" w:rsidTr="00A26C1C">
        <w:tc>
          <w:tcPr>
            <w:tcW w:w="1545"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Author, Year </w:t>
            </w:r>
          </w:p>
          <w:p w:rsidR="00F13B54" w:rsidRPr="006C22DB" w:rsidRDefault="00F13B54" w:rsidP="00A26C1C">
            <w:pPr>
              <w:pStyle w:val="TableLeftText"/>
              <w:rPr>
                <w:rFonts w:eastAsia="Times New Roman" w:cs="Times New Roman"/>
                <w:b/>
                <w:bCs/>
              </w:rPr>
            </w:pPr>
            <w:r w:rsidRPr="006C22DB">
              <w:rPr>
                <w:rFonts w:eastAsia="Times New Roman" w:cs="Times New Roman"/>
                <w:b/>
                <w:bCs/>
              </w:rPr>
              <w:t>Country</w:t>
            </w:r>
          </w:p>
          <w:p w:rsidR="00F13B54" w:rsidRPr="006C22DB" w:rsidRDefault="00F13B54" w:rsidP="00A26C1C">
            <w:pPr>
              <w:pStyle w:val="TableLeftText"/>
              <w:rPr>
                <w:rFonts w:eastAsia="Times New Roman" w:cs="Times New Roman"/>
                <w:b/>
                <w:bCs/>
              </w:rPr>
            </w:pPr>
            <w:r w:rsidRPr="006C22DB">
              <w:rPr>
                <w:rFonts w:eastAsia="Times New Roman" w:cs="Times New Roman"/>
                <w:b/>
                <w:bCs/>
              </w:rPr>
              <w:t>Funding</w:t>
            </w:r>
          </w:p>
          <w:p w:rsidR="00F13B54" w:rsidRPr="006C22DB" w:rsidRDefault="00F13B54" w:rsidP="00A26C1C">
            <w:pPr>
              <w:pStyle w:val="TableLeftText"/>
              <w:rPr>
                <w:rFonts w:eastAsia="Times New Roman" w:cs="Times New Roman"/>
                <w:b/>
                <w:bCs/>
              </w:rPr>
            </w:pPr>
            <w:r w:rsidRPr="006C22DB">
              <w:rPr>
                <w:rFonts w:eastAsia="Times New Roman" w:cs="Times New Roman"/>
                <w:b/>
                <w:bCs/>
              </w:rPr>
              <w:t>Study Design</w:t>
            </w:r>
          </w:p>
        </w:tc>
        <w:tc>
          <w:tcPr>
            <w:tcW w:w="11538"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Abstraction Form </w:t>
            </w:r>
          </w:p>
        </w:tc>
      </w:tr>
      <w:tr w:rsidR="00F13B54" w:rsidRPr="006C22DB" w:rsidTr="00A26C1C">
        <w:tc>
          <w:tcPr>
            <w:tcW w:w="1545" w:type="dxa"/>
            <w:shd w:val="clear" w:color="auto" w:fill="auto"/>
          </w:tcPr>
          <w:p w:rsidR="00F13B54" w:rsidRDefault="00F13B54" w:rsidP="00A26C1C">
            <w:pPr>
              <w:pStyle w:val="TableText"/>
              <w:rPr>
                <w:rFonts w:eastAsia="Times New Roman" w:cs="Times New Roman"/>
                <w:noProof/>
              </w:rPr>
            </w:pPr>
            <w:r>
              <w:rPr>
                <w:rFonts w:eastAsia="Times New Roman" w:cs="Times New Roman"/>
                <w:noProof/>
              </w:rPr>
              <w:t>Simpson,</w:t>
            </w:r>
            <w:r w:rsidRPr="006C22DB">
              <w:rPr>
                <w:rFonts w:eastAsia="Times New Roman" w:cs="Times New Roman"/>
              </w:rPr>
              <w:t xml:space="preserve"> </w:t>
            </w:r>
            <w:r>
              <w:rPr>
                <w:rFonts w:eastAsia="Times New Roman" w:cs="Times New Roman"/>
                <w:noProof/>
              </w:rPr>
              <w:t>2011</w:t>
            </w:r>
            <w:r w:rsidRPr="00A446F9">
              <w:rPr>
                <w:rFonts w:ascii="Times New Roman" w:eastAsia="Times New Roman" w:hAnsi="Times New Roman" w:cs="Times New Roman"/>
                <w:noProof/>
                <w:vertAlign w:val="superscript"/>
              </w:rPr>
              <w:t>17</w:t>
            </w:r>
            <w:r>
              <w:rPr>
                <w:rFonts w:eastAsia="Times New Roman" w:cs="Times New Roman"/>
              </w:rPr>
              <w:t xml:space="preserve"> (continued)</w:t>
            </w:r>
          </w:p>
        </w:tc>
        <w:tc>
          <w:tcPr>
            <w:tcW w:w="11538" w:type="dxa"/>
            <w:shd w:val="clear" w:color="auto" w:fill="auto"/>
          </w:tcPr>
          <w:p w:rsidR="00F13B54" w:rsidRPr="00B95E87" w:rsidRDefault="00F13B54" w:rsidP="00A26C1C">
            <w:pPr>
              <w:pStyle w:val="TableBoldText"/>
              <w:rPr>
                <w:rFonts w:eastAsia="Times New Roman" w:cs="Times New Roman"/>
              </w:rPr>
            </w:pPr>
            <w:r w:rsidRPr="00B95E87">
              <w:rPr>
                <w:rFonts w:eastAsia="Times New Roman" w:cs="Times New Roman"/>
              </w:rPr>
              <w:t>Characteristics of Included Populations</w:t>
            </w:r>
          </w:p>
          <w:p w:rsidR="00F13B54" w:rsidRPr="00B95E87" w:rsidRDefault="00F13B54" w:rsidP="00A26C1C">
            <w:pPr>
              <w:pStyle w:val="TableText"/>
              <w:spacing w:after="120"/>
              <w:rPr>
                <w:rFonts w:eastAsia="Times New Roman" w:cs="Times New Roman"/>
                <w:noProof/>
              </w:rPr>
            </w:pPr>
            <w:r w:rsidRPr="00B95E87">
              <w:rPr>
                <w:rFonts w:eastAsia="Times New Roman" w:cs="Times New Roman"/>
                <w:noProof/>
              </w:rPr>
              <w:t>Children up to the age 12 with the exception of 3 included studies, 2 of which included up to age 14 and one included up to age 15.</w:t>
            </w:r>
          </w:p>
          <w:p w:rsidR="00F13B54" w:rsidRPr="00B95E87" w:rsidRDefault="00F13B54" w:rsidP="00A26C1C">
            <w:pPr>
              <w:pStyle w:val="TableText"/>
              <w:rPr>
                <w:rFonts w:eastAsia="Times New Roman" w:cs="Times New Roman"/>
                <w:noProof/>
              </w:rPr>
            </w:pPr>
            <w:r w:rsidRPr="00B95E87">
              <w:rPr>
                <w:rFonts w:eastAsia="Times New Roman" w:cs="Times New Roman"/>
                <w:noProof/>
              </w:rPr>
              <w:t xml:space="preserve">Berman, 1990: </w:t>
            </w:r>
            <w:r w:rsidRPr="00B95E87">
              <w:rPr>
                <w:rFonts w:eastAsia="Times New Roman"/>
                <w:noProof/>
              </w:rPr>
              <w:t>68 children, 6 months to 5.4 years of age with e</w:t>
            </w:r>
            <w:r w:rsidRPr="00B95E87">
              <w:rPr>
                <w:rFonts w:eastAsia="Times New Roman" w:cs="Times New Roman"/>
                <w:noProof/>
              </w:rPr>
              <w:t>ffusion t for at least 6 weeks and all had 2 previous rounds of antibiotics</w:t>
            </w:r>
          </w:p>
          <w:p w:rsidR="00F13B54" w:rsidRPr="00B95E87" w:rsidRDefault="00F13B54" w:rsidP="00A26C1C">
            <w:pPr>
              <w:pStyle w:val="TableText"/>
              <w:rPr>
                <w:rFonts w:eastAsia="Times New Roman"/>
                <w:noProof/>
              </w:rPr>
            </w:pPr>
            <w:r w:rsidRPr="00B95E87">
              <w:rPr>
                <w:rFonts w:eastAsia="Times New Roman" w:cs="Times New Roman"/>
                <w:noProof/>
              </w:rPr>
              <w:t>Giebink, 1990:</w:t>
            </w:r>
            <w:r w:rsidRPr="00B95E87">
              <w:rPr>
                <w:rFonts w:ascii="AGaramond-Regular" w:hAnsi="AGaramond-Regular" w:cs="AGaramond-Regular"/>
              </w:rPr>
              <w:t xml:space="preserve"> </w:t>
            </w:r>
            <w:r w:rsidRPr="00B95E87">
              <w:rPr>
                <w:rFonts w:eastAsia="Times New Roman"/>
                <w:noProof/>
              </w:rPr>
              <w:t>76 children, 10 months to 7.9 years of age with continuous OME for at least 8 weeks and  at least 3 episodes within previous</w:t>
            </w:r>
          </w:p>
          <w:p w:rsidR="00F13B54" w:rsidRPr="00B95E87" w:rsidRDefault="00F13B54" w:rsidP="00A26C1C">
            <w:pPr>
              <w:pStyle w:val="TableText"/>
              <w:rPr>
                <w:rFonts w:eastAsia="Times New Roman" w:cs="Times New Roman"/>
                <w:noProof/>
              </w:rPr>
            </w:pPr>
            <w:r w:rsidRPr="00B95E87">
              <w:rPr>
                <w:rFonts w:eastAsia="Times New Roman" w:cs="Times New Roman"/>
                <w:noProof/>
              </w:rPr>
              <w:t>18 months. All completed a course of antibiotic therapy for most recent acute OM.</w:t>
            </w:r>
          </w:p>
          <w:p w:rsidR="00F13B54" w:rsidRPr="00B95E87" w:rsidRDefault="00F13B54" w:rsidP="00A26C1C">
            <w:pPr>
              <w:pStyle w:val="TableText"/>
              <w:rPr>
                <w:rFonts w:eastAsia="Times New Roman" w:cs="Times New Roman"/>
                <w:noProof/>
              </w:rPr>
            </w:pPr>
            <w:r w:rsidRPr="00B95E87">
              <w:rPr>
                <w:rFonts w:eastAsia="Times New Roman" w:cs="Times New Roman"/>
                <w:noProof/>
              </w:rPr>
              <w:t xml:space="preserve">Hemlin, 1997: </w:t>
            </w:r>
            <w:r w:rsidRPr="00B95E87">
              <w:rPr>
                <w:rFonts w:eastAsia="Times New Roman"/>
                <w:noProof/>
              </w:rPr>
              <w:t xml:space="preserve">142 children , 2 to 12 years of age with effusion </w:t>
            </w:r>
            <w:r w:rsidRPr="00B95E87">
              <w:rPr>
                <w:rFonts w:eastAsia="Times New Roman" w:cs="Times New Roman"/>
                <w:noProof/>
              </w:rPr>
              <w:t>for at least 3 months</w:t>
            </w:r>
          </w:p>
          <w:p w:rsidR="00F13B54" w:rsidRPr="00B95E87" w:rsidRDefault="00F13B54" w:rsidP="00A26C1C">
            <w:pPr>
              <w:pStyle w:val="TableText"/>
              <w:rPr>
                <w:rFonts w:eastAsia="Times New Roman" w:cs="Times New Roman"/>
                <w:noProof/>
              </w:rPr>
            </w:pPr>
            <w:r w:rsidRPr="00B95E87">
              <w:rPr>
                <w:rFonts w:eastAsia="Times New Roman" w:cs="Times New Roman"/>
                <w:noProof/>
              </w:rPr>
              <w:t xml:space="preserve">Lambert, 1986: </w:t>
            </w:r>
            <w:r w:rsidRPr="00B95E87">
              <w:rPr>
                <w:rFonts w:eastAsia="Times New Roman"/>
                <w:noProof/>
              </w:rPr>
              <w:t>60 children, 2 to 15 years of age with e</w:t>
            </w:r>
            <w:r w:rsidRPr="00B95E87">
              <w:rPr>
                <w:rFonts w:eastAsia="Times New Roman" w:cs="Times New Roman"/>
                <w:noProof/>
              </w:rPr>
              <w:t>ffusion for at least 2 months</w:t>
            </w:r>
          </w:p>
          <w:p w:rsidR="00F13B54" w:rsidRPr="00B95E87" w:rsidRDefault="00F13B54" w:rsidP="00A26C1C">
            <w:pPr>
              <w:pStyle w:val="TableText"/>
              <w:rPr>
                <w:rFonts w:eastAsia="Times New Roman"/>
                <w:noProof/>
              </w:rPr>
            </w:pPr>
            <w:r w:rsidRPr="00B95E87">
              <w:rPr>
                <w:rFonts w:eastAsia="Times New Roman" w:cs="Times New Roman"/>
                <w:noProof/>
              </w:rPr>
              <w:t xml:space="preserve">Macknin, 1985: </w:t>
            </w:r>
            <w:r w:rsidRPr="00B95E87">
              <w:rPr>
                <w:rFonts w:eastAsia="Times New Roman"/>
                <w:noProof/>
              </w:rPr>
              <w:t xml:space="preserve">49 children, 6 months to 14 years of age enrolled 6 weeks after initial presentation with acute OM and completing 10 day course of antibotic therpay </w:t>
            </w:r>
          </w:p>
          <w:p w:rsidR="00F13B54" w:rsidRPr="00B95E87" w:rsidRDefault="00F13B54" w:rsidP="00A26C1C">
            <w:pPr>
              <w:pStyle w:val="TableText"/>
              <w:rPr>
                <w:rFonts w:eastAsia="Times New Roman" w:cs="Times New Roman"/>
                <w:noProof/>
              </w:rPr>
            </w:pPr>
            <w:r w:rsidRPr="00B95E87">
              <w:rPr>
                <w:rFonts w:eastAsia="Times New Roman" w:cs="Times New Roman"/>
                <w:noProof/>
              </w:rPr>
              <w:t xml:space="preserve">Mandel, 2002: </w:t>
            </w:r>
            <w:r w:rsidRPr="00B95E87">
              <w:rPr>
                <w:rFonts w:eastAsia="Times New Roman"/>
                <w:noProof/>
              </w:rPr>
              <w:t xml:space="preserve">144 children, 1 to 9 years of age with effusion </w:t>
            </w:r>
            <w:r w:rsidRPr="00B95E87">
              <w:rPr>
                <w:rFonts w:eastAsia="Times New Roman" w:cs="Times New Roman"/>
                <w:noProof/>
              </w:rPr>
              <w:t>for at least 2 months</w:t>
            </w:r>
          </w:p>
          <w:p w:rsidR="00F13B54" w:rsidRPr="00B95E87" w:rsidRDefault="00F13B54" w:rsidP="00A26C1C">
            <w:pPr>
              <w:pStyle w:val="TableText"/>
              <w:rPr>
                <w:rFonts w:eastAsia="Times New Roman"/>
                <w:noProof/>
              </w:rPr>
            </w:pPr>
            <w:r w:rsidRPr="00B95E87">
              <w:rPr>
                <w:rFonts w:eastAsia="Times New Roman"/>
                <w:noProof/>
              </w:rPr>
              <w:t>Niederman, 1984: 26 children, 2 to 14 years of age with effusion present for 8 weeks</w:t>
            </w:r>
          </w:p>
          <w:p w:rsidR="00F13B54" w:rsidRPr="00B95E87" w:rsidRDefault="00F13B54" w:rsidP="00A26C1C">
            <w:pPr>
              <w:pStyle w:val="TableText"/>
              <w:rPr>
                <w:rFonts w:eastAsia="Times New Roman"/>
                <w:noProof/>
              </w:rPr>
            </w:pPr>
            <w:r w:rsidRPr="00B95E87">
              <w:rPr>
                <w:rFonts w:eastAsia="Times New Roman"/>
                <w:noProof/>
              </w:rPr>
              <w:t>Podoshin, 1990: 150 children 3 to 8 years of age with previsouly untreated OME that was present for at least 2 months</w:t>
            </w:r>
          </w:p>
          <w:p w:rsidR="00F13B54" w:rsidRPr="00B95E87" w:rsidRDefault="00F13B54" w:rsidP="00A26C1C">
            <w:pPr>
              <w:pStyle w:val="TableText"/>
              <w:rPr>
                <w:rFonts w:eastAsia="Times New Roman"/>
                <w:noProof/>
              </w:rPr>
            </w:pPr>
            <w:r w:rsidRPr="00B95E87">
              <w:rPr>
                <w:rFonts w:eastAsia="Times New Roman"/>
                <w:noProof/>
              </w:rPr>
              <w:t>Schwartz, 1980: 41 children, 1.2 to 10 years of age with effusions present for 3 weeks weeks despite previous antibiotics and/or decongestant treatment</w:t>
            </w:r>
          </w:p>
          <w:p w:rsidR="00F13B54" w:rsidRPr="00B95E87" w:rsidRDefault="00F13B54" w:rsidP="00A26C1C">
            <w:pPr>
              <w:pStyle w:val="TableText"/>
              <w:rPr>
                <w:rFonts w:eastAsia="Times New Roman"/>
                <w:noProof/>
              </w:rPr>
            </w:pPr>
            <w:r w:rsidRPr="00B95E87">
              <w:rPr>
                <w:rFonts w:eastAsia="Times New Roman"/>
                <w:noProof/>
              </w:rPr>
              <w:t>Shapiro, 1982: 45 children, 2 to 10 years of age, persistent Eustachian tube dysfunction (documented with abnormal tympanometry)</w:t>
            </w:r>
          </w:p>
          <w:p w:rsidR="00F13B54" w:rsidRPr="00B95E87" w:rsidRDefault="00F13B54" w:rsidP="00A26C1C">
            <w:pPr>
              <w:pStyle w:val="TableText"/>
              <w:rPr>
                <w:rFonts w:eastAsia="Times New Roman"/>
                <w:noProof/>
              </w:rPr>
            </w:pPr>
            <w:r w:rsidRPr="00B95E87">
              <w:rPr>
                <w:rFonts w:eastAsia="Times New Roman"/>
                <w:noProof/>
              </w:rPr>
              <w:t>due to allergic rhinitis which failed to respond to 4 weeks of oral antihistamine and</w:t>
            </w:r>
          </w:p>
          <w:p w:rsidR="00F13B54" w:rsidRPr="00B95E87" w:rsidRDefault="00F13B54" w:rsidP="00A26C1C">
            <w:pPr>
              <w:pStyle w:val="TableText"/>
              <w:rPr>
                <w:rFonts w:eastAsia="Times New Roman"/>
                <w:noProof/>
              </w:rPr>
            </w:pPr>
            <w:r w:rsidRPr="00B95E87">
              <w:rPr>
                <w:rFonts w:eastAsia="Times New Roman"/>
                <w:noProof/>
              </w:rPr>
              <w:t>decongestants</w:t>
            </w:r>
          </w:p>
          <w:p w:rsidR="00F13B54" w:rsidRPr="00B95E87" w:rsidRDefault="00F13B54" w:rsidP="00A26C1C">
            <w:pPr>
              <w:pStyle w:val="TableText"/>
              <w:rPr>
                <w:rFonts w:eastAsia="Times New Roman"/>
                <w:noProof/>
              </w:rPr>
            </w:pPr>
            <w:r w:rsidRPr="00B95E87">
              <w:rPr>
                <w:rFonts w:eastAsia="Times New Roman"/>
                <w:noProof/>
              </w:rPr>
              <w:t xml:space="preserve">Tracy, 1998: 61 children (military-dependent population)aged from 3 to 11 years with persistent middle ear effusion for at least 3 months and a minimum of 3 episodes of AOM within past 6 months or 4 episodes within the past year </w:t>
            </w:r>
          </w:p>
          <w:p w:rsidR="00F13B54" w:rsidRPr="00B95E87" w:rsidRDefault="00F13B54" w:rsidP="00A26C1C">
            <w:pPr>
              <w:pStyle w:val="TableText"/>
              <w:rPr>
                <w:rFonts w:eastAsia="Times New Roman"/>
                <w:noProof/>
              </w:rPr>
            </w:pPr>
            <w:r w:rsidRPr="00B95E87">
              <w:rPr>
                <w:rFonts w:eastAsia="Times New Roman"/>
                <w:noProof/>
              </w:rPr>
              <w:t>Williamson, 2009: 217 children aged 4 to 11 years with 1 or more episodes of otitis media or ear-related problems in previous 12 months. (33% received active monitoring for 3 months prior to randomization).</w:t>
            </w:r>
          </w:p>
          <w:p w:rsidR="00F13B54" w:rsidRPr="00B95E87" w:rsidRDefault="00F13B54" w:rsidP="00A26C1C">
            <w:pPr>
              <w:pStyle w:val="TableBoldText"/>
              <w:rPr>
                <w:rFonts w:eastAsia="Times New Roman" w:cs="Times New Roman"/>
              </w:rPr>
            </w:pPr>
            <w:r w:rsidRPr="00B95E87">
              <w:rPr>
                <w:rFonts w:eastAsia="Times New Roman" w:cs="Times New Roman"/>
              </w:rPr>
              <w:t>Characteristics of Interventions</w:t>
            </w:r>
          </w:p>
          <w:p w:rsidR="00F13B54" w:rsidRPr="00B95E87" w:rsidRDefault="00F13B54" w:rsidP="00A26C1C">
            <w:pPr>
              <w:pStyle w:val="TableText"/>
              <w:rPr>
                <w:rFonts w:eastAsia="Times New Roman" w:cs="Times New Roman"/>
                <w:noProof/>
              </w:rPr>
            </w:pPr>
            <w:r w:rsidRPr="00B95E87">
              <w:rPr>
                <w:rFonts w:eastAsia="Times New Roman" w:cs="Times New Roman"/>
                <w:noProof/>
              </w:rPr>
              <w:t xml:space="preserve">Systemic or topical intranasal steroid compared with control (placebo or non-intervention control). Additional therapy could include antibiotics if it was the same in both arms. </w:t>
            </w:r>
          </w:p>
          <w:p w:rsidR="00F13B54" w:rsidRPr="00B95E87" w:rsidRDefault="00F13B54" w:rsidP="00A26C1C">
            <w:pPr>
              <w:pStyle w:val="TableText"/>
              <w:rPr>
                <w:rFonts w:eastAsia="Times New Roman" w:cs="Times New Roman"/>
                <w:noProof/>
              </w:rPr>
            </w:pPr>
          </w:p>
          <w:p w:rsidR="00F13B54" w:rsidRPr="00B95E87" w:rsidRDefault="00F13B54" w:rsidP="00A26C1C">
            <w:pPr>
              <w:pStyle w:val="TableText"/>
              <w:rPr>
                <w:b/>
              </w:rPr>
            </w:pPr>
            <w:r w:rsidRPr="00B95E87">
              <w:rPr>
                <w:b/>
              </w:rPr>
              <w:t>Main Results</w:t>
            </w:r>
          </w:p>
          <w:p w:rsidR="00F13B54" w:rsidRPr="00B95E87" w:rsidRDefault="00F13B54" w:rsidP="00A26C1C">
            <w:pPr>
              <w:pStyle w:val="TableText"/>
              <w:rPr>
                <w:u w:val="single"/>
              </w:rPr>
            </w:pPr>
            <w:r w:rsidRPr="00B95E87">
              <w:rPr>
                <w:u w:val="single"/>
              </w:rPr>
              <w:t>OME Resolution</w:t>
            </w:r>
          </w:p>
          <w:p w:rsidR="00F13B54" w:rsidRPr="00B95E87" w:rsidRDefault="00F13B54" w:rsidP="00A26C1C">
            <w:pPr>
              <w:pStyle w:val="TableText"/>
              <w:rPr>
                <w:rFonts w:eastAsia="Times New Roman" w:cs="Times New Roman"/>
              </w:rPr>
            </w:pPr>
            <w:r w:rsidRPr="00B95E87">
              <w:rPr>
                <w:rFonts w:eastAsia="Times New Roman" w:cs="Times New Roman"/>
              </w:rPr>
              <w:t>Oral Steroids vs. control</w:t>
            </w:r>
          </w:p>
          <w:p w:rsidR="00F13B54" w:rsidRPr="00B95E87" w:rsidRDefault="00F13B54" w:rsidP="00F13B54">
            <w:pPr>
              <w:pStyle w:val="ListParagraph"/>
              <w:numPr>
                <w:ilvl w:val="0"/>
                <w:numId w:val="24"/>
              </w:numPr>
              <w:spacing w:after="0" w:line="240" w:lineRule="auto"/>
              <w:contextualSpacing w:val="0"/>
              <w:rPr>
                <w:rFonts w:ascii="Arial" w:hAnsi="Arial"/>
                <w:sz w:val="18"/>
                <w:szCs w:val="18"/>
              </w:rPr>
            </w:pPr>
            <w:r w:rsidRPr="00B95E87">
              <w:rPr>
                <w:rFonts w:ascii="Arial" w:hAnsi="Arial"/>
                <w:sz w:val="18"/>
                <w:szCs w:val="18"/>
              </w:rPr>
              <w:t>MA: 3 studies</w:t>
            </w:r>
            <w:r w:rsidRPr="00A446F9">
              <w:rPr>
                <w:rFonts w:ascii="Times New Roman" w:hAnsi="Times New Roman"/>
                <w:noProof/>
                <w:sz w:val="18"/>
                <w:szCs w:val="18"/>
                <w:vertAlign w:val="superscript"/>
              </w:rPr>
              <w:t>19, 20, 23</w:t>
            </w:r>
            <w:r w:rsidRPr="00B95E87">
              <w:rPr>
                <w:rFonts w:ascii="Arial" w:hAnsi="Arial"/>
                <w:sz w:val="18"/>
                <w:szCs w:val="18"/>
              </w:rPr>
              <w:t xml:space="preserve">: </w:t>
            </w:r>
            <w:r w:rsidRPr="00B95E87">
              <w:rPr>
                <w:rFonts w:ascii="Arial" w:hAnsi="Arial"/>
                <w:noProof/>
                <w:sz w:val="18"/>
                <w:szCs w:val="18"/>
              </w:rPr>
              <w:t>OME resolution (4 to 6 weeks): RR:1.54 ( 95% CI</w:t>
            </w:r>
            <w:r>
              <w:rPr>
                <w:rFonts w:ascii="Arial" w:hAnsi="Arial"/>
                <w:noProof/>
                <w:sz w:val="18"/>
                <w:szCs w:val="18"/>
              </w:rPr>
              <w:t>,</w:t>
            </w:r>
            <w:r w:rsidRPr="00B95E87">
              <w:rPr>
                <w:rFonts w:ascii="Arial" w:hAnsi="Arial"/>
                <w:noProof/>
                <w:sz w:val="18"/>
                <w:szCs w:val="18"/>
              </w:rPr>
              <w:t xml:space="preserve"> 0.76 to 3.14)</w:t>
            </w:r>
          </w:p>
          <w:p w:rsidR="00F13B54" w:rsidRPr="00B95E87" w:rsidRDefault="00F13B54" w:rsidP="00A26C1C">
            <w:pPr>
              <w:pStyle w:val="TableText"/>
            </w:pPr>
            <w:r w:rsidRPr="00B95E87">
              <w:t>Oral steroids + antibiotic vs. control + antibiotic</w:t>
            </w:r>
          </w:p>
          <w:p w:rsidR="00F13B54" w:rsidRPr="00B95E87" w:rsidRDefault="00F13B54" w:rsidP="00F13B54">
            <w:pPr>
              <w:pStyle w:val="ListParagraph"/>
              <w:numPr>
                <w:ilvl w:val="0"/>
                <w:numId w:val="24"/>
              </w:numPr>
              <w:spacing w:after="0" w:line="240" w:lineRule="auto"/>
              <w:contextualSpacing w:val="0"/>
              <w:rPr>
                <w:rFonts w:ascii="Arial" w:hAnsi="Arial"/>
                <w:sz w:val="18"/>
                <w:szCs w:val="18"/>
              </w:rPr>
            </w:pPr>
            <w:r w:rsidRPr="00B95E87">
              <w:rPr>
                <w:rFonts w:ascii="Arial" w:hAnsi="Arial"/>
                <w:sz w:val="18"/>
                <w:szCs w:val="18"/>
              </w:rPr>
              <w:t>MA: 2 studies</w:t>
            </w:r>
            <w:r w:rsidRPr="00A446F9">
              <w:rPr>
                <w:rFonts w:ascii="Times New Roman" w:hAnsi="Times New Roman"/>
                <w:noProof/>
                <w:sz w:val="18"/>
                <w:szCs w:val="18"/>
                <w:vertAlign w:val="superscript"/>
              </w:rPr>
              <w:t>24, 26</w:t>
            </w:r>
            <w:r w:rsidRPr="00B95E87">
              <w:rPr>
                <w:rFonts w:ascii="Arial" w:hAnsi="Arial"/>
                <w:sz w:val="18"/>
                <w:szCs w:val="18"/>
              </w:rPr>
              <w:t xml:space="preserve">: </w:t>
            </w:r>
            <w:r w:rsidRPr="00B95E87">
              <w:rPr>
                <w:rFonts w:ascii="Arial" w:hAnsi="Arial"/>
                <w:noProof/>
                <w:sz w:val="18"/>
                <w:szCs w:val="18"/>
              </w:rPr>
              <w:t>OME resolution (1-2 months): RR:1.44 ( 95% CI</w:t>
            </w:r>
            <w:r>
              <w:rPr>
                <w:rFonts w:ascii="Arial" w:hAnsi="Arial"/>
                <w:noProof/>
                <w:sz w:val="18"/>
                <w:szCs w:val="18"/>
              </w:rPr>
              <w:t>,</w:t>
            </w:r>
            <w:r w:rsidRPr="00B95E87">
              <w:rPr>
                <w:rFonts w:ascii="Arial" w:hAnsi="Arial"/>
                <w:noProof/>
                <w:sz w:val="18"/>
                <w:szCs w:val="18"/>
              </w:rPr>
              <w:t xml:space="preserve"> 0.97 to 2.13)</w:t>
            </w:r>
          </w:p>
          <w:p w:rsidR="00F13B54" w:rsidRPr="00B95E87" w:rsidRDefault="00F13B54" w:rsidP="00A26C1C">
            <w:pPr>
              <w:rPr>
                <w:szCs w:val="18"/>
              </w:rPr>
            </w:pPr>
            <w:r w:rsidRPr="00B95E87">
              <w:rPr>
                <w:szCs w:val="18"/>
              </w:rPr>
              <w:t>Intranasal steroid + antibiotic vs. placebo + antibiotic or antibiotic alone</w:t>
            </w:r>
          </w:p>
          <w:p w:rsidR="00F13B54" w:rsidRPr="00B95E87" w:rsidRDefault="00F13B54" w:rsidP="00F13B54">
            <w:pPr>
              <w:pStyle w:val="ListParagraph"/>
              <w:numPr>
                <w:ilvl w:val="0"/>
                <w:numId w:val="24"/>
              </w:numPr>
              <w:spacing w:after="0" w:line="240" w:lineRule="auto"/>
              <w:contextualSpacing w:val="0"/>
              <w:rPr>
                <w:rFonts w:ascii="Arial" w:hAnsi="Arial"/>
                <w:sz w:val="18"/>
                <w:szCs w:val="18"/>
              </w:rPr>
            </w:pPr>
            <w:r w:rsidRPr="00B95E87">
              <w:rPr>
                <w:rFonts w:ascii="Arial" w:hAnsi="Arial"/>
                <w:sz w:val="18"/>
                <w:szCs w:val="18"/>
              </w:rPr>
              <w:t>1 study</w:t>
            </w:r>
            <w:r w:rsidRPr="00A446F9">
              <w:rPr>
                <w:rFonts w:ascii="Times New Roman" w:hAnsi="Times New Roman"/>
                <w:noProof/>
                <w:sz w:val="18"/>
                <w:szCs w:val="18"/>
                <w:vertAlign w:val="superscript"/>
              </w:rPr>
              <w:t>28</w:t>
            </w:r>
            <w:r w:rsidRPr="00B95E87">
              <w:rPr>
                <w:rFonts w:ascii="Arial" w:hAnsi="Arial"/>
                <w:sz w:val="18"/>
                <w:szCs w:val="18"/>
              </w:rPr>
              <w:t xml:space="preserve">: OME resolution (3 months): </w:t>
            </w:r>
            <w:r w:rsidRPr="00B95E87">
              <w:rPr>
                <w:rFonts w:ascii="Arial" w:hAnsi="Arial"/>
                <w:noProof/>
                <w:sz w:val="18"/>
                <w:szCs w:val="18"/>
              </w:rPr>
              <w:t>RR: 1.26 (95% CI, 0.54 to 2.96)</w:t>
            </w:r>
          </w:p>
          <w:p w:rsidR="00F13B54" w:rsidRPr="00B95E87" w:rsidRDefault="00F13B54" w:rsidP="00A26C1C">
            <w:pPr>
              <w:rPr>
                <w:szCs w:val="18"/>
              </w:rPr>
            </w:pPr>
            <w:r w:rsidRPr="00B95E87">
              <w:rPr>
                <w:szCs w:val="18"/>
              </w:rPr>
              <w:t xml:space="preserve">Intranasal steroid vs. control </w:t>
            </w:r>
          </w:p>
          <w:p w:rsidR="00F13B54" w:rsidRPr="004412AE" w:rsidRDefault="00F13B54" w:rsidP="00F13B54">
            <w:pPr>
              <w:numPr>
                <w:ilvl w:val="0"/>
                <w:numId w:val="24"/>
              </w:numPr>
              <w:rPr>
                <w:szCs w:val="18"/>
              </w:rPr>
            </w:pPr>
            <w:r w:rsidRPr="00B95E87">
              <w:rPr>
                <w:szCs w:val="18"/>
              </w:rPr>
              <w:t>1 study</w:t>
            </w:r>
            <w:r w:rsidRPr="00A446F9">
              <w:rPr>
                <w:rFonts w:ascii="Times New Roman" w:hAnsi="Times New Roman"/>
                <w:noProof/>
                <w:szCs w:val="18"/>
                <w:vertAlign w:val="superscript"/>
              </w:rPr>
              <w:t>29, 30</w:t>
            </w:r>
            <w:r w:rsidRPr="00B95E87">
              <w:rPr>
                <w:szCs w:val="18"/>
              </w:rPr>
              <w:t>: OME resolution</w:t>
            </w:r>
            <w:r w:rsidRPr="006D5D6C">
              <w:rPr>
                <w:bCs/>
              </w:rPr>
              <w:t xml:space="preserve"> </w:t>
            </w:r>
            <w:r w:rsidRPr="00B95E87">
              <w:rPr>
                <w:noProof/>
                <w:szCs w:val="18"/>
              </w:rPr>
              <w:t>(3 months</w:t>
            </w:r>
            <w:r w:rsidRPr="00B95E87">
              <w:rPr>
                <w:szCs w:val="18"/>
              </w:rPr>
              <w:t>) RR 1.11 (95% CI, 0.85 to 1.46); (9 months): RR: 0.85 (95% CI, 0.65 to 1.11)</w:t>
            </w:r>
          </w:p>
        </w:tc>
      </w:tr>
    </w:tbl>
    <w:p w:rsidR="00F13B54" w:rsidRDefault="00F13B54" w:rsidP="00F13B54">
      <w:pPr>
        <w:pStyle w:val="TableTitle"/>
      </w:pPr>
      <w:r>
        <w:br w:type="page"/>
      </w:r>
      <w:r>
        <w:lastRenderedPageBreak/>
        <w:t>Evidence Table 11. Systematic reviews (continued)</w:t>
      </w:r>
    </w:p>
    <w:tbl>
      <w:tblPr>
        <w:tblW w:w="13083" w:type="dxa"/>
        <w:tblBorders>
          <w:top w:val="single" w:sz="12" w:space="0" w:color="auto"/>
          <w:bottom w:val="single" w:sz="12" w:space="0" w:color="auto"/>
          <w:insideH w:val="single" w:sz="8" w:space="0" w:color="auto"/>
        </w:tblBorders>
        <w:tblLayout w:type="fixed"/>
        <w:tblLook w:val="04A0"/>
      </w:tblPr>
      <w:tblGrid>
        <w:gridCol w:w="1545"/>
        <w:gridCol w:w="11538"/>
      </w:tblGrid>
      <w:tr w:rsidR="00F13B54" w:rsidRPr="006C22DB" w:rsidTr="00A26C1C">
        <w:tc>
          <w:tcPr>
            <w:tcW w:w="1545"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Author, Year </w:t>
            </w:r>
          </w:p>
          <w:p w:rsidR="00F13B54" w:rsidRPr="006C22DB" w:rsidRDefault="00F13B54" w:rsidP="00A26C1C">
            <w:pPr>
              <w:pStyle w:val="TableLeftText"/>
              <w:rPr>
                <w:rFonts w:eastAsia="Times New Roman" w:cs="Times New Roman"/>
                <w:b/>
                <w:bCs/>
              </w:rPr>
            </w:pPr>
            <w:r w:rsidRPr="006C22DB">
              <w:rPr>
                <w:rFonts w:eastAsia="Times New Roman" w:cs="Times New Roman"/>
                <w:b/>
                <w:bCs/>
              </w:rPr>
              <w:t>Country</w:t>
            </w:r>
          </w:p>
          <w:p w:rsidR="00F13B54" w:rsidRPr="006C22DB" w:rsidRDefault="00F13B54" w:rsidP="00A26C1C">
            <w:pPr>
              <w:pStyle w:val="TableLeftText"/>
              <w:rPr>
                <w:rFonts w:eastAsia="Times New Roman" w:cs="Times New Roman"/>
                <w:b/>
                <w:bCs/>
              </w:rPr>
            </w:pPr>
            <w:r w:rsidRPr="006C22DB">
              <w:rPr>
                <w:rFonts w:eastAsia="Times New Roman" w:cs="Times New Roman"/>
                <w:b/>
                <w:bCs/>
              </w:rPr>
              <w:t>Funding</w:t>
            </w:r>
          </w:p>
          <w:p w:rsidR="00F13B54" w:rsidRPr="006C22DB" w:rsidRDefault="00F13B54" w:rsidP="00A26C1C">
            <w:pPr>
              <w:pStyle w:val="TableLeftText"/>
              <w:rPr>
                <w:rFonts w:eastAsia="Times New Roman" w:cs="Times New Roman"/>
                <w:b/>
                <w:bCs/>
              </w:rPr>
            </w:pPr>
            <w:r w:rsidRPr="006C22DB">
              <w:rPr>
                <w:rFonts w:eastAsia="Times New Roman" w:cs="Times New Roman"/>
                <w:b/>
                <w:bCs/>
              </w:rPr>
              <w:t>Study Design</w:t>
            </w:r>
          </w:p>
        </w:tc>
        <w:tc>
          <w:tcPr>
            <w:tcW w:w="11538"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Abstraction Form </w:t>
            </w:r>
          </w:p>
        </w:tc>
      </w:tr>
      <w:tr w:rsidR="00F13B54" w:rsidRPr="006C22DB" w:rsidTr="00A26C1C">
        <w:tc>
          <w:tcPr>
            <w:tcW w:w="1545" w:type="dxa"/>
            <w:shd w:val="clear" w:color="auto" w:fill="auto"/>
          </w:tcPr>
          <w:p w:rsidR="00F13B54" w:rsidRDefault="00F13B54" w:rsidP="00A26C1C">
            <w:pPr>
              <w:pStyle w:val="TableText"/>
              <w:rPr>
                <w:rFonts w:eastAsia="Times New Roman" w:cs="Times New Roman"/>
                <w:noProof/>
              </w:rPr>
            </w:pPr>
            <w:r>
              <w:rPr>
                <w:rFonts w:eastAsia="Times New Roman" w:cs="Times New Roman"/>
                <w:noProof/>
              </w:rPr>
              <w:t>Simpson,</w:t>
            </w:r>
            <w:r w:rsidRPr="006C22DB">
              <w:rPr>
                <w:rFonts w:eastAsia="Times New Roman" w:cs="Times New Roman"/>
              </w:rPr>
              <w:t xml:space="preserve"> </w:t>
            </w:r>
            <w:r>
              <w:rPr>
                <w:rFonts w:eastAsia="Times New Roman" w:cs="Times New Roman"/>
                <w:noProof/>
              </w:rPr>
              <w:t>2011</w:t>
            </w:r>
            <w:r w:rsidRPr="00A446F9">
              <w:rPr>
                <w:rFonts w:ascii="Times New Roman" w:eastAsia="Times New Roman" w:hAnsi="Times New Roman" w:cs="Times New Roman"/>
                <w:noProof/>
                <w:vertAlign w:val="superscript"/>
              </w:rPr>
              <w:t>17</w:t>
            </w:r>
            <w:r>
              <w:rPr>
                <w:rFonts w:eastAsia="Times New Roman" w:cs="Times New Roman"/>
              </w:rPr>
              <w:t xml:space="preserve"> (continued)</w:t>
            </w:r>
          </w:p>
        </w:tc>
        <w:tc>
          <w:tcPr>
            <w:tcW w:w="11538" w:type="dxa"/>
            <w:shd w:val="clear" w:color="auto" w:fill="auto"/>
          </w:tcPr>
          <w:p w:rsidR="00F13B54" w:rsidRPr="00B95E87" w:rsidRDefault="00F13B54" w:rsidP="00A26C1C">
            <w:pPr>
              <w:pStyle w:val="TableText"/>
              <w:rPr>
                <w:u w:val="single"/>
              </w:rPr>
            </w:pPr>
            <w:r w:rsidRPr="00B95E87">
              <w:rPr>
                <w:u w:val="single"/>
              </w:rPr>
              <w:t>Measured Hearing</w:t>
            </w:r>
          </w:p>
          <w:p w:rsidR="00F13B54" w:rsidRPr="00B95E87" w:rsidRDefault="00F13B54" w:rsidP="00A26C1C">
            <w:pPr>
              <w:pStyle w:val="TableText"/>
              <w:rPr>
                <w:rFonts w:eastAsia="Times New Roman"/>
                <w:noProof/>
              </w:rPr>
            </w:pPr>
            <w:r w:rsidRPr="00B95E87">
              <w:rPr>
                <w:rFonts w:eastAsia="Times New Roman"/>
                <w:noProof/>
              </w:rPr>
              <w:t>Oral Steroids vs. control</w:t>
            </w:r>
          </w:p>
          <w:p w:rsidR="00F13B54" w:rsidRPr="00B95E87" w:rsidRDefault="00F13B54" w:rsidP="00F13B54">
            <w:pPr>
              <w:pStyle w:val="ListParagraph"/>
              <w:numPr>
                <w:ilvl w:val="0"/>
                <w:numId w:val="24"/>
              </w:numPr>
              <w:spacing w:after="0" w:line="240" w:lineRule="auto"/>
              <w:contextualSpacing w:val="0"/>
              <w:rPr>
                <w:rFonts w:ascii="Arial" w:hAnsi="Arial"/>
                <w:sz w:val="18"/>
                <w:szCs w:val="18"/>
              </w:rPr>
            </w:pPr>
            <w:r w:rsidRPr="00B95E87">
              <w:rPr>
                <w:rFonts w:ascii="Arial" w:hAnsi="Arial"/>
                <w:sz w:val="18"/>
                <w:szCs w:val="18"/>
              </w:rPr>
              <w:t>1 study</w:t>
            </w:r>
            <w:r w:rsidRPr="00A446F9">
              <w:rPr>
                <w:rFonts w:ascii="Times New Roman" w:hAnsi="Times New Roman"/>
                <w:noProof/>
                <w:sz w:val="18"/>
                <w:szCs w:val="18"/>
                <w:vertAlign w:val="superscript"/>
              </w:rPr>
              <w:t>20</w:t>
            </w:r>
            <w:r w:rsidRPr="00B95E87">
              <w:rPr>
                <w:rFonts w:ascii="Arial" w:hAnsi="Arial"/>
                <w:sz w:val="18"/>
                <w:szCs w:val="18"/>
              </w:rPr>
              <w:t>: Hearing not improved by at least 10 dB in either ear (6 weeks): RR:1.09 (95% CI, 0.80 to 1.49 )</w:t>
            </w:r>
            <w:r w:rsidRPr="00B95E87">
              <w:rPr>
                <w:bCs/>
                <w:vertAlign w:val="superscript"/>
              </w:rPr>
              <w:t xml:space="preserve"> </w:t>
            </w:r>
          </w:p>
          <w:p w:rsidR="00F13B54" w:rsidRPr="00B95E87" w:rsidRDefault="00F13B54" w:rsidP="00A26C1C">
            <w:pPr>
              <w:pStyle w:val="TableText"/>
            </w:pPr>
            <w:r w:rsidRPr="00B95E87">
              <w:t>Oral steroids + antibiotic vs. control + antibiotic</w:t>
            </w:r>
          </w:p>
          <w:p w:rsidR="00F13B54" w:rsidRPr="00B95E87" w:rsidRDefault="00F13B54" w:rsidP="00F13B54">
            <w:pPr>
              <w:numPr>
                <w:ilvl w:val="0"/>
                <w:numId w:val="24"/>
              </w:numPr>
              <w:rPr>
                <w:szCs w:val="18"/>
              </w:rPr>
            </w:pPr>
            <w:r w:rsidRPr="00B95E87">
              <w:rPr>
                <w:szCs w:val="18"/>
              </w:rPr>
              <w:t>1 study</w:t>
            </w:r>
            <w:r w:rsidRPr="00A446F9">
              <w:rPr>
                <w:rFonts w:ascii="Times New Roman" w:hAnsi="Times New Roman"/>
                <w:noProof/>
                <w:szCs w:val="18"/>
                <w:vertAlign w:val="superscript"/>
              </w:rPr>
              <w:t>24</w:t>
            </w:r>
            <w:r w:rsidRPr="00B95E87">
              <w:rPr>
                <w:szCs w:val="18"/>
              </w:rPr>
              <w:t>: Hearing loss (at least some conductive loss) (2 months): RR:1.01 (95% CI</w:t>
            </w:r>
            <w:r>
              <w:rPr>
                <w:szCs w:val="18"/>
              </w:rPr>
              <w:t>,</w:t>
            </w:r>
            <w:r w:rsidRPr="00B95E87">
              <w:rPr>
                <w:szCs w:val="18"/>
              </w:rPr>
              <w:t xml:space="preserve"> 0.73 to 1.40)</w:t>
            </w:r>
          </w:p>
          <w:p w:rsidR="00F13B54" w:rsidRPr="00B95E87" w:rsidRDefault="00F13B54" w:rsidP="00A26C1C">
            <w:pPr>
              <w:rPr>
                <w:szCs w:val="18"/>
              </w:rPr>
            </w:pPr>
            <w:r w:rsidRPr="00B95E87">
              <w:rPr>
                <w:szCs w:val="18"/>
              </w:rPr>
              <w:t xml:space="preserve">Intranasal steroid vs. control </w:t>
            </w:r>
          </w:p>
          <w:p w:rsidR="00F13B54" w:rsidRPr="00B95E87" w:rsidRDefault="00F13B54" w:rsidP="00F13B54">
            <w:pPr>
              <w:numPr>
                <w:ilvl w:val="0"/>
                <w:numId w:val="24"/>
              </w:numPr>
              <w:rPr>
                <w:szCs w:val="18"/>
              </w:rPr>
            </w:pPr>
            <w:r w:rsidRPr="00B95E87">
              <w:rPr>
                <w:szCs w:val="18"/>
              </w:rPr>
              <w:t>1 study</w:t>
            </w:r>
            <w:r w:rsidRPr="00A446F9">
              <w:rPr>
                <w:rFonts w:ascii="Times New Roman" w:hAnsi="Times New Roman"/>
                <w:noProof/>
                <w:szCs w:val="18"/>
                <w:vertAlign w:val="superscript"/>
              </w:rPr>
              <w:t>29, 30</w:t>
            </w:r>
            <w:r w:rsidRPr="00B95E87">
              <w:rPr>
                <w:szCs w:val="18"/>
              </w:rPr>
              <w:t>: Audiometry failing on ≥ 2 out of 5 frequencies in both ears (1-6 months): RR: 1.17 (95% CI, 0.87 to 1.58)</w:t>
            </w:r>
          </w:p>
          <w:p w:rsidR="00F13B54" w:rsidRPr="00B95E87" w:rsidRDefault="00F13B54" w:rsidP="00A26C1C">
            <w:pPr>
              <w:rPr>
                <w:szCs w:val="18"/>
              </w:rPr>
            </w:pPr>
          </w:p>
          <w:p w:rsidR="00F13B54" w:rsidRPr="00B95E87" w:rsidRDefault="00F13B54" w:rsidP="00A26C1C">
            <w:pPr>
              <w:rPr>
                <w:szCs w:val="18"/>
              </w:rPr>
            </w:pPr>
            <w:r w:rsidRPr="00B95E87">
              <w:rPr>
                <w:szCs w:val="18"/>
                <w:u w:val="single"/>
              </w:rPr>
              <w:t>Adverse effects</w:t>
            </w:r>
            <w:r w:rsidRPr="00B95E87">
              <w:rPr>
                <w:szCs w:val="18"/>
              </w:rPr>
              <w:t xml:space="preserve">  </w:t>
            </w:r>
          </w:p>
          <w:p w:rsidR="00F13B54" w:rsidRPr="00B95E87" w:rsidRDefault="00F13B54" w:rsidP="00A26C1C">
            <w:pPr>
              <w:rPr>
                <w:bCs/>
                <w:szCs w:val="18"/>
              </w:rPr>
            </w:pPr>
            <w:r w:rsidRPr="00B95E87">
              <w:rPr>
                <w:bCs/>
                <w:szCs w:val="18"/>
              </w:rPr>
              <w:t>Oral steroids + antibiotics vs. control + antibiotic</w:t>
            </w:r>
          </w:p>
          <w:p w:rsidR="00F13B54" w:rsidRPr="00B95E87" w:rsidRDefault="00F13B54" w:rsidP="00F13B54">
            <w:pPr>
              <w:pStyle w:val="TableText"/>
              <w:numPr>
                <w:ilvl w:val="0"/>
                <w:numId w:val="24"/>
              </w:numPr>
            </w:pPr>
            <w:r w:rsidRPr="00B95E87">
              <w:t>MA: 2 studies</w:t>
            </w:r>
            <w:r w:rsidRPr="00A446F9">
              <w:rPr>
                <w:rFonts w:ascii="Times New Roman" w:hAnsi="Times New Roman" w:cs="Times New Roman"/>
                <w:noProof/>
                <w:vertAlign w:val="superscript"/>
              </w:rPr>
              <w:t>25, 26</w:t>
            </w:r>
            <w:r w:rsidRPr="00B95E87">
              <w:t>: Mild to moderate adverse effects (2 wks to 6 months): RR: 1.34 ( 95% CI, 0.84 to 2.14)</w:t>
            </w:r>
          </w:p>
          <w:p w:rsidR="00F13B54" w:rsidRPr="00B95E87" w:rsidRDefault="00F13B54" w:rsidP="00A26C1C">
            <w:pPr>
              <w:rPr>
                <w:szCs w:val="18"/>
              </w:rPr>
            </w:pPr>
            <w:r w:rsidRPr="00B95E87">
              <w:rPr>
                <w:szCs w:val="18"/>
              </w:rPr>
              <w:t xml:space="preserve">Intranasal steroid vs. control </w:t>
            </w:r>
          </w:p>
          <w:p w:rsidR="00F13B54" w:rsidRPr="00B95E87" w:rsidRDefault="00F13B54" w:rsidP="00F13B54">
            <w:pPr>
              <w:pStyle w:val="TableText"/>
              <w:numPr>
                <w:ilvl w:val="0"/>
                <w:numId w:val="24"/>
              </w:numPr>
            </w:pPr>
            <w:r w:rsidRPr="00B95E87">
              <w:t>1 study</w:t>
            </w:r>
            <w:r w:rsidRPr="00A446F9">
              <w:rPr>
                <w:rFonts w:ascii="Times New Roman" w:hAnsi="Times New Roman" w:cs="Times New Roman"/>
                <w:noProof/>
                <w:vertAlign w:val="superscript"/>
              </w:rPr>
              <w:t>29, 30</w:t>
            </w:r>
            <w:r w:rsidRPr="00B95E87">
              <w:t xml:space="preserve">: Minor adverse effects (3 months): RR: 1.26 (95% CI,  0.80 to 1.99) </w:t>
            </w:r>
          </w:p>
          <w:p w:rsidR="00F13B54" w:rsidRPr="00B95E87" w:rsidRDefault="00F13B54" w:rsidP="00A26C1C">
            <w:pPr>
              <w:rPr>
                <w:bCs/>
                <w:szCs w:val="18"/>
              </w:rPr>
            </w:pPr>
            <w:r w:rsidRPr="00B95E87">
              <w:rPr>
                <w:szCs w:val="18"/>
              </w:rPr>
              <w:t>Intranasal steroids + antibiotics vs. control + antibiotics</w:t>
            </w:r>
            <w:r w:rsidRPr="00B95E87">
              <w:rPr>
                <w:bCs/>
                <w:szCs w:val="18"/>
              </w:rPr>
              <w:t xml:space="preserve"> </w:t>
            </w:r>
          </w:p>
          <w:p w:rsidR="00F13B54" w:rsidRPr="00B95E87" w:rsidRDefault="00F13B54" w:rsidP="00A26C1C">
            <w:pPr>
              <w:pStyle w:val="TableBullet"/>
              <w:ind w:left="255" w:hanging="255"/>
            </w:pPr>
            <w:r w:rsidRPr="00B95E87">
              <w:t>1 study</w:t>
            </w:r>
            <w:r w:rsidRPr="00A446F9">
              <w:rPr>
                <w:rFonts w:ascii="Times New Roman" w:hAnsi="Times New Roman"/>
                <w:vertAlign w:val="superscript"/>
              </w:rPr>
              <w:t>28</w:t>
            </w:r>
            <w:r w:rsidRPr="00B95E87">
              <w:t>: 2 symptom score (3 months): Mean difference:4.5 (95% CI, -10.28 to 1.28), favors treatment group</w:t>
            </w:r>
          </w:p>
        </w:tc>
      </w:tr>
    </w:tbl>
    <w:p w:rsidR="00F13B54" w:rsidRDefault="00F13B54" w:rsidP="00F13B54"/>
    <w:p w:rsidR="00F13B54" w:rsidRDefault="00F13B54" w:rsidP="00F13B54">
      <w:pPr>
        <w:pStyle w:val="TableTitle"/>
      </w:pPr>
      <w:r>
        <w:br w:type="page"/>
      </w:r>
      <w:r>
        <w:lastRenderedPageBreak/>
        <w:t>Evidence Table 11. Systematic reviews (continued)</w:t>
      </w:r>
    </w:p>
    <w:tbl>
      <w:tblPr>
        <w:tblW w:w="13083" w:type="dxa"/>
        <w:tblBorders>
          <w:top w:val="single" w:sz="12" w:space="0" w:color="auto"/>
          <w:bottom w:val="single" w:sz="12" w:space="0" w:color="auto"/>
          <w:insideH w:val="single" w:sz="8" w:space="0" w:color="auto"/>
        </w:tblBorders>
        <w:tblLayout w:type="fixed"/>
        <w:tblLook w:val="04A0"/>
      </w:tblPr>
      <w:tblGrid>
        <w:gridCol w:w="1545"/>
        <w:gridCol w:w="11538"/>
      </w:tblGrid>
      <w:tr w:rsidR="00F13B54" w:rsidRPr="006C22DB" w:rsidTr="00A26C1C">
        <w:tc>
          <w:tcPr>
            <w:tcW w:w="1545"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Author, Year </w:t>
            </w:r>
          </w:p>
          <w:p w:rsidR="00F13B54" w:rsidRPr="006C22DB" w:rsidRDefault="00F13B54" w:rsidP="00A26C1C">
            <w:pPr>
              <w:pStyle w:val="TableLeftText"/>
              <w:rPr>
                <w:rFonts w:eastAsia="Times New Roman" w:cs="Times New Roman"/>
                <w:b/>
                <w:bCs/>
              </w:rPr>
            </w:pPr>
            <w:r w:rsidRPr="006C22DB">
              <w:rPr>
                <w:rFonts w:eastAsia="Times New Roman" w:cs="Times New Roman"/>
                <w:b/>
                <w:bCs/>
              </w:rPr>
              <w:t>Country</w:t>
            </w:r>
          </w:p>
          <w:p w:rsidR="00F13B54" w:rsidRPr="006C22DB" w:rsidRDefault="00F13B54" w:rsidP="00A26C1C">
            <w:pPr>
              <w:pStyle w:val="TableLeftText"/>
              <w:rPr>
                <w:rFonts w:eastAsia="Times New Roman" w:cs="Times New Roman"/>
                <w:b/>
                <w:bCs/>
              </w:rPr>
            </w:pPr>
            <w:r w:rsidRPr="006C22DB">
              <w:rPr>
                <w:rFonts w:eastAsia="Times New Roman" w:cs="Times New Roman"/>
                <w:b/>
                <w:bCs/>
              </w:rPr>
              <w:t>Funding</w:t>
            </w:r>
          </w:p>
          <w:p w:rsidR="00F13B54" w:rsidRPr="006C22DB" w:rsidRDefault="00F13B54" w:rsidP="00A26C1C">
            <w:pPr>
              <w:pStyle w:val="TableLeftText"/>
              <w:rPr>
                <w:rFonts w:eastAsia="Times New Roman" w:cs="Times New Roman"/>
                <w:b/>
                <w:bCs/>
              </w:rPr>
            </w:pPr>
            <w:r w:rsidRPr="006C22DB">
              <w:rPr>
                <w:rFonts w:eastAsia="Times New Roman" w:cs="Times New Roman"/>
                <w:b/>
                <w:bCs/>
              </w:rPr>
              <w:t>Study Design</w:t>
            </w:r>
          </w:p>
        </w:tc>
        <w:tc>
          <w:tcPr>
            <w:tcW w:w="11538"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Abstraction Form </w:t>
            </w:r>
          </w:p>
        </w:tc>
      </w:tr>
      <w:tr w:rsidR="00F13B54" w:rsidRPr="006C22DB" w:rsidTr="00A26C1C">
        <w:tc>
          <w:tcPr>
            <w:tcW w:w="1545" w:type="dxa"/>
            <w:shd w:val="clear" w:color="auto" w:fill="auto"/>
          </w:tcPr>
          <w:p w:rsidR="00F13B54" w:rsidRPr="006C22DB" w:rsidRDefault="00F13B54" w:rsidP="00A26C1C">
            <w:pPr>
              <w:pStyle w:val="TableText"/>
              <w:rPr>
                <w:rFonts w:eastAsia="Times New Roman" w:cs="Times New Roman"/>
              </w:rPr>
            </w:pPr>
            <w:r w:rsidRPr="006C22DB">
              <w:rPr>
                <w:rFonts w:eastAsia="Times New Roman" w:cs="Times New Roman"/>
                <w:noProof/>
              </w:rPr>
              <w:t>Thomas</w:t>
            </w:r>
            <w:r>
              <w:rPr>
                <w:rFonts w:eastAsia="Times New Roman" w:cs="Times New Roman"/>
                <w:noProof/>
              </w:rPr>
              <w:t xml:space="preserve"> et al.</w:t>
            </w:r>
            <w:r w:rsidRPr="006C22DB">
              <w:rPr>
                <w:rFonts w:eastAsia="Times New Roman" w:cs="Times New Roman"/>
              </w:rPr>
              <w:t xml:space="preserve">, </w:t>
            </w:r>
            <w:r w:rsidRPr="006C22DB">
              <w:rPr>
                <w:rFonts w:eastAsia="Times New Roman" w:cs="Times New Roman"/>
                <w:noProof/>
              </w:rPr>
              <w:t>200</w:t>
            </w:r>
            <w:r>
              <w:rPr>
                <w:rFonts w:eastAsia="Times New Roman" w:cs="Times New Roman"/>
                <w:noProof/>
              </w:rPr>
              <w:t>6</w:t>
            </w:r>
            <w:r w:rsidRPr="00A446F9">
              <w:rPr>
                <w:rFonts w:ascii="Times New Roman" w:eastAsia="Times New Roman" w:hAnsi="Times New Roman" w:cs="Times New Roman"/>
                <w:noProof/>
                <w:vertAlign w:val="superscript"/>
              </w:rPr>
              <w:t>31</w:t>
            </w:r>
          </w:p>
          <w:p w:rsidR="00F13B54" w:rsidRPr="006C22DB" w:rsidRDefault="00F13B54" w:rsidP="00A26C1C">
            <w:pPr>
              <w:pStyle w:val="TableText"/>
              <w:rPr>
                <w:rFonts w:eastAsia="Times New Roman" w:cs="Times New Roman"/>
              </w:rPr>
            </w:pPr>
            <w:r w:rsidRPr="006C22DB">
              <w:rPr>
                <w:rFonts w:eastAsia="Times New Roman" w:cs="Times New Roman"/>
                <w:noProof/>
              </w:rPr>
              <w:t>University of Wales College of Medicine, NHS Wales Office for Research and Development for Health Nd Social, UK</w:t>
            </w:r>
          </w:p>
          <w:p w:rsidR="00F13B54" w:rsidRPr="006C22DB" w:rsidRDefault="00F13B54" w:rsidP="00A26C1C">
            <w:pPr>
              <w:pStyle w:val="TableText"/>
              <w:rPr>
                <w:rFonts w:eastAsia="Times New Roman" w:cs="Times New Roman"/>
              </w:rPr>
            </w:pPr>
            <w:r w:rsidRPr="006C22DB">
              <w:rPr>
                <w:rFonts w:eastAsia="Times New Roman" w:cs="Times New Roman"/>
                <w:noProof/>
              </w:rPr>
              <w:t>Systematic review: Last search January 2006</w:t>
            </w:r>
          </w:p>
        </w:tc>
        <w:tc>
          <w:tcPr>
            <w:tcW w:w="11538" w:type="dxa"/>
            <w:shd w:val="clear" w:color="auto" w:fill="auto"/>
          </w:tcPr>
          <w:p w:rsidR="00F13B54" w:rsidRPr="006C22DB" w:rsidRDefault="00F13B54" w:rsidP="00A26C1C">
            <w:pPr>
              <w:pStyle w:val="TableBoldText"/>
              <w:rPr>
                <w:rFonts w:eastAsia="Times New Roman" w:cs="Times New Roman"/>
              </w:rPr>
            </w:pPr>
            <w:r w:rsidRPr="006C22DB">
              <w:rPr>
                <w:rFonts w:eastAsia="Times New Roman" w:cs="Times New Roman"/>
              </w:rPr>
              <w:t>Number of Patients</w:t>
            </w:r>
          </w:p>
          <w:p w:rsidR="00F13B54" w:rsidRPr="006C22DB" w:rsidRDefault="00F13B54" w:rsidP="00A26C1C">
            <w:pPr>
              <w:pStyle w:val="TableText"/>
              <w:rPr>
                <w:rFonts w:eastAsia="Times New Roman" w:cs="Times New Roman"/>
              </w:rPr>
            </w:pPr>
            <w:r w:rsidRPr="006C22DB">
              <w:rPr>
                <w:rFonts w:eastAsia="Times New Roman" w:cs="Times New Roman"/>
                <w:noProof/>
              </w:rPr>
              <w:t>862 in 11 studies</w:t>
            </w:r>
          </w:p>
          <w:p w:rsidR="00F13B54" w:rsidRPr="006C22DB" w:rsidRDefault="00F13B54" w:rsidP="00A26C1C">
            <w:pPr>
              <w:pStyle w:val="TableBoldText"/>
              <w:rPr>
                <w:rFonts w:eastAsia="Times New Roman" w:cs="Times New Roman"/>
              </w:rPr>
            </w:pPr>
            <w:r w:rsidRPr="006C22DB">
              <w:rPr>
                <w:rFonts w:eastAsia="Times New Roman" w:cs="Times New Roman"/>
              </w:rPr>
              <w:t>Aims of Review</w:t>
            </w:r>
          </w:p>
          <w:p w:rsidR="00F13B54" w:rsidRPr="006C22DB" w:rsidRDefault="00F13B54" w:rsidP="00A26C1C">
            <w:pPr>
              <w:pStyle w:val="TableText"/>
              <w:rPr>
                <w:rFonts w:eastAsia="Times New Roman" w:cs="Times New Roman"/>
                <w:bCs/>
              </w:rPr>
            </w:pPr>
            <w:r w:rsidRPr="006C22DB">
              <w:rPr>
                <w:rFonts w:eastAsia="Times New Roman" w:cs="Times New Roman"/>
                <w:bCs/>
                <w:noProof/>
              </w:rPr>
              <w:t>To examine evidence for or against treating children with hearing loss associated with OME with systemic or topical intranasal steroids.</w:t>
            </w:r>
          </w:p>
          <w:p w:rsidR="00F13B54" w:rsidRPr="006C22DB" w:rsidRDefault="00F13B54" w:rsidP="00A26C1C">
            <w:pPr>
              <w:pStyle w:val="TableBoldText"/>
              <w:rPr>
                <w:rFonts w:eastAsia="Times New Roman" w:cs="Times New Roman"/>
              </w:rPr>
            </w:pPr>
            <w:r w:rsidRPr="006C22DB">
              <w:rPr>
                <w:rFonts w:eastAsia="Times New Roman" w:cs="Times New Roman"/>
              </w:rPr>
              <w:t>Studies Included in Analysis or Review</w:t>
            </w:r>
          </w:p>
          <w:p w:rsidR="00F13B54" w:rsidRPr="00B95E87" w:rsidRDefault="00F13B54" w:rsidP="00A26C1C">
            <w:pPr>
              <w:pStyle w:val="TableBullet"/>
              <w:ind w:left="255" w:hanging="255"/>
            </w:pPr>
            <w:r w:rsidRPr="00B95E87">
              <w:t>Oral steroids: Schwartz</w:t>
            </w:r>
            <w:r>
              <w:t>, et al.,</w:t>
            </w:r>
            <w:r w:rsidRPr="00B95E87">
              <w:t xml:space="preserve"> 1980</w:t>
            </w:r>
            <w:r w:rsidRPr="001805C7">
              <w:rPr>
                <w:rFonts w:ascii="Times New Roman" w:hAnsi="Times New Roman"/>
                <w:vertAlign w:val="superscript"/>
              </w:rPr>
              <w:t>18</w:t>
            </w:r>
            <w:r w:rsidRPr="00B95E87">
              <w:t>; Niederman 1984</w:t>
            </w:r>
            <w:r w:rsidRPr="001805C7">
              <w:rPr>
                <w:rFonts w:ascii="Times New Roman" w:hAnsi="Times New Roman"/>
                <w:vertAlign w:val="superscript"/>
              </w:rPr>
              <w:t>19</w:t>
            </w:r>
            <w:r w:rsidRPr="00B95E87">
              <w:t>; Macknin 1985</w:t>
            </w:r>
            <w:r w:rsidRPr="001805C7">
              <w:rPr>
                <w:rFonts w:ascii="Times New Roman" w:hAnsi="Times New Roman"/>
                <w:vertAlign w:val="superscript"/>
              </w:rPr>
              <w:t>20</w:t>
            </w:r>
            <w:r w:rsidRPr="00B95E87">
              <w:t>; Lambert 1986</w:t>
            </w:r>
            <w:r w:rsidRPr="001805C7">
              <w:rPr>
                <w:rFonts w:ascii="Times New Roman" w:hAnsi="Times New Roman"/>
                <w:vertAlign w:val="superscript"/>
              </w:rPr>
              <w:t>21</w:t>
            </w:r>
            <w:r w:rsidRPr="00B95E87">
              <w:t>; Berman 1990</w:t>
            </w:r>
            <w:r w:rsidRPr="001805C7">
              <w:rPr>
                <w:rFonts w:ascii="Times New Roman" w:hAnsi="Times New Roman"/>
                <w:vertAlign w:val="superscript"/>
              </w:rPr>
              <w:t>22</w:t>
            </w:r>
            <w:r w:rsidRPr="00B95E87">
              <w:t>; Giebink 1990</w:t>
            </w:r>
            <w:r w:rsidRPr="001805C7">
              <w:rPr>
                <w:rFonts w:ascii="Times New Roman" w:hAnsi="Times New Roman"/>
                <w:vertAlign w:val="superscript"/>
              </w:rPr>
              <w:t>23</w:t>
            </w:r>
            <w:r>
              <w:t>; Podoshin 1990</w:t>
            </w:r>
            <w:r w:rsidRPr="001805C7">
              <w:rPr>
                <w:rFonts w:ascii="Times New Roman" w:hAnsi="Times New Roman"/>
                <w:vertAlign w:val="superscript"/>
              </w:rPr>
              <w:t>24</w:t>
            </w:r>
            <w:r w:rsidRPr="00B95E87">
              <w:t>; Hemlin 1997</w:t>
            </w:r>
            <w:r w:rsidRPr="001805C7">
              <w:rPr>
                <w:rFonts w:ascii="Times New Roman" w:hAnsi="Times New Roman"/>
                <w:vertAlign w:val="superscript"/>
              </w:rPr>
              <w:t>25</w:t>
            </w:r>
            <w:r>
              <w:t>; Mandel 2000</w:t>
            </w:r>
            <w:r w:rsidRPr="001805C7">
              <w:rPr>
                <w:rFonts w:ascii="Times New Roman" w:hAnsi="Times New Roman"/>
                <w:vertAlign w:val="superscript"/>
              </w:rPr>
              <w:t>26</w:t>
            </w:r>
            <w:r w:rsidRPr="00B95E87">
              <w:t xml:space="preserve"> </w:t>
            </w:r>
          </w:p>
          <w:p w:rsidR="00F13B54" w:rsidRPr="000400FA" w:rsidRDefault="00F13B54" w:rsidP="00A26C1C">
            <w:pPr>
              <w:pStyle w:val="TableBullet"/>
              <w:numPr>
                <w:ilvl w:val="0"/>
                <w:numId w:val="0"/>
              </w:numPr>
              <w:ind w:left="255"/>
            </w:pPr>
            <w:r w:rsidRPr="00B95E87">
              <w:t>Topical intranasal steroids: Shaprio 1982</w:t>
            </w:r>
            <w:r w:rsidRPr="001805C7">
              <w:rPr>
                <w:rFonts w:ascii="Times New Roman" w:hAnsi="Times New Roman"/>
                <w:vertAlign w:val="superscript"/>
              </w:rPr>
              <w:t>27</w:t>
            </w:r>
            <w:r w:rsidRPr="00B95E87">
              <w:t>; Tracy 1998</w:t>
            </w:r>
            <w:r w:rsidRPr="001805C7">
              <w:rPr>
                <w:rFonts w:ascii="Times New Roman" w:hAnsi="Times New Roman"/>
                <w:vertAlign w:val="superscript"/>
              </w:rPr>
              <w:t>28</w:t>
            </w:r>
          </w:p>
          <w:p w:rsidR="00F13B54" w:rsidRPr="006C22DB" w:rsidRDefault="00F13B54" w:rsidP="00A26C1C">
            <w:pPr>
              <w:pStyle w:val="TableBoldText"/>
              <w:rPr>
                <w:rFonts w:eastAsia="Times New Roman" w:cs="Times New Roman"/>
              </w:rPr>
            </w:pPr>
            <w:r w:rsidRPr="006C22DB">
              <w:rPr>
                <w:rFonts w:eastAsia="Times New Roman" w:cs="Times New Roman"/>
              </w:rPr>
              <w:t>Characteristics of Included Studies</w:t>
            </w:r>
          </w:p>
          <w:p w:rsidR="00F13B54" w:rsidRPr="006C22DB" w:rsidRDefault="00F13B54" w:rsidP="00A26C1C">
            <w:pPr>
              <w:pStyle w:val="TableText"/>
              <w:rPr>
                <w:rFonts w:eastAsia="Times New Roman" w:cs="Times New Roman"/>
              </w:rPr>
            </w:pPr>
            <w:r w:rsidRPr="006C22DB">
              <w:rPr>
                <w:rFonts w:eastAsia="Times New Roman" w:cs="Times New Roman"/>
                <w:noProof/>
              </w:rPr>
              <w:t xml:space="preserve">Include: </w:t>
            </w:r>
          </w:p>
          <w:p w:rsidR="00F13B54" w:rsidRDefault="00F13B54" w:rsidP="00A26C1C">
            <w:pPr>
              <w:pStyle w:val="TableBullet"/>
              <w:ind w:left="255" w:hanging="255"/>
            </w:pPr>
            <w:r w:rsidRPr="00C24C9E">
              <w:t xml:space="preserve">RCTs of oral and topical intranasal steroids. RCTs that included non-intervention controls included with adequate blinding of outcome assessor. </w:t>
            </w:r>
          </w:p>
          <w:p w:rsidR="00F13B54" w:rsidRDefault="00F13B54" w:rsidP="00A26C1C">
            <w:pPr>
              <w:pStyle w:val="TableBullet"/>
              <w:ind w:left="255" w:hanging="255"/>
            </w:pPr>
            <w:r>
              <w:t xml:space="preserve">Include if same co-interventions occuring in all groups. </w:t>
            </w:r>
          </w:p>
          <w:p w:rsidR="00F13B54" w:rsidRPr="00C24C9E" w:rsidRDefault="00F13B54" w:rsidP="00A26C1C">
            <w:pPr>
              <w:pStyle w:val="TableBullet"/>
              <w:ind w:left="255" w:hanging="255"/>
            </w:pPr>
            <w:r>
              <w:t>3 Studies had steroids without antibiotics as intervention, 7 studies used antibiotics in both control and intervention groups</w:t>
            </w:r>
          </w:p>
          <w:p w:rsidR="00F13B54" w:rsidRPr="006C22DB" w:rsidRDefault="00F13B54" w:rsidP="00A26C1C">
            <w:pPr>
              <w:pStyle w:val="TableText"/>
              <w:rPr>
                <w:rFonts w:eastAsia="Times New Roman" w:cs="Times New Roman"/>
                <w:noProof/>
              </w:rPr>
            </w:pPr>
            <w:r w:rsidRPr="006C22DB">
              <w:rPr>
                <w:rFonts w:eastAsia="Times New Roman" w:cs="Times New Roman"/>
                <w:noProof/>
              </w:rPr>
              <w:t xml:space="preserve">Exclude: </w:t>
            </w:r>
          </w:p>
          <w:p w:rsidR="00F13B54" w:rsidRDefault="00F13B54" w:rsidP="00A26C1C">
            <w:pPr>
              <w:pStyle w:val="TableBullet"/>
              <w:ind w:left="450"/>
            </w:pPr>
            <w:r w:rsidRPr="00C24C9E">
              <w:t>Observational studies, studies reporting outcomes only with ears as unit of analysis; studies (or data from arms of studies) comparing steroid + additional treatment</w:t>
            </w:r>
            <w:r>
              <w:t xml:space="preserve"> vs. </w:t>
            </w:r>
            <w:r w:rsidRPr="00C24C9E">
              <w:t>treatment with placebo + placebo because effect of steroid could not be isolated.</w:t>
            </w:r>
          </w:p>
          <w:p w:rsidR="00F13B54" w:rsidRDefault="00F13B54" w:rsidP="00A26C1C">
            <w:pPr>
              <w:pStyle w:val="TableBullet"/>
              <w:numPr>
                <w:ilvl w:val="0"/>
                <w:numId w:val="0"/>
              </w:numPr>
              <w:ind w:left="255" w:hanging="255"/>
            </w:pPr>
          </w:p>
          <w:p w:rsidR="00F13B54" w:rsidRPr="00A32754" w:rsidRDefault="00F13B54" w:rsidP="00A26C1C">
            <w:pPr>
              <w:pStyle w:val="TableText"/>
              <w:rPr>
                <w:b/>
              </w:rPr>
            </w:pPr>
            <w:r w:rsidRPr="00A32754">
              <w:rPr>
                <w:b/>
              </w:rPr>
              <w:t>Criteria for diagnosing OME</w:t>
            </w:r>
            <w:r>
              <w:rPr>
                <w:b/>
              </w:rPr>
              <w:t>:</w:t>
            </w:r>
          </w:p>
          <w:p w:rsidR="00F13B54" w:rsidRPr="006C22DB" w:rsidRDefault="00F13B54" w:rsidP="00A26C1C">
            <w:pPr>
              <w:pStyle w:val="TableText"/>
              <w:rPr>
                <w:noProof/>
              </w:rPr>
            </w:pPr>
            <w:r w:rsidRPr="006C22DB">
              <w:rPr>
                <w:noProof/>
              </w:rPr>
              <w:t xml:space="preserve">Diagnosis of OME defined by: </w:t>
            </w:r>
          </w:p>
          <w:p w:rsidR="00F13B54" w:rsidRPr="00C24C9E" w:rsidRDefault="00F13B54" w:rsidP="00A26C1C">
            <w:pPr>
              <w:pStyle w:val="TableBulletBlank"/>
            </w:pPr>
            <w:r w:rsidRPr="00C24C9E">
              <w:t>A. Air-bone gap of 10 dB or more + 2 or more of: otomicroscopy, pneumatic otoscopy, tympanometry (type B or C2)</w:t>
            </w:r>
          </w:p>
          <w:p w:rsidR="00F13B54" w:rsidRPr="00C24C9E" w:rsidRDefault="00F13B54" w:rsidP="00A26C1C">
            <w:pPr>
              <w:pStyle w:val="TableBulletBlank"/>
            </w:pPr>
            <w:r w:rsidRPr="00C24C9E">
              <w:t>B. 2 or more of: otomiscroscopy, pneumatic otoscopy, tympanometry (type B or C2)</w:t>
            </w:r>
          </w:p>
          <w:p w:rsidR="00F13B54" w:rsidRPr="00C24C9E" w:rsidRDefault="00F13B54" w:rsidP="00A26C1C">
            <w:pPr>
              <w:pStyle w:val="TableBulletBlank"/>
            </w:pPr>
            <w:r w:rsidRPr="00C24C9E">
              <w:t>C. 1 of otoscopy alone or tympanometry (type B or C2)</w:t>
            </w:r>
          </w:p>
          <w:p w:rsidR="00F13B54" w:rsidRPr="00C24C9E" w:rsidRDefault="00F13B54" w:rsidP="00A26C1C">
            <w:pPr>
              <w:pStyle w:val="TableBulletBlank"/>
            </w:pPr>
            <w:r w:rsidRPr="00C24C9E">
              <w:t xml:space="preserve">D. Poorly or not defined </w:t>
            </w:r>
          </w:p>
          <w:p w:rsidR="00F13B54" w:rsidRPr="006C22DB" w:rsidRDefault="00F13B54" w:rsidP="00A26C1C">
            <w:pPr>
              <w:pStyle w:val="TableText"/>
              <w:rPr>
                <w:noProof/>
              </w:rPr>
            </w:pPr>
            <w:r w:rsidRPr="006C22DB">
              <w:rPr>
                <w:noProof/>
              </w:rPr>
              <w:t>Sig hearing loss defined by:</w:t>
            </w:r>
          </w:p>
          <w:p w:rsidR="00F13B54" w:rsidRPr="00C24C9E" w:rsidRDefault="00F13B54" w:rsidP="00A26C1C">
            <w:pPr>
              <w:pStyle w:val="TableBulletBlank"/>
            </w:pPr>
            <w:r w:rsidRPr="00C24C9E">
              <w:t>A. Pure-tone audiometry hearing loss of &gt;20 dB at 2 or more times within 3 mos (for example, mean of 500, 1000, and 2000 Hz hearing loss bilaterally)</w:t>
            </w:r>
          </w:p>
          <w:p w:rsidR="00F13B54" w:rsidRPr="00C24C9E" w:rsidRDefault="00F13B54" w:rsidP="00A26C1C">
            <w:pPr>
              <w:pStyle w:val="TableBulletBlank"/>
            </w:pPr>
            <w:r w:rsidRPr="00C24C9E">
              <w:t>B. Defined, but less strict than A</w:t>
            </w:r>
          </w:p>
          <w:p w:rsidR="00F13B54" w:rsidRPr="00436934" w:rsidRDefault="00F13B54" w:rsidP="00A26C1C">
            <w:pPr>
              <w:pStyle w:val="TableBulletBlank"/>
            </w:pPr>
            <w:r w:rsidRPr="00C24C9E">
              <w:t>C. Uncertain or not defined</w:t>
            </w:r>
          </w:p>
        </w:tc>
      </w:tr>
    </w:tbl>
    <w:p w:rsidR="00F13B54" w:rsidRDefault="00F13B54" w:rsidP="00F13B54"/>
    <w:p w:rsidR="00F13B54" w:rsidRDefault="00F13B54" w:rsidP="00F13B54">
      <w:pPr>
        <w:pStyle w:val="TableTitle"/>
      </w:pPr>
      <w:r>
        <w:br w:type="page"/>
      </w:r>
      <w:r>
        <w:lastRenderedPageBreak/>
        <w:t>Evidence Table 11. Systematic reviews (continued)</w:t>
      </w:r>
    </w:p>
    <w:tbl>
      <w:tblPr>
        <w:tblW w:w="13083" w:type="dxa"/>
        <w:tblBorders>
          <w:top w:val="single" w:sz="12" w:space="0" w:color="auto"/>
          <w:bottom w:val="single" w:sz="12" w:space="0" w:color="auto"/>
          <w:insideH w:val="single" w:sz="8" w:space="0" w:color="auto"/>
        </w:tblBorders>
        <w:tblLayout w:type="fixed"/>
        <w:tblLook w:val="04A0"/>
      </w:tblPr>
      <w:tblGrid>
        <w:gridCol w:w="1545"/>
        <w:gridCol w:w="11538"/>
      </w:tblGrid>
      <w:tr w:rsidR="00F13B54" w:rsidRPr="006C22DB" w:rsidTr="00A26C1C">
        <w:tc>
          <w:tcPr>
            <w:tcW w:w="1545" w:type="dxa"/>
            <w:shd w:val="clear" w:color="auto" w:fill="auto"/>
            <w:vAlign w:val="bottom"/>
            <w:hideMark/>
          </w:tcPr>
          <w:p w:rsidR="00F13B54" w:rsidRPr="004E20CF" w:rsidRDefault="00F13B54" w:rsidP="00A26C1C">
            <w:pPr>
              <w:pStyle w:val="TableLeftText"/>
              <w:rPr>
                <w:rFonts w:eastAsia="Times New Roman"/>
                <w:b/>
                <w:bCs/>
              </w:rPr>
            </w:pPr>
            <w:r w:rsidRPr="004E20CF">
              <w:rPr>
                <w:rFonts w:eastAsia="Times New Roman"/>
                <w:b/>
                <w:bCs/>
              </w:rPr>
              <w:t xml:space="preserve">Author, Year </w:t>
            </w:r>
          </w:p>
          <w:p w:rsidR="00F13B54" w:rsidRPr="004E20CF" w:rsidRDefault="00F13B54" w:rsidP="00A26C1C">
            <w:pPr>
              <w:pStyle w:val="TableLeftText"/>
              <w:rPr>
                <w:rFonts w:eastAsia="Times New Roman"/>
                <w:b/>
                <w:bCs/>
              </w:rPr>
            </w:pPr>
            <w:r w:rsidRPr="004E20CF">
              <w:rPr>
                <w:rFonts w:eastAsia="Times New Roman"/>
                <w:b/>
                <w:bCs/>
              </w:rPr>
              <w:t>Country</w:t>
            </w:r>
          </w:p>
          <w:p w:rsidR="00F13B54" w:rsidRPr="004E20CF" w:rsidRDefault="00F13B54" w:rsidP="00A26C1C">
            <w:pPr>
              <w:pStyle w:val="TableLeftText"/>
              <w:rPr>
                <w:rFonts w:eastAsia="Times New Roman"/>
                <w:b/>
                <w:bCs/>
              </w:rPr>
            </w:pPr>
            <w:r w:rsidRPr="004E20CF">
              <w:rPr>
                <w:rFonts w:eastAsia="Times New Roman"/>
                <w:b/>
                <w:bCs/>
              </w:rPr>
              <w:t>Funding</w:t>
            </w:r>
          </w:p>
          <w:p w:rsidR="00F13B54" w:rsidRPr="004E20CF" w:rsidRDefault="00F13B54" w:rsidP="00A26C1C">
            <w:pPr>
              <w:pStyle w:val="TableLeftText"/>
              <w:rPr>
                <w:rFonts w:eastAsia="Times New Roman"/>
                <w:b/>
                <w:bCs/>
              </w:rPr>
            </w:pPr>
            <w:r w:rsidRPr="004E20CF">
              <w:rPr>
                <w:rFonts w:eastAsia="Times New Roman"/>
                <w:b/>
                <w:bCs/>
              </w:rPr>
              <w:t>Study Design</w:t>
            </w:r>
          </w:p>
        </w:tc>
        <w:tc>
          <w:tcPr>
            <w:tcW w:w="11538" w:type="dxa"/>
            <w:shd w:val="clear" w:color="auto" w:fill="auto"/>
            <w:vAlign w:val="bottom"/>
            <w:hideMark/>
          </w:tcPr>
          <w:p w:rsidR="00F13B54" w:rsidRPr="004E20CF" w:rsidRDefault="00F13B54" w:rsidP="00A26C1C">
            <w:pPr>
              <w:pStyle w:val="TableLeftText"/>
              <w:rPr>
                <w:rFonts w:eastAsia="Times New Roman"/>
                <w:b/>
                <w:bCs/>
              </w:rPr>
            </w:pPr>
            <w:r w:rsidRPr="004E20CF">
              <w:rPr>
                <w:rFonts w:eastAsia="Times New Roman"/>
                <w:b/>
                <w:bCs/>
              </w:rPr>
              <w:t xml:space="preserve">Abstraction Form </w:t>
            </w:r>
          </w:p>
        </w:tc>
      </w:tr>
      <w:tr w:rsidR="00F13B54" w:rsidRPr="006C22DB" w:rsidTr="00A26C1C">
        <w:trPr>
          <w:trHeight w:val="430"/>
        </w:trPr>
        <w:tc>
          <w:tcPr>
            <w:tcW w:w="1545" w:type="dxa"/>
            <w:shd w:val="clear" w:color="auto" w:fill="auto"/>
          </w:tcPr>
          <w:p w:rsidR="00F13B54" w:rsidRPr="004E20CF" w:rsidRDefault="00F13B54" w:rsidP="00A26C1C">
            <w:pPr>
              <w:pStyle w:val="TableText"/>
              <w:rPr>
                <w:rFonts w:eastAsia="Times New Roman"/>
              </w:rPr>
            </w:pPr>
            <w:r w:rsidRPr="004E20CF">
              <w:rPr>
                <w:rFonts w:eastAsia="Times New Roman"/>
                <w:noProof/>
              </w:rPr>
              <w:t>Thomas et al.</w:t>
            </w:r>
            <w:r w:rsidRPr="004E20CF">
              <w:rPr>
                <w:rFonts w:eastAsia="Times New Roman"/>
              </w:rPr>
              <w:t xml:space="preserve">, </w:t>
            </w:r>
            <w:r w:rsidRPr="004E20CF">
              <w:rPr>
                <w:rFonts w:eastAsia="Times New Roman"/>
                <w:noProof/>
              </w:rPr>
              <w:t>2006</w:t>
            </w:r>
            <w:r w:rsidRPr="004E20CF">
              <w:rPr>
                <w:rFonts w:ascii="Times New Roman" w:eastAsia="Times New Roman" w:hAnsi="Times New Roman"/>
                <w:noProof/>
                <w:vertAlign w:val="superscript"/>
              </w:rPr>
              <w:t>31</w:t>
            </w:r>
          </w:p>
          <w:p w:rsidR="00F13B54" w:rsidRPr="004E20CF" w:rsidRDefault="00F13B54" w:rsidP="00A26C1C">
            <w:pPr>
              <w:pStyle w:val="TableText"/>
              <w:rPr>
                <w:rFonts w:eastAsia="Times New Roman"/>
                <w:noProof/>
              </w:rPr>
            </w:pPr>
            <w:r w:rsidRPr="004E20CF">
              <w:rPr>
                <w:rFonts w:eastAsia="Times New Roman"/>
                <w:noProof/>
              </w:rPr>
              <w:t>(continued)</w:t>
            </w:r>
          </w:p>
        </w:tc>
        <w:tc>
          <w:tcPr>
            <w:tcW w:w="11538" w:type="dxa"/>
            <w:shd w:val="clear" w:color="auto" w:fill="auto"/>
          </w:tcPr>
          <w:p w:rsidR="00F13B54" w:rsidRPr="004E20CF" w:rsidRDefault="00F13B54" w:rsidP="00A26C1C">
            <w:pPr>
              <w:pStyle w:val="TableBulletBlank"/>
              <w:rPr>
                <w:b/>
              </w:rPr>
            </w:pPr>
            <w:r w:rsidRPr="004E20CF">
              <w:rPr>
                <w:b/>
              </w:rPr>
              <w:t>Setting(s):</w:t>
            </w:r>
          </w:p>
          <w:p w:rsidR="00F13B54" w:rsidRPr="00B95E87" w:rsidRDefault="00F13B54" w:rsidP="00A26C1C">
            <w:pPr>
              <w:pStyle w:val="TableBulletBlank"/>
            </w:pPr>
            <w:r w:rsidRPr="00B95E87">
              <w:t>International; Hospital (secondary or tertiary care) or general practice (primary care)</w:t>
            </w:r>
          </w:p>
          <w:p w:rsidR="00F13B54" w:rsidRPr="00B95E87" w:rsidRDefault="00F13B54" w:rsidP="00A26C1C">
            <w:pPr>
              <w:pStyle w:val="TableBulletBlank"/>
              <w:rPr>
                <w:noProof w:val="0"/>
              </w:rPr>
            </w:pPr>
            <w:r w:rsidRPr="00B95E87">
              <w:rPr>
                <w:noProof w:val="0"/>
              </w:rPr>
              <w:t>Recruited from the otitis clinic, Departments of Otolaryngology or otolaryngology clinics, hospital based pediatric practices,</w:t>
            </w:r>
          </w:p>
          <w:p w:rsidR="00F13B54" w:rsidRPr="00B95E87" w:rsidRDefault="00F13B54" w:rsidP="00A26C1C">
            <w:pPr>
              <w:pStyle w:val="TableBulletBlank"/>
              <w:rPr>
                <w:noProof w:val="0"/>
              </w:rPr>
            </w:pPr>
            <w:r w:rsidRPr="00B95E87">
              <w:rPr>
                <w:noProof w:val="0"/>
              </w:rPr>
              <w:t xml:space="preserve">research centers, private clinics, a </w:t>
            </w:r>
            <w:r w:rsidRPr="00B95E87">
              <w:t>hospital and medical centre-based A</w:t>
            </w:r>
            <w:r w:rsidRPr="00B95E87">
              <w:rPr>
                <w:noProof w:val="0"/>
              </w:rPr>
              <w:t xml:space="preserve">mbulatory Care Clinic, a </w:t>
            </w:r>
            <w:r w:rsidRPr="00B95E87">
              <w:t xml:space="preserve">Children’s Orthopedic </w:t>
            </w:r>
            <w:r w:rsidRPr="00B95E87">
              <w:rPr>
                <w:noProof w:val="0"/>
              </w:rPr>
              <w:t>Hospital and Medical</w:t>
            </w:r>
          </w:p>
          <w:p w:rsidR="00F13B54" w:rsidRPr="004E20CF" w:rsidRDefault="00F13B54" w:rsidP="00A26C1C">
            <w:pPr>
              <w:pStyle w:val="TableBulletBlank"/>
              <w:rPr>
                <w:b/>
              </w:rPr>
            </w:pPr>
            <w:r w:rsidRPr="00B95E87">
              <w:rPr>
                <w:noProof w:val="0"/>
              </w:rPr>
              <w:t>Centre, a Medical Centre-based pediatric Chronic Ear Clinic and general practices</w:t>
            </w:r>
          </w:p>
          <w:p w:rsidR="00F13B54" w:rsidRPr="004E20CF" w:rsidRDefault="00F13B54" w:rsidP="00A26C1C">
            <w:pPr>
              <w:pStyle w:val="TableBoldText"/>
              <w:rPr>
                <w:rFonts w:eastAsia="Times New Roman"/>
              </w:rPr>
            </w:pPr>
            <w:r w:rsidRPr="004E20CF">
              <w:rPr>
                <w:rFonts w:eastAsia="Times New Roman"/>
              </w:rPr>
              <w:t>Characteristics of Included Populations</w:t>
            </w:r>
          </w:p>
          <w:p w:rsidR="00F13B54" w:rsidRPr="004E20CF" w:rsidRDefault="00F13B54" w:rsidP="00A26C1C">
            <w:pPr>
              <w:pStyle w:val="TableText"/>
              <w:spacing w:after="120"/>
              <w:rPr>
                <w:rFonts w:eastAsia="Times New Roman"/>
                <w:noProof/>
              </w:rPr>
            </w:pPr>
            <w:r w:rsidRPr="004E20CF">
              <w:rPr>
                <w:rFonts w:eastAsia="Times New Roman"/>
                <w:noProof/>
              </w:rPr>
              <w:t>Children up to the age 12</w:t>
            </w:r>
          </w:p>
          <w:p w:rsidR="00F13B54" w:rsidRPr="004E20CF" w:rsidRDefault="00F13B54" w:rsidP="00A26C1C">
            <w:pPr>
              <w:pStyle w:val="TableText"/>
              <w:rPr>
                <w:rFonts w:eastAsia="Times New Roman"/>
                <w:noProof/>
              </w:rPr>
            </w:pPr>
            <w:r w:rsidRPr="004E20CF">
              <w:rPr>
                <w:rFonts w:eastAsia="Times New Roman"/>
                <w:noProof/>
              </w:rPr>
              <w:t>Berman, 1990: 68 children, 6 months to 5.4 years of age with effusion t for at least 6 weeks and all had 2 previous rounds of antibiotics</w:t>
            </w:r>
          </w:p>
          <w:p w:rsidR="00F13B54" w:rsidRPr="004E20CF" w:rsidRDefault="00F13B54" w:rsidP="00A26C1C">
            <w:pPr>
              <w:pStyle w:val="TableText"/>
              <w:rPr>
                <w:rFonts w:eastAsia="Times New Roman"/>
                <w:noProof/>
              </w:rPr>
            </w:pPr>
            <w:r w:rsidRPr="004E20CF">
              <w:rPr>
                <w:rFonts w:eastAsia="Times New Roman"/>
                <w:noProof/>
              </w:rPr>
              <w:t>Giebink, 1990:</w:t>
            </w:r>
            <w:r w:rsidRPr="004E20CF">
              <w:rPr>
                <w:rFonts w:ascii="AGaramond-Regular" w:eastAsia="Times New Roman" w:hAnsi="AGaramond-Regular" w:cs="AGaramond-Regular"/>
              </w:rPr>
              <w:t xml:space="preserve"> </w:t>
            </w:r>
            <w:r w:rsidRPr="004E20CF">
              <w:rPr>
                <w:rFonts w:eastAsia="Times New Roman"/>
                <w:noProof/>
              </w:rPr>
              <w:t>76 children, 10 months to 7.9 years of age with continuous OME for at least 8 weeks and at least 3 episodes within previous</w:t>
            </w:r>
          </w:p>
          <w:p w:rsidR="00F13B54" w:rsidRPr="004E20CF" w:rsidRDefault="00F13B54" w:rsidP="00A26C1C">
            <w:pPr>
              <w:pStyle w:val="TableText"/>
              <w:rPr>
                <w:rFonts w:eastAsia="Times New Roman"/>
                <w:noProof/>
              </w:rPr>
            </w:pPr>
            <w:r w:rsidRPr="004E20CF">
              <w:rPr>
                <w:rFonts w:eastAsia="Times New Roman"/>
                <w:noProof/>
              </w:rPr>
              <w:t>18 months. All completed a course of antibiotic therapy for most recent acute OM.</w:t>
            </w:r>
          </w:p>
          <w:p w:rsidR="00F13B54" w:rsidRPr="004E20CF" w:rsidRDefault="00F13B54" w:rsidP="00A26C1C">
            <w:pPr>
              <w:pStyle w:val="TableText"/>
              <w:rPr>
                <w:rFonts w:eastAsia="Times New Roman"/>
                <w:noProof/>
              </w:rPr>
            </w:pPr>
            <w:r w:rsidRPr="004E20CF">
              <w:rPr>
                <w:rFonts w:eastAsia="Times New Roman"/>
                <w:noProof/>
              </w:rPr>
              <w:t>Hemlin, 1997: 142 children , 2 to 12 years of age with effusion for at least 3 months</w:t>
            </w:r>
          </w:p>
          <w:p w:rsidR="00F13B54" w:rsidRPr="004E20CF" w:rsidRDefault="00F13B54" w:rsidP="00A26C1C">
            <w:pPr>
              <w:pStyle w:val="TableText"/>
              <w:rPr>
                <w:rFonts w:eastAsia="Times New Roman"/>
                <w:noProof/>
              </w:rPr>
            </w:pPr>
            <w:r w:rsidRPr="004E20CF">
              <w:rPr>
                <w:rFonts w:eastAsia="Times New Roman"/>
                <w:noProof/>
              </w:rPr>
              <w:t>Lambert, 1986: 60 children, 2 to 15 years of age with effusion for at least 2 months</w:t>
            </w:r>
          </w:p>
          <w:p w:rsidR="00F13B54" w:rsidRPr="004E20CF" w:rsidRDefault="00F13B54" w:rsidP="00A26C1C">
            <w:pPr>
              <w:pStyle w:val="TableText"/>
              <w:rPr>
                <w:rFonts w:eastAsia="Times New Roman"/>
                <w:noProof/>
              </w:rPr>
            </w:pPr>
            <w:r w:rsidRPr="004E20CF">
              <w:rPr>
                <w:rFonts w:eastAsia="Times New Roman"/>
                <w:noProof/>
              </w:rPr>
              <w:t xml:space="preserve">Macknin, 1985: 49 children, 6 months to 14 years of age enrolled 6 weeks after initial presentation with acute OM and completing 10 day course of antibotic therpay </w:t>
            </w:r>
          </w:p>
          <w:p w:rsidR="00F13B54" w:rsidRPr="004E20CF" w:rsidRDefault="00F13B54" w:rsidP="00A26C1C">
            <w:pPr>
              <w:pStyle w:val="TableText"/>
              <w:rPr>
                <w:rFonts w:eastAsia="Times New Roman"/>
                <w:noProof/>
              </w:rPr>
            </w:pPr>
            <w:r w:rsidRPr="004E20CF">
              <w:rPr>
                <w:rFonts w:eastAsia="Times New Roman"/>
                <w:noProof/>
              </w:rPr>
              <w:t>Mandel, 2002: 144 children, 1 to 9 years of age with effusion for at least 2 months</w:t>
            </w:r>
          </w:p>
          <w:p w:rsidR="00F13B54" w:rsidRPr="004E20CF" w:rsidRDefault="00F13B54" w:rsidP="00A26C1C">
            <w:pPr>
              <w:pStyle w:val="TableText"/>
              <w:rPr>
                <w:rFonts w:eastAsia="Times New Roman"/>
                <w:noProof/>
              </w:rPr>
            </w:pPr>
            <w:r w:rsidRPr="004E20CF">
              <w:rPr>
                <w:rFonts w:eastAsia="Times New Roman"/>
                <w:noProof/>
              </w:rPr>
              <w:t>Niederman, 1984: 26 children, 2 to 14 years of age with effusion present for 8 weeks</w:t>
            </w:r>
          </w:p>
          <w:p w:rsidR="00F13B54" w:rsidRPr="004E20CF" w:rsidRDefault="00F13B54" w:rsidP="00A26C1C">
            <w:pPr>
              <w:pStyle w:val="TableText"/>
              <w:rPr>
                <w:rFonts w:eastAsia="Times New Roman"/>
                <w:noProof/>
              </w:rPr>
            </w:pPr>
            <w:r w:rsidRPr="004E20CF">
              <w:rPr>
                <w:rFonts w:eastAsia="Times New Roman"/>
                <w:noProof/>
              </w:rPr>
              <w:t>Podoshin, 1990: 150 children 3 to 8 years of age with previsouly untreated OME that was present for at least 2 months</w:t>
            </w:r>
          </w:p>
          <w:p w:rsidR="00F13B54" w:rsidRPr="004E20CF" w:rsidRDefault="00F13B54" w:rsidP="00A26C1C">
            <w:pPr>
              <w:pStyle w:val="TableText"/>
              <w:rPr>
                <w:rFonts w:eastAsia="Times New Roman"/>
                <w:noProof/>
              </w:rPr>
            </w:pPr>
            <w:r w:rsidRPr="004E20CF">
              <w:rPr>
                <w:rFonts w:eastAsia="Times New Roman"/>
                <w:noProof/>
              </w:rPr>
              <w:t>Schwartz, 1980: 41 children, 1.2 to 10 years of age with effusions present for 3 weeks weeks despite previous antibiotics and/or decongestant treatment</w:t>
            </w:r>
          </w:p>
          <w:p w:rsidR="00F13B54" w:rsidRPr="004E20CF" w:rsidRDefault="00F13B54" w:rsidP="00A26C1C">
            <w:pPr>
              <w:pStyle w:val="TableText"/>
              <w:rPr>
                <w:rFonts w:eastAsia="Times New Roman"/>
                <w:noProof/>
              </w:rPr>
            </w:pPr>
            <w:r w:rsidRPr="004E20CF">
              <w:rPr>
                <w:rFonts w:eastAsia="Times New Roman"/>
                <w:noProof/>
              </w:rPr>
              <w:t>Shapiro, 1982: 45 children, 2 to 10 years of age, persistent Eustachian tube dysfunction (documented with abnormal tympanometry)</w:t>
            </w:r>
          </w:p>
          <w:p w:rsidR="00F13B54" w:rsidRPr="004E20CF" w:rsidRDefault="00F13B54" w:rsidP="00A26C1C">
            <w:pPr>
              <w:pStyle w:val="TableText"/>
              <w:rPr>
                <w:rFonts w:eastAsia="Times New Roman"/>
                <w:noProof/>
              </w:rPr>
            </w:pPr>
            <w:r w:rsidRPr="004E20CF">
              <w:rPr>
                <w:rFonts w:eastAsia="Times New Roman"/>
                <w:noProof/>
              </w:rPr>
              <w:t>due to allergic rhinitis which failed to respond to 4 weeks of oral antihistamine and</w:t>
            </w:r>
          </w:p>
          <w:p w:rsidR="00F13B54" w:rsidRPr="004E20CF" w:rsidRDefault="00F13B54" w:rsidP="00A26C1C">
            <w:pPr>
              <w:pStyle w:val="TableText"/>
              <w:rPr>
                <w:rFonts w:eastAsia="Times New Roman"/>
                <w:noProof/>
              </w:rPr>
            </w:pPr>
            <w:r w:rsidRPr="004E20CF">
              <w:rPr>
                <w:rFonts w:eastAsia="Times New Roman"/>
                <w:noProof/>
              </w:rPr>
              <w:t>decongestants</w:t>
            </w:r>
          </w:p>
          <w:p w:rsidR="00F13B54" w:rsidRPr="004E20CF" w:rsidRDefault="00F13B54" w:rsidP="00A26C1C">
            <w:pPr>
              <w:pStyle w:val="TableText"/>
              <w:rPr>
                <w:rFonts w:eastAsia="Times New Roman"/>
                <w:noProof/>
              </w:rPr>
            </w:pPr>
            <w:r w:rsidRPr="004E20CF">
              <w:rPr>
                <w:rFonts w:eastAsia="Times New Roman"/>
                <w:noProof/>
              </w:rPr>
              <w:t xml:space="preserve">Tracy, 1998: 61 children (military-dependent population)aged from 3 to 11 years with persistent middle ear effusion for at least 3 months and a minimum of 3 episodes of AOM within past 6 months or 4 episodes within the past year </w:t>
            </w:r>
          </w:p>
          <w:p w:rsidR="00F13B54" w:rsidRPr="004E20CF" w:rsidRDefault="00F13B54" w:rsidP="00A26C1C">
            <w:pPr>
              <w:pStyle w:val="TableText"/>
              <w:rPr>
                <w:rFonts w:eastAsia="Times New Roman"/>
                <w:noProof/>
              </w:rPr>
            </w:pPr>
          </w:p>
          <w:p w:rsidR="00F13B54" w:rsidRPr="004E20CF" w:rsidRDefault="00F13B54" w:rsidP="00A26C1C">
            <w:pPr>
              <w:pStyle w:val="TableBoldText"/>
              <w:rPr>
                <w:rFonts w:eastAsia="Times New Roman"/>
              </w:rPr>
            </w:pPr>
            <w:r w:rsidRPr="004E20CF">
              <w:rPr>
                <w:rFonts w:eastAsia="Times New Roman"/>
              </w:rPr>
              <w:t>Characteristics of Interventions</w:t>
            </w:r>
          </w:p>
          <w:p w:rsidR="00F13B54" w:rsidRPr="004E20CF" w:rsidRDefault="00F13B54" w:rsidP="00A26C1C">
            <w:pPr>
              <w:pStyle w:val="TableText"/>
              <w:rPr>
                <w:rFonts w:eastAsia="Times New Roman"/>
                <w:noProof/>
              </w:rPr>
            </w:pPr>
            <w:r w:rsidRPr="004E20CF">
              <w:rPr>
                <w:rFonts w:eastAsia="Times New Roman"/>
                <w:noProof/>
              </w:rPr>
              <w:t>Systemic or topical intranasal steroid compared with control (placebo or non-intervention control). Additional therapy could include antibiotics if it was the same in both arms.</w:t>
            </w:r>
          </w:p>
        </w:tc>
      </w:tr>
    </w:tbl>
    <w:p w:rsidR="00F13B54" w:rsidRDefault="00F13B54" w:rsidP="00F13B54"/>
    <w:p w:rsidR="00F13B54" w:rsidRDefault="00F13B54" w:rsidP="00F13B54">
      <w:pPr>
        <w:pStyle w:val="TableTitle"/>
      </w:pPr>
      <w:r>
        <w:br w:type="page"/>
      </w:r>
      <w:r>
        <w:lastRenderedPageBreak/>
        <w:t>Evidence Table 11. Systematic reviews (continued)</w:t>
      </w:r>
    </w:p>
    <w:tbl>
      <w:tblPr>
        <w:tblW w:w="13083" w:type="dxa"/>
        <w:tblBorders>
          <w:top w:val="single" w:sz="12" w:space="0" w:color="auto"/>
          <w:bottom w:val="single" w:sz="12" w:space="0" w:color="auto"/>
          <w:insideH w:val="single" w:sz="8" w:space="0" w:color="auto"/>
        </w:tblBorders>
        <w:tblLayout w:type="fixed"/>
        <w:tblLook w:val="04A0"/>
      </w:tblPr>
      <w:tblGrid>
        <w:gridCol w:w="1545"/>
        <w:gridCol w:w="11538"/>
      </w:tblGrid>
      <w:tr w:rsidR="00F13B54" w:rsidRPr="006C22DB" w:rsidTr="00A26C1C">
        <w:tc>
          <w:tcPr>
            <w:tcW w:w="1545"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Author, Year </w:t>
            </w:r>
          </w:p>
          <w:p w:rsidR="00F13B54" w:rsidRPr="006C22DB" w:rsidRDefault="00F13B54" w:rsidP="00A26C1C">
            <w:pPr>
              <w:pStyle w:val="TableLeftText"/>
              <w:rPr>
                <w:rFonts w:eastAsia="Times New Roman" w:cs="Times New Roman"/>
                <w:b/>
                <w:bCs/>
              </w:rPr>
            </w:pPr>
            <w:r w:rsidRPr="006C22DB">
              <w:rPr>
                <w:rFonts w:eastAsia="Times New Roman" w:cs="Times New Roman"/>
                <w:b/>
                <w:bCs/>
              </w:rPr>
              <w:t>Country</w:t>
            </w:r>
          </w:p>
          <w:p w:rsidR="00F13B54" w:rsidRPr="006C22DB" w:rsidRDefault="00F13B54" w:rsidP="00A26C1C">
            <w:pPr>
              <w:pStyle w:val="TableLeftText"/>
              <w:rPr>
                <w:rFonts w:eastAsia="Times New Roman" w:cs="Times New Roman"/>
                <w:b/>
                <w:bCs/>
              </w:rPr>
            </w:pPr>
            <w:r w:rsidRPr="006C22DB">
              <w:rPr>
                <w:rFonts w:eastAsia="Times New Roman" w:cs="Times New Roman"/>
                <w:b/>
                <w:bCs/>
              </w:rPr>
              <w:t>Funding</w:t>
            </w:r>
          </w:p>
          <w:p w:rsidR="00F13B54" w:rsidRPr="006C22DB" w:rsidRDefault="00F13B54" w:rsidP="00A26C1C">
            <w:pPr>
              <w:pStyle w:val="TableLeftText"/>
              <w:rPr>
                <w:rFonts w:eastAsia="Times New Roman" w:cs="Times New Roman"/>
                <w:b/>
                <w:bCs/>
              </w:rPr>
            </w:pPr>
            <w:r w:rsidRPr="006C22DB">
              <w:rPr>
                <w:rFonts w:eastAsia="Times New Roman" w:cs="Times New Roman"/>
                <w:b/>
                <w:bCs/>
              </w:rPr>
              <w:t>Study Design</w:t>
            </w:r>
          </w:p>
        </w:tc>
        <w:tc>
          <w:tcPr>
            <w:tcW w:w="11538"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Abstraction Form </w:t>
            </w:r>
          </w:p>
        </w:tc>
      </w:tr>
      <w:tr w:rsidR="00F13B54" w:rsidRPr="006C22DB" w:rsidTr="00A26C1C">
        <w:trPr>
          <w:trHeight w:val="1200"/>
        </w:trPr>
        <w:tc>
          <w:tcPr>
            <w:tcW w:w="1545" w:type="dxa"/>
            <w:shd w:val="clear" w:color="auto" w:fill="auto"/>
          </w:tcPr>
          <w:p w:rsidR="00F13B54" w:rsidRPr="006C22DB" w:rsidRDefault="00F13B54" w:rsidP="00A26C1C">
            <w:pPr>
              <w:pStyle w:val="TableText"/>
              <w:rPr>
                <w:rFonts w:eastAsia="Times New Roman" w:cs="Times New Roman"/>
              </w:rPr>
            </w:pPr>
            <w:r w:rsidRPr="006C22DB">
              <w:rPr>
                <w:rFonts w:eastAsia="Times New Roman" w:cs="Times New Roman"/>
                <w:noProof/>
              </w:rPr>
              <w:t>Thomas</w:t>
            </w:r>
            <w:r>
              <w:rPr>
                <w:rFonts w:eastAsia="Times New Roman" w:cs="Times New Roman"/>
                <w:noProof/>
              </w:rPr>
              <w:t xml:space="preserve"> et al.</w:t>
            </w:r>
            <w:r w:rsidRPr="006C22DB">
              <w:rPr>
                <w:rFonts w:eastAsia="Times New Roman" w:cs="Times New Roman"/>
              </w:rPr>
              <w:t xml:space="preserve">, </w:t>
            </w:r>
            <w:r w:rsidRPr="006C22DB">
              <w:rPr>
                <w:rFonts w:eastAsia="Times New Roman" w:cs="Times New Roman"/>
                <w:noProof/>
              </w:rPr>
              <w:t>200</w:t>
            </w:r>
            <w:r>
              <w:rPr>
                <w:rFonts w:eastAsia="Times New Roman" w:cs="Times New Roman"/>
                <w:noProof/>
              </w:rPr>
              <w:t>6</w:t>
            </w:r>
            <w:r w:rsidRPr="00A446F9">
              <w:rPr>
                <w:rFonts w:ascii="Times New Roman" w:eastAsia="Times New Roman" w:hAnsi="Times New Roman" w:cs="Times New Roman"/>
                <w:noProof/>
                <w:vertAlign w:val="superscript"/>
              </w:rPr>
              <w:t>31</w:t>
            </w:r>
          </w:p>
          <w:p w:rsidR="00F13B54" w:rsidRPr="006C22DB" w:rsidRDefault="00F13B54" w:rsidP="00A26C1C">
            <w:pPr>
              <w:pStyle w:val="TableText"/>
              <w:rPr>
                <w:rFonts w:eastAsia="Times New Roman" w:cs="Times New Roman"/>
                <w:noProof/>
              </w:rPr>
            </w:pPr>
            <w:r w:rsidRPr="006C22DB">
              <w:rPr>
                <w:rFonts w:eastAsia="Times New Roman" w:cs="Times New Roman"/>
                <w:noProof/>
              </w:rPr>
              <w:t>(continued)</w:t>
            </w:r>
          </w:p>
        </w:tc>
        <w:tc>
          <w:tcPr>
            <w:tcW w:w="11538" w:type="dxa"/>
            <w:shd w:val="clear" w:color="auto" w:fill="auto"/>
          </w:tcPr>
          <w:p w:rsidR="00F13B54" w:rsidRPr="006C22DB" w:rsidRDefault="00F13B54" w:rsidP="00A26C1C">
            <w:pPr>
              <w:pStyle w:val="TableBoldText"/>
              <w:rPr>
                <w:rFonts w:eastAsia="Times New Roman" w:cs="Times New Roman"/>
              </w:rPr>
            </w:pPr>
            <w:r w:rsidRPr="006C22DB">
              <w:rPr>
                <w:rFonts w:eastAsia="Times New Roman" w:cs="Times New Roman"/>
              </w:rPr>
              <w:t>Main Results</w:t>
            </w:r>
          </w:p>
          <w:p w:rsidR="00F13B54" w:rsidRPr="006C22DB" w:rsidRDefault="00F13B54" w:rsidP="00A26C1C">
            <w:pPr>
              <w:pStyle w:val="TableText"/>
              <w:rPr>
                <w:rFonts w:eastAsia="Times New Roman" w:cs="Times New Roman"/>
              </w:rPr>
            </w:pPr>
            <w:r w:rsidRPr="006C22DB">
              <w:rPr>
                <w:rFonts w:eastAsia="Times New Roman" w:cs="Times New Roman"/>
              </w:rPr>
              <w:t>Persisting OME (1-2 mos)</w:t>
            </w:r>
          </w:p>
          <w:p w:rsidR="00F13B54" w:rsidRPr="006C22DB" w:rsidRDefault="00F13B54" w:rsidP="00A26C1C">
            <w:pPr>
              <w:pStyle w:val="TableText"/>
              <w:rPr>
                <w:rFonts w:eastAsia="Times New Roman" w:cs="Times New Roman"/>
              </w:rPr>
            </w:pPr>
            <w:r w:rsidRPr="006C22DB">
              <w:rPr>
                <w:rFonts w:eastAsia="Times New Roman" w:cs="Times New Roman"/>
              </w:rPr>
              <w:t>Oral steroids vs. control</w:t>
            </w:r>
          </w:p>
          <w:p w:rsidR="00F13B54" w:rsidRPr="006C22DB" w:rsidRDefault="00F13B54" w:rsidP="00A26C1C">
            <w:pPr>
              <w:pStyle w:val="TableText"/>
              <w:rPr>
                <w:rFonts w:eastAsia="Times New Roman" w:cs="Times New Roman"/>
              </w:rPr>
            </w:pPr>
            <w:r w:rsidRPr="006C22DB">
              <w:rPr>
                <w:rFonts w:eastAsia="Times New Roman" w:cs="Times New Roman"/>
              </w:rPr>
              <w:t>MA: 3 studies (N =106)</w:t>
            </w:r>
          </w:p>
          <w:p w:rsidR="00F13B54" w:rsidRPr="006C22DB" w:rsidRDefault="00F13B54" w:rsidP="00A26C1C">
            <w:pPr>
              <w:pStyle w:val="TableText"/>
              <w:rPr>
                <w:rFonts w:eastAsia="Times New Roman" w:cs="Times New Roman"/>
              </w:rPr>
            </w:pPr>
            <w:r w:rsidRPr="006C22DB">
              <w:rPr>
                <w:rFonts w:eastAsia="Times New Roman" w:cs="Times New Roman"/>
              </w:rPr>
              <w:t>Peto OR: 0.55 (95% CI, 0.21 to 1.48) (favors tx)</w:t>
            </w:r>
          </w:p>
          <w:p w:rsidR="00F13B54" w:rsidRPr="006C22DB" w:rsidRDefault="00F13B54" w:rsidP="00A26C1C">
            <w:pPr>
              <w:pStyle w:val="TableText"/>
              <w:rPr>
                <w:rFonts w:eastAsia="Times New Roman" w:cs="Times New Roman"/>
              </w:rPr>
            </w:pPr>
            <w:r w:rsidRPr="006C22DB">
              <w:rPr>
                <w:rFonts w:eastAsia="Times New Roman" w:cs="Times New Roman"/>
              </w:rPr>
              <w:t>Oral steroids + antibiotic vs. control + antibiotic</w:t>
            </w:r>
          </w:p>
          <w:p w:rsidR="00F13B54" w:rsidRPr="006C22DB" w:rsidRDefault="00F13B54" w:rsidP="00A26C1C">
            <w:pPr>
              <w:pStyle w:val="TableText"/>
              <w:rPr>
                <w:rFonts w:eastAsia="Times New Roman" w:cs="Times New Roman"/>
              </w:rPr>
            </w:pPr>
            <w:r w:rsidRPr="006C22DB">
              <w:rPr>
                <w:rFonts w:eastAsia="Times New Roman" w:cs="Times New Roman"/>
              </w:rPr>
              <w:t>MA: 3 studies (N=243)</w:t>
            </w:r>
          </w:p>
          <w:p w:rsidR="00F13B54" w:rsidRPr="006C22DB" w:rsidRDefault="00F13B54" w:rsidP="00A26C1C">
            <w:pPr>
              <w:pStyle w:val="TableText"/>
              <w:rPr>
                <w:rFonts w:eastAsia="Times New Roman" w:cs="Times New Roman"/>
              </w:rPr>
            </w:pPr>
            <w:r w:rsidRPr="006C22DB">
              <w:rPr>
                <w:rFonts w:eastAsia="Times New Roman" w:cs="Times New Roman"/>
              </w:rPr>
              <w:t xml:space="preserve">Peto OR: 0.75 (95% CI, 0.45 to 1.27) </w:t>
            </w:r>
          </w:p>
          <w:p w:rsidR="00F13B54" w:rsidRPr="006C22DB" w:rsidRDefault="00F13B54" w:rsidP="00A26C1C">
            <w:pPr>
              <w:pStyle w:val="TableText"/>
              <w:rPr>
                <w:rFonts w:eastAsia="Times New Roman" w:cs="Times New Roman"/>
              </w:rPr>
            </w:pPr>
            <w:r w:rsidRPr="006C22DB">
              <w:rPr>
                <w:rFonts w:eastAsia="Times New Roman" w:cs="Times New Roman"/>
              </w:rPr>
              <w:t>Persisting OME (3 mos)</w:t>
            </w:r>
          </w:p>
          <w:p w:rsidR="00F13B54" w:rsidRPr="006C22DB" w:rsidRDefault="00F13B54" w:rsidP="00A26C1C">
            <w:pPr>
              <w:pStyle w:val="TableText"/>
              <w:rPr>
                <w:rFonts w:eastAsia="Times New Roman" w:cs="Times New Roman"/>
              </w:rPr>
            </w:pPr>
            <w:r w:rsidRPr="006C22DB">
              <w:rPr>
                <w:rFonts w:eastAsia="Times New Roman" w:cs="Times New Roman"/>
              </w:rPr>
              <w:t>Topical intranasal steroid + oral antibiotic vs. control + antibiotic or antibiotic alone</w:t>
            </w:r>
          </w:p>
          <w:p w:rsidR="00F13B54" w:rsidRPr="006C22DB" w:rsidRDefault="00F13B54" w:rsidP="00A26C1C">
            <w:pPr>
              <w:pStyle w:val="TableText"/>
              <w:rPr>
                <w:rFonts w:eastAsia="Times New Roman" w:cs="Times New Roman"/>
              </w:rPr>
            </w:pPr>
            <w:r w:rsidRPr="006C22DB">
              <w:rPr>
                <w:rFonts w:eastAsia="Times New Roman" w:cs="Times New Roman"/>
              </w:rPr>
              <w:t>1 study (Tracy 1998) (N=59)</w:t>
            </w:r>
          </w:p>
          <w:p w:rsidR="00F13B54" w:rsidRPr="006C22DB" w:rsidRDefault="00F13B54" w:rsidP="00A26C1C">
            <w:pPr>
              <w:pStyle w:val="TableText"/>
              <w:rPr>
                <w:rFonts w:eastAsia="Times New Roman" w:cs="Times New Roman"/>
              </w:rPr>
            </w:pPr>
            <w:r w:rsidRPr="006C22DB">
              <w:rPr>
                <w:rFonts w:eastAsia="Times New Roman" w:cs="Times New Roman"/>
              </w:rPr>
              <w:t>Peto OR: 0.72 (95% CI, 0.21 to 2.44) (favors tx)</w:t>
            </w:r>
          </w:p>
          <w:p w:rsidR="00F13B54" w:rsidRPr="006C22DB" w:rsidRDefault="00F13B54" w:rsidP="00A26C1C">
            <w:pPr>
              <w:pStyle w:val="TableText"/>
              <w:rPr>
                <w:rFonts w:eastAsia="Times New Roman" w:cs="Times New Roman"/>
              </w:rPr>
            </w:pPr>
            <w:r w:rsidRPr="006C22DB">
              <w:rPr>
                <w:rFonts w:eastAsia="Times New Roman" w:cs="Times New Roman"/>
              </w:rPr>
              <w:t>Persisting OME (6 mos)</w:t>
            </w:r>
          </w:p>
          <w:p w:rsidR="00F13B54" w:rsidRPr="006C22DB" w:rsidRDefault="00F13B54" w:rsidP="00A26C1C">
            <w:pPr>
              <w:pStyle w:val="TableText"/>
              <w:rPr>
                <w:rFonts w:eastAsia="Times New Roman" w:cs="Times New Roman"/>
              </w:rPr>
            </w:pPr>
            <w:r w:rsidRPr="006C22DB">
              <w:rPr>
                <w:rFonts w:eastAsia="Times New Roman" w:cs="Times New Roman"/>
              </w:rPr>
              <w:t xml:space="preserve">Oral steroids + antibiotic vs. control + antibiotic </w:t>
            </w:r>
          </w:p>
          <w:p w:rsidR="00F13B54" w:rsidRPr="006C22DB" w:rsidRDefault="00F13B54" w:rsidP="00A26C1C">
            <w:pPr>
              <w:pStyle w:val="TableText"/>
              <w:rPr>
                <w:rFonts w:eastAsia="Times New Roman" w:cs="Times New Roman"/>
              </w:rPr>
            </w:pPr>
            <w:r w:rsidRPr="006C22DB">
              <w:rPr>
                <w:rFonts w:eastAsia="Times New Roman" w:cs="Times New Roman"/>
              </w:rPr>
              <w:t>1 study (Hemlin 1997) (N=15)</w:t>
            </w:r>
          </w:p>
          <w:p w:rsidR="00F13B54" w:rsidRPr="006C22DB" w:rsidRDefault="00F13B54" w:rsidP="00A26C1C">
            <w:pPr>
              <w:pStyle w:val="TableText"/>
              <w:rPr>
                <w:rFonts w:eastAsia="Times New Roman" w:cs="Times New Roman"/>
              </w:rPr>
            </w:pPr>
            <w:r w:rsidRPr="006C22DB">
              <w:rPr>
                <w:rFonts w:eastAsia="Times New Roman" w:cs="Times New Roman"/>
              </w:rPr>
              <w:t>Peto OR: 0.15 (95% CI, 0.00 to 7.80) (favors tx)</w:t>
            </w:r>
          </w:p>
          <w:p w:rsidR="00F13B54" w:rsidRPr="006C22DB" w:rsidRDefault="00F13B54" w:rsidP="00A26C1C">
            <w:pPr>
              <w:pStyle w:val="TableText"/>
              <w:rPr>
                <w:rFonts w:eastAsia="Times New Roman" w:cs="Times New Roman"/>
              </w:rPr>
            </w:pPr>
            <w:r w:rsidRPr="006C22DB">
              <w:rPr>
                <w:rFonts w:eastAsia="Times New Roman" w:cs="Times New Roman"/>
              </w:rPr>
              <w:t>Symptom score (3 mos)</w:t>
            </w:r>
          </w:p>
          <w:p w:rsidR="00F13B54" w:rsidRPr="006C22DB" w:rsidRDefault="00F13B54" w:rsidP="00A26C1C">
            <w:pPr>
              <w:pStyle w:val="TableText"/>
              <w:rPr>
                <w:rFonts w:eastAsia="Times New Roman" w:cs="Times New Roman"/>
              </w:rPr>
            </w:pPr>
            <w:r w:rsidRPr="006C22DB">
              <w:rPr>
                <w:rFonts w:eastAsia="Times New Roman" w:cs="Times New Roman"/>
              </w:rPr>
              <w:t>Topical intranasal steroid + oral antibiotic vs. control + antibiotic or antibiotic alone</w:t>
            </w:r>
          </w:p>
          <w:p w:rsidR="00F13B54" w:rsidRPr="006C22DB" w:rsidRDefault="00F13B54" w:rsidP="00A26C1C">
            <w:pPr>
              <w:pStyle w:val="TableText"/>
              <w:rPr>
                <w:rFonts w:eastAsia="Times New Roman" w:cs="Times New Roman"/>
              </w:rPr>
            </w:pPr>
            <w:r w:rsidRPr="006C22DB">
              <w:rPr>
                <w:rFonts w:eastAsia="Times New Roman" w:cs="Times New Roman"/>
              </w:rPr>
              <w:t>1 study (Tracy 1998) (N=39)</w:t>
            </w:r>
          </w:p>
          <w:p w:rsidR="00F13B54" w:rsidRPr="006C22DB" w:rsidRDefault="00F13B54" w:rsidP="00A26C1C">
            <w:pPr>
              <w:pStyle w:val="TableText"/>
              <w:rPr>
                <w:rFonts w:eastAsia="Times New Roman" w:cs="Times New Roman"/>
              </w:rPr>
            </w:pPr>
            <w:r w:rsidRPr="006C22DB">
              <w:rPr>
                <w:rFonts w:eastAsia="Times New Roman" w:cs="Times New Roman"/>
              </w:rPr>
              <w:t>Peto OR: -4.50 (95% CI, -10.28 to 1.28) (favors tx)</w:t>
            </w:r>
          </w:p>
          <w:p w:rsidR="00F13B54" w:rsidRPr="006C22DB" w:rsidRDefault="00F13B54" w:rsidP="00A26C1C">
            <w:pPr>
              <w:pStyle w:val="TableText"/>
              <w:rPr>
                <w:rFonts w:eastAsia="Times New Roman" w:cs="Times New Roman"/>
              </w:rPr>
            </w:pPr>
            <w:r w:rsidRPr="006C22DB">
              <w:rPr>
                <w:rFonts w:eastAsia="Times New Roman" w:cs="Times New Roman"/>
              </w:rPr>
              <w:t>Hearing gain by at least 10</w:t>
            </w:r>
            <w:r>
              <w:rPr>
                <w:rFonts w:eastAsia="Times New Roman" w:cs="Times New Roman"/>
              </w:rPr>
              <w:t xml:space="preserve"> </w:t>
            </w:r>
            <w:r w:rsidRPr="006C22DB">
              <w:rPr>
                <w:rFonts w:eastAsia="Times New Roman" w:cs="Times New Roman"/>
              </w:rPr>
              <w:t>dB (1-2 mos)</w:t>
            </w:r>
          </w:p>
          <w:p w:rsidR="00F13B54" w:rsidRPr="006C22DB" w:rsidRDefault="00F13B54" w:rsidP="00A26C1C">
            <w:pPr>
              <w:pStyle w:val="TableText"/>
              <w:rPr>
                <w:rFonts w:eastAsia="Times New Roman" w:cs="Times New Roman"/>
              </w:rPr>
            </w:pPr>
            <w:r w:rsidRPr="006C22DB">
              <w:rPr>
                <w:rFonts w:eastAsia="Times New Roman" w:cs="Times New Roman"/>
              </w:rPr>
              <w:t xml:space="preserve">Oral steroids vs. control </w:t>
            </w:r>
          </w:p>
          <w:p w:rsidR="00F13B54" w:rsidRPr="006C22DB" w:rsidRDefault="00F13B54" w:rsidP="00A26C1C">
            <w:pPr>
              <w:pStyle w:val="TableText"/>
              <w:rPr>
                <w:rFonts w:eastAsia="Times New Roman" w:cs="Times New Roman"/>
              </w:rPr>
            </w:pPr>
            <w:r w:rsidRPr="006C22DB">
              <w:rPr>
                <w:rFonts w:eastAsia="Times New Roman" w:cs="Times New Roman"/>
              </w:rPr>
              <w:t>1 study (N=49)</w:t>
            </w:r>
          </w:p>
          <w:p w:rsidR="00F13B54" w:rsidRPr="006C22DB" w:rsidRDefault="00F13B54" w:rsidP="00A26C1C">
            <w:pPr>
              <w:pStyle w:val="TableText"/>
              <w:rPr>
                <w:rFonts w:eastAsia="Times New Roman" w:cs="Times New Roman"/>
              </w:rPr>
            </w:pPr>
            <w:r w:rsidRPr="006C22DB">
              <w:rPr>
                <w:rFonts w:eastAsia="Times New Roman" w:cs="Times New Roman"/>
              </w:rPr>
              <w:t>Peto OR: 1</w:t>
            </w:r>
            <w:r w:rsidRPr="006C22DB">
              <w:rPr>
                <w:rFonts w:eastAsia="Times New Roman" w:cs="Times New Roman"/>
                <w:noProof/>
              </w:rPr>
              <w:t>.47 (95% CI, 0.39 to 5.57) (favors tx)</w:t>
            </w:r>
          </w:p>
          <w:p w:rsidR="00F13B54" w:rsidRPr="006C22DB" w:rsidRDefault="00F13B54" w:rsidP="00A26C1C">
            <w:pPr>
              <w:pStyle w:val="TableBoldText"/>
              <w:rPr>
                <w:rFonts w:eastAsia="Times New Roman" w:cs="Times New Roman"/>
              </w:rPr>
            </w:pPr>
            <w:r w:rsidRPr="006C22DB">
              <w:rPr>
                <w:rFonts w:eastAsia="Times New Roman" w:cs="Times New Roman"/>
              </w:rPr>
              <w:t>Adverse Events</w:t>
            </w:r>
          </w:p>
          <w:p w:rsidR="00F13B54" w:rsidRPr="006C22DB" w:rsidRDefault="00F13B54" w:rsidP="00A26C1C">
            <w:pPr>
              <w:pStyle w:val="TableText"/>
              <w:rPr>
                <w:rFonts w:eastAsia="Times New Roman" w:cs="Times New Roman"/>
              </w:rPr>
            </w:pPr>
            <w:r w:rsidRPr="006C22DB">
              <w:rPr>
                <w:rFonts w:eastAsia="Times New Roman" w:cs="Times New Roman"/>
                <w:noProof/>
              </w:rPr>
              <w:t>No serious or lasting adverse effects reported in 5 studies on oral steroids mentioning adverse events (Niederman, Berman, Giebink, Hemlin, Mandel) or 2 studies on topical (Shapiro, Tracy). Other studies mentioned mild possible adverse effects, such as vomiting, diarrhea, dermatitis, transient nasal stinging and epistaxis.</w:t>
            </w:r>
          </w:p>
        </w:tc>
      </w:tr>
    </w:tbl>
    <w:p w:rsidR="00F13B54" w:rsidRDefault="00F13B54" w:rsidP="00F13B54"/>
    <w:p w:rsidR="00F13B54" w:rsidRDefault="00F13B54" w:rsidP="00F13B54">
      <w:pPr>
        <w:pStyle w:val="TableTitle"/>
      </w:pPr>
      <w:r>
        <w:br w:type="page"/>
      </w:r>
      <w:r>
        <w:lastRenderedPageBreak/>
        <w:t>Evidence Table 11. Systematic reviews (continued)</w:t>
      </w:r>
    </w:p>
    <w:tbl>
      <w:tblPr>
        <w:tblW w:w="13083" w:type="dxa"/>
        <w:tblBorders>
          <w:top w:val="single" w:sz="12" w:space="0" w:color="auto"/>
          <w:bottom w:val="single" w:sz="12" w:space="0" w:color="auto"/>
          <w:insideH w:val="single" w:sz="8" w:space="0" w:color="auto"/>
        </w:tblBorders>
        <w:tblLayout w:type="fixed"/>
        <w:tblLook w:val="04A0"/>
      </w:tblPr>
      <w:tblGrid>
        <w:gridCol w:w="1545"/>
        <w:gridCol w:w="11538"/>
      </w:tblGrid>
      <w:tr w:rsidR="00F13B54" w:rsidRPr="006C22DB" w:rsidTr="00A26C1C">
        <w:tc>
          <w:tcPr>
            <w:tcW w:w="1545"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Author, Year </w:t>
            </w:r>
          </w:p>
          <w:p w:rsidR="00F13B54" w:rsidRPr="006C22DB" w:rsidRDefault="00F13B54" w:rsidP="00A26C1C">
            <w:pPr>
              <w:pStyle w:val="TableLeftText"/>
              <w:rPr>
                <w:rFonts w:eastAsia="Times New Roman" w:cs="Times New Roman"/>
                <w:b/>
                <w:bCs/>
              </w:rPr>
            </w:pPr>
            <w:r w:rsidRPr="006C22DB">
              <w:rPr>
                <w:rFonts w:eastAsia="Times New Roman" w:cs="Times New Roman"/>
                <w:b/>
                <w:bCs/>
              </w:rPr>
              <w:t>Country</w:t>
            </w:r>
          </w:p>
          <w:p w:rsidR="00F13B54" w:rsidRPr="006C22DB" w:rsidRDefault="00F13B54" w:rsidP="00A26C1C">
            <w:pPr>
              <w:pStyle w:val="TableLeftText"/>
              <w:rPr>
                <w:rFonts w:eastAsia="Times New Roman" w:cs="Times New Roman"/>
                <w:b/>
                <w:bCs/>
              </w:rPr>
            </w:pPr>
            <w:r w:rsidRPr="006C22DB">
              <w:rPr>
                <w:rFonts w:eastAsia="Times New Roman" w:cs="Times New Roman"/>
                <w:b/>
                <w:bCs/>
              </w:rPr>
              <w:t>Funding</w:t>
            </w:r>
          </w:p>
          <w:p w:rsidR="00F13B54" w:rsidRPr="006C22DB" w:rsidRDefault="00F13B54" w:rsidP="00A26C1C">
            <w:pPr>
              <w:pStyle w:val="TableLeftText"/>
              <w:rPr>
                <w:rFonts w:eastAsia="Times New Roman" w:cs="Times New Roman"/>
                <w:b/>
                <w:bCs/>
              </w:rPr>
            </w:pPr>
            <w:r w:rsidRPr="006C22DB">
              <w:rPr>
                <w:rFonts w:eastAsia="Times New Roman" w:cs="Times New Roman"/>
                <w:b/>
                <w:bCs/>
              </w:rPr>
              <w:t>Study Design</w:t>
            </w:r>
          </w:p>
        </w:tc>
        <w:tc>
          <w:tcPr>
            <w:tcW w:w="11538"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Abstraction Form </w:t>
            </w:r>
          </w:p>
        </w:tc>
      </w:tr>
      <w:tr w:rsidR="00F13B54" w:rsidRPr="006C22DB" w:rsidTr="00A26C1C">
        <w:trPr>
          <w:trHeight w:val="8090"/>
        </w:trPr>
        <w:tc>
          <w:tcPr>
            <w:tcW w:w="1545" w:type="dxa"/>
            <w:shd w:val="clear" w:color="auto" w:fill="auto"/>
          </w:tcPr>
          <w:p w:rsidR="00F13B54" w:rsidRPr="006C22DB" w:rsidRDefault="00F13B54" w:rsidP="00A26C1C">
            <w:pPr>
              <w:pStyle w:val="TableText"/>
              <w:rPr>
                <w:rFonts w:eastAsia="Times New Roman" w:cs="Times New Roman"/>
              </w:rPr>
            </w:pPr>
            <w:r w:rsidRPr="006C22DB">
              <w:rPr>
                <w:rFonts w:eastAsia="Times New Roman" w:cs="Times New Roman"/>
                <w:noProof/>
              </w:rPr>
              <w:lastRenderedPageBreak/>
              <w:t>van den Aardweg</w:t>
            </w:r>
            <w:r>
              <w:rPr>
                <w:rFonts w:eastAsia="Times New Roman" w:cs="Times New Roman"/>
                <w:noProof/>
              </w:rPr>
              <w:t xml:space="preserve"> et al.</w:t>
            </w:r>
            <w:r w:rsidRPr="006C22DB">
              <w:rPr>
                <w:rFonts w:eastAsia="Times New Roman" w:cs="Times New Roman"/>
              </w:rPr>
              <w:t xml:space="preserve">, </w:t>
            </w:r>
            <w:r w:rsidRPr="006C22DB">
              <w:rPr>
                <w:rFonts w:eastAsia="Times New Roman" w:cs="Times New Roman"/>
                <w:noProof/>
              </w:rPr>
              <w:t>2010</w:t>
            </w:r>
            <w:r w:rsidRPr="00A446F9">
              <w:rPr>
                <w:rFonts w:ascii="Times New Roman" w:eastAsia="Times New Roman" w:hAnsi="Times New Roman" w:cs="Times New Roman"/>
                <w:noProof/>
                <w:vertAlign w:val="superscript"/>
              </w:rPr>
              <w:t>32</w:t>
            </w:r>
          </w:p>
          <w:p w:rsidR="00F13B54" w:rsidRPr="006C22DB" w:rsidRDefault="00F13B54" w:rsidP="00A26C1C">
            <w:pPr>
              <w:pStyle w:val="TableText"/>
              <w:rPr>
                <w:rFonts w:eastAsia="Times New Roman" w:cs="Times New Roman"/>
              </w:rPr>
            </w:pPr>
            <w:r w:rsidRPr="006C22DB">
              <w:rPr>
                <w:rFonts w:eastAsia="Times New Roman" w:cs="Times New Roman"/>
                <w:noProof/>
              </w:rPr>
              <w:t>University medical Center Utrecht, Netherlands;</w:t>
            </w:r>
          </w:p>
          <w:p w:rsidR="00F13B54" w:rsidRPr="006C22DB" w:rsidRDefault="00F13B54" w:rsidP="00A26C1C">
            <w:pPr>
              <w:pStyle w:val="TableText"/>
              <w:rPr>
                <w:rFonts w:eastAsia="Times New Roman" w:cs="Times New Roman"/>
              </w:rPr>
            </w:pPr>
            <w:r w:rsidRPr="006C22DB">
              <w:rPr>
                <w:rFonts w:eastAsia="Times New Roman" w:cs="Times New Roman"/>
                <w:noProof/>
              </w:rPr>
              <w:t>Systematic review</w:t>
            </w:r>
          </w:p>
        </w:tc>
        <w:tc>
          <w:tcPr>
            <w:tcW w:w="11538" w:type="dxa"/>
            <w:shd w:val="clear" w:color="auto" w:fill="auto"/>
          </w:tcPr>
          <w:p w:rsidR="00F13B54" w:rsidRPr="006C22DB" w:rsidRDefault="00F13B54" w:rsidP="00A26C1C">
            <w:pPr>
              <w:pStyle w:val="TableBoldText"/>
              <w:rPr>
                <w:rFonts w:eastAsia="Times New Roman" w:cs="Times New Roman"/>
              </w:rPr>
            </w:pPr>
            <w:r w:rsidRPr="006C22DB">
              <w:rPr>
                <w:rFonts w:eastAsia="Times New Roman" w:cs="Times New Roman"/>
              </w:rPr>
              <w:t>Number of Patients</w:t>
            </w:r>
          </w:p>
          <w:p w:rsidR="00F13B54" w:rsidRPr="006C22DB" w:rsidRDefault="00F13B54" w:rsidP="00A26C1C">
            <w:pPr>
              <w:pStyle w:val="TableText"/>
              <w:rPr>
                <w:rFonts w:eastAsia="Times New Roman" w:cs="Times New Roman"/>
              </w:rPr>
            </w:pPr>
            <w:r w:rsidRPr="006C22DB">
              <w:rPr>
                <w:rFonts w:eastAsia="Times New Roman" w:cs="Times New Roman"/>
                <w:noProof/>
              </w:rPr>
              <w:t>1177 in 7 studies of OME patients</w:t>
            </w:r>
          </w:p>
          <w:p w:rsidR="00F13B54" w:rsidRPr="006C22DB" w:rsidRDefault="00F13B54" w:rsidP="00A26C1C">
            <w:pPr>
              <w:pStyle w:val="TableBoldText"/>
              <w:rPr>
                <w:rFonts w:eastAsia="Times New Roman" w:cs="Times New Roman"/>
              </w:rPr>
            </w:pPr>
            <w:r w:rsidRPr="006C22DB">
              <w:rPr>
                <w:rFonts w:eastAsia="Times New Roman" w:cs="Times New Roman"/>
              </w:rPr>
              <w:t>Aims of Review</w:t>
            </w:r>
          </w:p>
          <w:p w:rsidR="00F13B54" w:rsidRPr="006C22DB" w:rsidRDefault="00F13B54" w:rsidP="00A26C1C">
            <w:pPr>
              <w:pStyle w:val="TableText"/>
              <w:rPr>
                <w:rFonts w:eastAsia="Times New Roman" w:cs="Times New Roman"/>
                <w:bCs/>
              </w:rPr>
            </w:pPr>
            <w:r w:rsidRPr="006C22DB">
              <w:rPr>
                <w:rFonts w:eastAsia="Times New Roman" w:cs="Times New Roman"/>
                <w:bCs/>
                <w:noProof/>
              </w:rPr>
              <w:t>To assess the effectiveness of adenoidectomy vs. non-surgical management or TTs in children</w:t>
            </w:r>
            <w:r>
              <w:rPr>
                <w:rFonts w:eastAsia="Times New Roman" w:cs="Times New Roman"/>
                <w:bCs/>
                <w:noProof/>
              </w:rPr>
              <w:t xml:space="preserve"> with </w:t>
            </w:r>
            <w:r w:rsidRPr="006C22DB">
              <w:rPr>
                <w:rFonts w:eastAsia="Times New Roman" w:cs="Times New Roman"/>
                <w:bCs/>
                <w:noProof/>
              </w:rPr>
              <w:t>OM</w:t>
            </w:r>
          </w:p>
          <w:p w:rsidR="00F13B54" w:rsidRPr="006C22DB" w:rsidRDefault="00F13B54" w:rsidP="00A26C1C">
            <w:pPr>
              <w:pStyle w:val="TableBoldText"/>
              <w:rPr>
                <w:rFonts w:eastAsia="Times New Roman" w:cs="Times New Roman"/>
              </w:rPr>
            </w:pPr>
            <w:r w:rsidRPr="006C22DB">
              <w:rPr>
                <w:rFonts w:eastAsia="Times New Roman" w:cs="Times New Roman"/>
              </w:rPr>
              <w:t>Studies Included in Analysis or Review</w:t>
            </w:r>
          </w:p>
          <w:p w:rsidR="00F13B54" w:rsidRPr="006C22DB" w:rsidRDefault="00F13B54" w:rsidP="00A26C1C">
            <w:pPr>
              <w:pStyle w:val="TableText"/>
              <w:spacing w:after="120"/>
              <w:rPr>
                <w:rFonts w:eastAsia="Times New Roman" w:cs="Times New Roman"/>
                <w:noProof/>
              </w:rPr>
            </w:pPr>
            <w:r w:rsidRPr="006C22DB">
              <w:rPr>
                <w:rFonts w:eastAsia="Times New Roman" w:cs="Times New Roman"/>
                <w:noProof/>
              </w:rPr>
              <w:t>14, of these, 7 limited to children</w:t>
            </w:r>
            <w:r>
              <w:rPr>
                <w:rFonts w:eastAsia="Times New Roman" w:cs="Times New Roman"/>
                <w:noProof/>
              </w:rPr>
              <w:t xml:space="preserve"> with </w:t>
            </w:r>
            <w:r w:rsidRPr="006C22DB">
              <w:rPr>
                <w:rFonts w:eastAsia="Times New Roman" w:cs="Times New Roman"/>
                <w:noProof/>
              </w:rPr>
              <w:t>OME and 7 either a combination of OME and AOM or AOM alone</w:t>
            </w:r>
          </w:p>
          <w:p w:rsidR="00F13B54" w:rsidRPr="00747216" w:rsidRDefault="00F13B54" w:rsidP="00A26C1C">
            <w:pPr>
              <w:pStyle w:val="TableText"/>
            </w:pPr>
            <w:r w:rsidRPr="006C22DB">
              <w:rPr>
                <w:noProof/>
              </w:rPr>
              <w:t>OME only studies:</w:t>
            </w:r>
          </w:p>
          <w:p w:rsidR="00F13B54" w:rsidRPr="000400FA" w:rsidRDefault="00F13B54" w:rsidP="00A26C1C">
            <w:pPr>
              <w:pStyle w:val="TableBullet"/>
              <w:ind w:left="450"/>
            </w:pPr>
            <w:r w:rsidRPr="00C24C9E">
              <w:t>Gates 1987</w:t>
            </w:r>
            <w:r w:rsidRPr="00D70325">
              <w:rPr>
                <w:rFonts w:ascii="Times New Roman" w:hAnsi="Times New Roman"/>
                <w:vertAlign w:val="superscript"/>
              </w:rPr>
              <w:t>5</w:t>
            </w:r>
            <w:r w:rsidRPr="00C24C9E">
              <w:t>; Filleau-Nikolajsen 1980</w:t>
            </w:r>
            <w:r w:rsidRPr="00A446F9">
              <w:rPr>
                <w:rFonts w:ascii="Times New Roman" w:hAnsi="Times New Roman"/>
                <w:vertAlign w:val="superscript"/>
              </w:rPr>
              <w:t>33</w:t>
            </w:r>
            <w:r w:rsidRPr="00C24C9E">
              <w:t>; Dempster 1993</w:t>
            </w:r>
            <w:r w:rsidRPr="00D70325">
              <w:rPr>
                <w:rFonts w:ascii="Times New Roman" w:hAnsi="Times New Roman"/>
                <w:vertAlign w:val="superscript"/>
              </w:rPr>
              <w:t>4</w:t>
            </w:r>
            <w:r w:rsidRPr="00C24C9E">
              <w:t>; Black 1990</w:t>
            </w:r>
            <w:r w:rsidRPr="00D70325">
              <w:rPr>
                <w:rFonts w:ascii="Times New Roman" w:hAnsi="Times New Roman"/>
                <w:vertAlign w:val="superscript"/>
              </w:rPr>
              <w:t>3</w:t>
            </w:r>
            <w:r>
              <w:t xml:space="preserve"> </w:t>
            </w:r>
            <w:r w:rsidRPr="00C24C9E">
              <w:t>; Maw 1986</w:t>
            </w:r>
            <w:r w:rsidRPr="00D70325">
              <w:rPr>
                <w:rFonts w:ascii="Times New Roman" w:hAnsi="Times New Roman"/>
                <w:vertAlign w:val="superscript"/>
              </w:rPr>
              <w:t>2</w:t>
            </w:r>
            <w:r w:rsidRPr="00C24C9E">
              <w:t>; Casselbrant 2009</w:t>
            </w:r>
            <w:r w:rsidRPr="00A446F9">
              <w:rPr>
                <w:rFonts w:ascii="Times New Roman" w:hAnsi="Times New Roman"/>
                <w:vertAlign w:val="superscript"/>
              </w:rPr>
              <w:t>34</w:t>
            </w:r>
            <w:r w:rsidRPr="00C24C9E">
              <w:t>; Roydhouse 1980</w:t>
            </w:r>
            <w:r w:rsidRPr="00A446F9">
              <w:rPr>
                <w:rFonts w:ascii="Times New Roman" w:hAnsi="Times New Roman"/>
                <w:vertAlign w:val="superscript"/>
              </w:rPr>
              <w:t>35</w:t>
            </w:r>
          </w:p>
          <w:p w:rsidR="00F13B54" w:rsidRPr="006C22DB" w:rsidRDefault="00F13B54" w:rsidP="00A26C1C">
            <w:pPr>
              <w:pStyle w:val="TableBoldText"/>
              <w:rPr>
                <w:rFonts w:eastAsia="Times New Roman" w:cs="Times New Roman"/>
              </w:rPr>
            </w:pPr>
            <w:r w:rsidRPr="006C22DB">
              <w:rPr>
                <w:rFonts w:eastAsia="Times New Roman" w:cs="Times New Roman"/>
              </w:rPr>
              <w:t>Characteristics of Included Studies</w:t>
            </w:r>
          </w:p>
          <w:p w:rsidR="00F13B54" w:rsidRDefault="00F13B54" w:rsidP="00A26C1C">
            <w:pPr>
              <w:pStyle w:val="TableText"/>
              <w:rPr>
                <w:rFonts w:eastAsia="Times New Roman" w:cs="Times New Roman"/>
                <w:noProof/>
              </w:rPr>
            </w:pPr>
            <w:r w:rsidRPr="006C22DB">
              <w:rPr>
                <w:rFonts w:eastAsia="Times New Roman" w:cs="Times New Roman"/>
                <w:noProof/>
              </w:rPr>
              <w:t>RCTs (excluding quasi-randomized trials</w:t>
            </w:r>
            <w:r>
              <w:rPr>
                <w:rFonts w:eastAsia="Times New Roman" w:cs="Times New Roman"/>
                <w:noProof/>
              </w:rPr>
              <w:t xml:space="preserve">) </w:t>
            </w:r>
            <w:r w:rsidRPr="006C22DB">
              <w:rPr>
                <w:rFonts w:eastAsia="Times New Roman" w:cs="Times New Roman"/>
                <w:noProof/>
              </w:rPr>
              <w:t>allocation by date of birth or record number; followup of at least 6 mo</w:t>
            </w:r>
            <w:r>
              <w:rPr>
                <w:rFonts w:eastAsia="Times New Roman" w:cs="Times New Roman"/>
                <w:noProof/>
              </w:rPr>
              <w:t>nth</w:t>
            </w:r>
            <w:r w:rsidRPr="006C22DB">
              <w:rPr>
                <w:rFonts w:eastAsia="Times New Roman" w:cs="Times New Roman"/>
                <w:noProof/>
              </w:rPr>
              <w:t>s</w:t>
            </w:r>
          </w:p>
          <w:p w:rsidR="00F13B54" w:rsidRDefault="00F13B54" w:rsidP="00A26C1C">
            <w:pPr>
              <w:pStyle w:val="TableText"/>
              <w:rPr>
                <w:rFonts w:eastAsia="Times New Roman" w:cs="Times New Roman"/>
                <w:noProof/>
              </w:rPr>
            </w:pPr>
          </w:p>
          <w:p w:rsidR="00F13B54" w:rsidRDefault="00F13B54" w:rsidP="00A26C1C">
            <w:pPr>
              <w:pStyle w:val="TableText"/>
              <w:rPr>
                <w:bCs/>
              </w:rPr>
            </w:pPr>
            <w:r w:rsidRPr="0096591A">
              <w:rPr>
                <w:rFonts w:eastAsia="Times New Roman" w:cs="Times New Roman"/>
                <w:b/>
              </w:rPr>
              <w:t>Criteria for diagnosing OME:</w:t>
            </w:r>
            <w:r w:rsidRPr="006C22DB">
              <w:rPr>
                <w:rFonts w:eastAsia="Times New Roman" w:cs="Times New Roman"/>
                <w:noProof/>
              </w:rPr>
              <w:t xml:space="preserve"> OME had to be diagnosed </w:t>
            </w:r>
            <w:r>
              <w:rPr>
                <w:rFonts w:eastAsia="Times New Roman" w:cs="Times New Roman"/>
                <w:noProof/>
              </w:rPr>
              <w:t xml:space="preserve">objectively using </w:t>
            </w:r>
            <w:r w:rsidRPr="006C22DB">
              <w:rPr>
                <w:rFonts w:eastAsia="Times New Roman" w:cs="Times New Roman"/>
                <w:noProof/>
              </w:rPr>
              <w:t>a combination of otoscopy (pneumatic and microsco</w:t>
            </w:r>
            <w:r>
              <w:rPr>
                <w:rFonts w:eastAsia="Times New Roman" w:cs="Times New Roman"/>
                <w:noProof/>
              </w:rPr>
              <w:t>pic), tympanometry and audiomet</w:t>
            </w:r>
            <w:r w:rsidRPr="006C22DB">
              <w:rPr>
                <w:rFonts w:eastAsia="Times New Roman" w:cs="Times New Roman"/>
                <w:noProof/>
              </w:rPr>
              <w:t>ry</w:t>
            </w:r>
          </w:p>
          <w:p w:rsidR="00F13B54" w:rsidRDefault="00F13B54" w:rsidP="00A26C1C">
            <w:pPr>
              <w:pStyle w:val="TableBulletBlank"/>
              <w:rPr>
                <w:b/>
                <w:noProof w:val="0"/>
              </w:rPr>
            </w:pPr>
          </w:p>
          <w:p w:rsidR="00F13B54" w:rsidRPr="001E49F9" w:rsidRDefault="00F13B54" w:rsidP="00A26C1C">
            <w:pPr>
              <w:pStyle w:val="TableBulletBlank"/>
              <w:rPr>
                <w:b/>
                <w:noProof w:val="0"/>
              </w:rPr>
            </w:pPr>
            <w:r w:rsidRPr="001E49F9">
              <w:rPr>
                <w:b/>
                <w:noProof w:val="0"/>
              </w:rPr>
              <w:t>Setting(s):</w:t>
            </w:r>
          </w:p>
          <w:p w:rsidR="00F13B54" w:rsidRPr="000400FA" w:rsidRDefault="00F13B54" w:rsidP="00A26C1C">
            <w:pPr>
              <w:pStyle w:val="TableBulletBlank"/>
            </w:pPr>
            <w:r>
              <w:t>Referral population, largely to otolaryngology clinics in academic medical centers</w:t>
            </w:r>
          </w:p>
          <w:p w:rsidR="00F13B54" w:rsidRPr="006C22DB" w:rsidRDefault="00F13B54" w:rsidP="00A26C1C">
            <w:pPr>
              <w:pStyle w:val="TableText"/>
              <w:rPr>
                <w:rFonts w:eastAsia="Times New Roman" w:cs="Times New Roman"/>
              </w:rPr>
            </w:pPr>
          </w:p>
          <w:p w:rsidR="00F13B54" w:rsidRPr="006C22DB" w:rsidRDefault="00F13B54" w:rsidP="00A26C1C">
            <w:pPr>
              <w:pStyle w:val="TableBoldText"/>
              <w:rPr>
                <w:rFonts w:eastAsia="Times New Roman" w:cs="Times New Roman"/>
              </w:rPr>
            </w:pPr>
            <w:r w:rsidRPr="006C22DB">
              <w:rPr>
                <w:rFonts w:eastAsia="Times New Roman" w:cs="Times New Roman"/>
              </w:rPr>
              <w:t>Characteristics of Included Populations</w:t>
            </w:r>
          </w:p>
          <w:p w:rsidR="00F13B54" w:rsidRPr="00C24C9E" w:rsidRDefault="00F13B54" w:rsidP="00A26C1C">
            <w:pPr>
              <w:pStyle w:val="TableBullet"/>
              <w:numPr>
                <w:ilvl w:val="0"/>
                <w:numId w:val="0"/>
              </w:numPr>
              <w:ind w:left="255"/>
            </w:pPr>
            <w:r w:rsidRPr="00C24C9E">
              <w:t>Children up to 18 years of age with OM including:</w:t>
            </w:r>
          </w:p>
          <w:p w:rsidR="00F13B54" w:rsidRPr="00C24C9E" w:rsidRDefault="00F13B54" w:rsidP="00A26C1C">
            <w:pPr>
              <w:pStyle w:val="TableBullet"/>
              <w:ind w:left="255" w:hanging="255"/>
            </w:pPr>
            <w:r w:rsidRPr="00C24C9E">
              <w:t>Black (1990): 149 children aged 4-9</w:t>
            </w:r>
            <w:r>
              <w:t xml:space="preserve"> with </w:t>
            </w:r>
            <w:r w:rsidRPr="00C24C9E">
              <w:t>bilateral OME</w:t>
            </w:r>
          </w:p>
          <w:p w:rsidR="00F13B54" w:rsidRPr="00C24C9E" w:rsidRDefault="00F13B54" w:rsidP="00A26C1C">
            <w:pPr>
              <w:pStyle w:val="TableBullet"/>
              <w:ind w:left="255" w:hanging="255"/>
            </w:pPr>
            <w:r w:rsidRPr="00C24C9E">
              <w:t>Casselbrant (2009): 98 children 24-47 mos,</w:t>
            </w:r>
            <w:r>
              <w:t xml:space="preserve"> with </w:t>
            </w:r>
            <w:r w:rsidRPr="00C24C9E">
              <w:t>a history of bilateral middle ear effusion for at least 3 mos, unilateral for 6 mos or longer or unilateral for 3 mos after extrusion of a TT, unresponsive to recent antibiotic</w:t>
            </w:r>
          </w:p>
          <w:p w:rsidR="00F13B54" w:rsidRPr="00C24C9E" w:rsidRDefault="00F13B54" w:rsidP="00A26C1C">
            <w:pPr>
              <w:pStyle w:val="TableBullet"/>
              <w:ind w:left="255" w:hanging="255"/>
            </w:pPr>
            <w:r w:rsidRPr="00C24C9E">
              <w:t>Dempster (1993): 78 children aged 3-12</w:t>
            </w:r>
            <w:r>
              <w:t xml:space="preserve"> with </w:t>
            </w:r>
            <w:r w:rsidRPr="00C24C9E">
              <w:t>bilateral OME associated</w:t>
            </w:r>
            <w:r>
              <w:t xml:space="preserve"> with </w:t>
            </w:r>
            <w:r w:rsidRPr="00C24C9E">
              <w:t>hearing loss</w:t>
            </w:r>
          </w:p>
          <w:p w:rsidR="00F13B54" w:rsidRPr="00C24C9E" w:rsidRDefault="00F13B54" w:rsidP="00A26C1C">
            <w:pPr>
              <w:pStyle w:val="TableBullet"/>
              <w:ind w:left="255" w:hanging="255"/>
            </w:pPr>
            <w:r w:rsidRPr="00C24C9E">
              <w:t>Fiellau-Nikolajsen (1980): 42 children aged 3</w:t>
            </w:r>
            <w:r>
              <w:t xml:space="preserve"> with </w:t>
            </w:r>
            <w:r w:rsidRPr="00C24C9E">
              <w:t>persistent or recurrent OME</w:t>
            </w:r>
          </w:p>
          <w:p w:rsidR="00F13B54" w:rsidRPr="00C24C9E" w:rsidRDefault="00F13B54" w:rsidP="00A26C1C">
            <w:pPr>
              <w:pStyle w:val="TableBullet"/>
              <w:ind w:left="255" w:hanging="255"/>
            </w:pPr>
            <w:r w:rsidRPr="00C24C9E">
              <w:t>Gates (1987): 491 children aged 4-8</w:t>
            </w:r>
            <w:r>
              <w:t xml:space="preserve"> with </w:t>
            </w:r>
            <w:r w:rsidRPr="00C24C9E">
              <w:t>persistent bilateral OME</w:t>
            </w:r>
          </w:p>
          <w:p w:rsidR="00F13B54" w:rsidRPr="00C24C9E" w:rsidRDefault="00F13B54" w:rsidP="00A26C1C">
            <w:pPr>
              <w:pStyle w:val="TableBullet"/>
              <w:ind w:left="255" w:hanging="255"/>
            </w:pPr>
            <w:r w:rsidRPr="00C24C9E">
              <w:t>Maw (1986): 150 children aged 2-9</w:t>
            </w:r>
            <w:r>
              <w:t xml:space="preserve"> with </w:t>
            </w:r>
            <w:r w:rsidRPr="00C24C9E">
              <w:t>persistent bilateral OME</w:t>
            </w:r>
          </w:p>
          <w:p w:rsidR="00F13B54" w:rsidRPr="000400FA" w:rsidRDefault="00F13B54" w:rsidP="00A26C1C">
            <w:pPr>
              <w:pStyle w:val="TableBullet"/>
              <w:ind w:left="255" w:hanging="255"/>
            </w:pPr>
            <w:r w:rsidRPr="00C24C9E">
              <w:t>Roydhouse (1980): 169 children aged 2-14</w:t>
            </w:r>
            <w:r>
              <w:t xml:space="preserve"> with </w:t>
            </w:r>
            <w:r w:rsidRPr="00C24C9E">
              <w:t>persistent OME</w:t>
            </w:r>
          </w:p>
          <w:p w:rsidR="00F13B54" w:rsidRDefault="00F13B54" w:rsidP="00A26C1C">
            <w:pPr>
              <w:pStyle w:val="TableBullet"/>
              <w:numPr>
                <w:ilvl w:val="0"/>
                <w:numId w:val="0"/>
              </w:numPr>
              <w:ind w:left="255"/>
              <w:rPr>
                <w:bCs/>
              </w:rPr>
            </w:pPr>
          </w:p>
        </w:tc>
      </w:tr>
    </w:tbl>
    <w:p w:rsidR="00F13B54" w:rsidRDefault="00F13B54" w:rsidP="00F13B54">
      <w:pPr>
        <w:pStyle w:val="TableTitle"/>
      </w:pPr>
      <w:r>
        <w:t>Evidence Table 11. Systematic reviews (continued)</w:t>
      </w:r>
    </w:p>
    <w:tbl>
      <w:tblPr>
        <w:tblW w:w="13083" w:type="dxa"/>
        <w:tblBorders>
          <w:top w:val="single" w:sz="12" w:space="0" w:color="auto"/>
          <w:bottom w:val="single" w:sz="12" w:space="0" w:color="auto"/>
          <w:insideH w:val="single" w:sz="8" w:space="0" w:color="auto"/>
        </w:tblBorders>
        <w:tblLayout w:type="fixed"/>
        <w:tblLook w:val="04A0"/>
      </w:tblPr>
      <w:tblGrid>
        <w:gridCol w:w="1545"/>
        <w:gridCol w:w="11538"/>
      </w:tblGrid>
      <w:tr w:rsidR="00F13B54" w:rsidRPr="006C22DB" w:rsidTr="00A26C1C">
        <w:tc>
          <w:tcPr>
            <w:tcW w:w="1545"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Author, Year </w:t>
            </w:r>
          </w:p>
          <w:p w:rsidR="00F13B54" w:rsidRPr="006C22DB" w:rsidRDefault="00F13B54" w:rsidP="00A26C1C">
            <w:pPr>
              <w:pStyle w:val="TableLeftText"/>
              <w:rPr>
                <w:rFonts w:eastAsia="Times New Roman" w:cs="Times New Roman"/>
                <w:b/>
                <w:bCs/>
              </w:rPr>
            </w:pPr>
            <w:r w:rsidRPr="006C22DB">
              <w:rPr>
                <w:rFonts w:eastAsia="Times New Roman" w:cs="Times New Roman"/>
                <w:b/>
                <w:bCs/>
              </w:rPr>
              <w:t>Country</w:t>
            </w:r>
          </w:p>
          <w:p w:rsidR="00F13B54" w:rsidRPr="006C22DB" w:rsidRDefault="00F13B54" w:rsidP="00A26C1C">
            <w:pPr>
              <w:pStyle w:val="TableLeftText"/>
              <w:rPr>
                <w:rFonts w:eastAsia="Times New Roman" w:cs="Times New Roman"/>
                <w:b/>
                <w:bCs/>
              </w:rPr>
            </w:pPr>
            <w:r w:rsidRPr="006C22DB">
              <w:rPr>
                <w:rFonts w:eastAsia="Times New Roman" w:cs="Times New Roman"/>
                <w:b/>
                <w:bCs/>
              </w:rPr>
              <w:t>Funding</w:t>
            </w:r>
          </w:p>
          <w:p w:rsidR="00F13B54" w:rsidRPr="006C22DB" w:rsidRDefault="00F13B54" w:rsidP="00A26C1C">
            <w:pPr>
              <w:pStyle w:val="TableLeftText"/>
              <w:rPr>
                <w:rFonts w:eastAsia="Times New Roman" w:cs="Times New Roman"/>
                <w:b/>
                <w:bCs/>
              </w:rPr>
            </w:pPr>
            <w:r w:rsidRPr="006C22DB">
              <w:rPr>
                <w:rFonts w:eastAsia="Times New Roman" w:cs="Times New Roman"/>
                <w:b/>
                <w:bCs/>
              </w:rPr>
              <w:lastRenderedPageBreak/>
              <w:t>Study Design</w:t>
            </w:r>
          </w:p>
        </w:tc>
        <w:tc>
          <w:tcPr>
            <w:tcW w:w="11538"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lastRenderedPageBreak/>
              <w:t xml:space="preserve">Abstraction Form </w:t>
            </w:r>
          </w:p>
        </w:tc>
      </w:tr>
      <w:tr w:rsidR="00F13B54" w:rsidRPr="006C22DB" w:rsidTr="00A26C1C">
        <w:trPr>
          <w:trHeight w:val="1200"/>
        </w:trPr>
        <w:tc>
          <w:tcPr>
            <w:tcW w:w="1545" w:type="dxa"/>
            <w:shd w:val="clear" w:color="auto" w:fill="auto"/>
          </w:tcPr>
          <w:p w:rsidR="00F13B54" w:rsidRPr="006C22DB" w:rsidRDefault="00F13B54" w:rsidP="00A26C1C">
            <w:pPr>
              <w:pStyle w:val="TableText"/>
              <w:rPr>
                <w:rFonts w:eastAsia="Times New Roman" w:cs="Times New Roman"/>
              </w:rPr>
            </w:pPr>
            <w:r w:rsidRPr="006C22DB">
              <w:rPr>
                <w:rFonts w:eastAsia="Times New Roman" w:cs="Times New Roman"/>
                <w:noProof/>
              </w:rPr>
              <w:lastRenderedPageBreak/>
              <w:t>van den Aardweg</w:t>
            </w:r>
            <w:r>
              <w:rPr>
                <w:rFonts w:eastAsia="Times New Roman" w:cs="Times New Roman"/>
                <w:noProof/>
              </w:rPr>
              <w:t xml:space="preserve"> et al.</w:t>
            </w:r>
            <w:r w:rsidRPr="006C22DB">
              <w:rPr>
                <w:rFonts w:eastAsia="Times New Roman" w:cs="Times New Roman"/>
              </w:rPr>
              <w:t xml:space="preserve">, </w:t>
            </w:r>
            <w:r w:rsidRPr="006C22DB">
              <w:rPr>
                <w:rFonts w:eastAsia="Times New Roman" w:cs="Times New Roman"/>
                <w:noProof/>
              </w:rPr>
              <w:t>2010</w:t>
            </w:r>
            <w:r w:rsidRPr="00A446F9">
              <w:rPr>
                <w:rFonts w:ascii="Times New Roman" w:eastAsia="Times New Roman" w:hAnsi="Times New Roman" w:cs="Times New Roman"/>
                <w:noProof/>
                <w:vertAlign w:val="superscript"/>
              </w:rPr>
              <w:t>32</w:t>
            </w:r>
          </w:p>
          <w:p w:rsidR="00F13B54" w:rsidRPr="006C22DB" w:rsidRDefault="00F13B54" w:rsidP="00A26C1C">
            <w:pPr>
              <w:pStyle w:val="TableText"/>
              <w:rPr>
                <w:rFonts w:eastAsia="Times New Roman" w:cs="Times New Roman"/>
                <w:noProof/>
              </w:rPr>
            </w:pPr>
            <w:r w:rsidRPr="006C22DB">
              <w:rPr>
                <w:rFonts w:eastAsia="Times New Roman" w:cs="Times New Roman"/>
                <w:noProof/>
              </w:rPr>
              <w:t>(continued)</w:t>
            </w:r>
          </w:p>
        </w:tc>
        <w:tc>
          <w:tcPr>
            <w:tcW w:w="11538" w:type="dxa"/>
            <w:shd w:val="clear" w:color="auto" w:fill="auto"/>
          </w:tcPr>
          <w:p w:rsidR="00F13B54" w:rsidRPr="006C22DB" w:rsidRDefault="00F13B54" w:rsidP="00A26C1C">
            <w:pPr>
              <w:pStyle w:val="TableBoldText"/>
              <w:rPr>
                <w:rFonts w:eastAsia="Times New Roman" w:cs="Times New Roman"/>
              </w:rPr>
            </w:pPr>
            <w:r w:rsidRPr="006C22DB">
              <w:rPr>
                <w:rFonts w:eastAsia="Times New Roman" w:cs="Times New Roman"/>
              </w:rPr>
              <w:t>Characteristics of Interventions</w:t>
            </w:r>
          </w:p>
          <w:p w:rsidR="00F13B54" w:rsidRPr="00C24C9E" w:rsidRDefault="00F13B54" w:rsidP="00A26C1C">
            <w:pPr>
              <w:pStyle w:val="TableBullet"/>
              <w:ind w:left="255" w:hanging="255"/>
            </w:pPr>
            <w:r w:rsidRPr="00C24C9E">
              <w:t>Black (1990): Adenoidectomy</w:t>
            </w:r>
            <w:r>
              <w:t xml:space="preserve"> with </w:t>
            </w:r>
            <w:r w:rsidRPr="00C24C9E">
              <w:t>bilaterial myringotomy</w:t>
            </w:r>
            <w:r>
              <w:t xml:space="preserve"> </w:t>
            </w:r>
            <w:r w:rsidRPr="00C24C9E">
              <w:t>vs. adenoidectomy</w:t>
            </w:r>
            <w:r>
              <w:t xml:space="preserve"> with </w:t>
            </w:r>
            <w:r w:rsidRPr="00C24C9E">
              <w:t>a unilateral TT vs. bilateral myringomoty vs. unilateral TT</w:t>
            </w:r>
          </w:p>
          <w:p w:rsidR="00F13B54" w:rsidRPr="00C24C9E" w:rsidRDefault="00F13B54" w:rsidP="00A26C1C">
            <w:pPr>
              <w:pStyle w:val="TableBullet"/>
              <w:ind w:left="255" w:hanging="255"/>
            </w:pPr>
            <w:r w:rsidRPr="00C24C9E">
              <w:t>Casselbrant (2009): myringotomy and TT</w:t>
            </w:r>
            <w:r>
              <w:t xml:space="preserve"> vs. </w:t>
            </w:r>
            <w:r w:rsidRPr="00C24C9E">
              <w:t>adenoidectomy, myringotomy and TT vs. adenoidectomy and myringotomy</w:t>
            </w:r>
          </w:p>
          <w:p w:rsidR="00F13B54" w:rsidRPr="00C24C9E" w:rsidRDefault="00F13B54" w:rsidP="00A26C1C">
            <w:pPr>
              <w:pStyle w:val="TableBullet"/>
              <w:ind w:left="255" w:hanging="255"/>
            </w:pPr>
            <w:r w:rsidRPr="00C24C9E">
              <w:t>Dempster (1993): adenoidectomy</w:t>
            </w:r>
            <w:r>
              <w:t xml:space="preserve"> </w:t>
            </w:r>
            <w:r w:rsidRPr="00C24C9E">
              <w:t>and unilateral TT vs. unilateral TT</w:t>
            </w:r>
          </w:p>
          <w:p w:rsidR="00F13B54" w:rsidRPr="00C24C9E" w:rsidRDefault="00F13B54" w:rsidP="00A26C1C">
            <w:pPr>
              <w:pStyle w:val="TableBullet"/>
              <w:ind w:left="255" w:hanging="255"/>
            </w:pPr>
            <w:r w:rsidRPr="00C24C9E">
              <w:t>Fiellau-Nikolajsen (1980): myringotomy and adenoidectomy vs. myringotomy</w:t>
            </w:r>
          </w:p>
          <w:p w:rsidR="00F13B54" w:rsidRPr="00C24C9E" w:rsidRDefault="00F13B54" w:rsidP="00A26C1C">
            <w:pPr>
              <w:pStyle w:val="TableBullet"/>
              <w:ind w:left="255" w:hanging="255"/>
            </w:pPr>
            <w:r w:rsidRPr="00C24C9E">
              <w:t>Gates (1987): bilateral myringotomy vs. TT vs. bilateral myringotomy and adenoidectomy vs. TT and adenoidectomy</w:t>
            </w:r>
          </w:p>
          <w:p w:rsidR="00F13B54" w:rsidRDefault="00F13B54" w:rsidP="00A26C1C">
            <w:pPr>
              <w:pStyle w:val="TableBullet"/>
              <w:ind w:left="255" w:hanging="255"/>
            </w:pPr>
            <w:r w:rsidRPr="00C24C9E">
              <w:t>Maw (1986): Adenotonsillectomy and unliteral TT vs. adenoidectomy and unilateral TT</w:t>
            </w:r>
            <w:r>
              <w:t xml:space="preserve"> vs. </w:t>
            </w:r>
            <w:r w:rsidRPr="00C24C9E">
              <w:t>unilateral TT</w:t>
            </w:r>
          </w:p>
          <w:p w:rsidR="00F13B54" w:rsidRPr="008D4ADB" w:rsidRDefault="00F13B54" w:rsidP="00A26C1C">
            <w:pPr>
              <w:pStyle w:val="TableBullet"/>
              <w:ind w:left="255" w:hanging="255"/>
            </w:pPr>
            <w:r w:rsidRPr="00C24C9E">
              <w:t>Roydhouse (1980): TT and adenoidectomy vs. TT vs. control</w:t>
            </w:r>
          </w:p>
          <w:p w:rsidR="00F13B54" w:rsidRPr="006C22DB" w:rsidRDefault="00F13B54" w:rsidP="00A26C1C">
            <w:pPr>
              <w:pStyle w:val="TableBoldText"/>
              <w:rPr>
                <w:rFonts w:eastAsia="Times New Roman" w:cs="Times New Roman"/>
              </w:rPr>
            </w:pPr>
            <w:r w:rsidRPr="006C22DB">
              <w:rPr>
                <w:rFonts w:eastAsia="Times New Roman" w:cs="Times New Roman"/>
              </w:rPr>
              <w:t>Main Results</w:t>
            </w:r>
          </w:p>
          <w:p w:rsidR="00F13B54" w:rsidRPr="00341786" w:rsidRDefault="00F13B54" w:rsidP="00F13B54">
            <w:pPr>
              <w:pStyle w:val="TableText"/>
              <w:numPr>
                <w:ilvl w:val="0"/>
                <w:numId w:val="21"/>
              </w:numPr>
              <w:ind w:left="255" w:hanging="255"/>
              <w:rPr>
                <w:rFonts w:eastAsia="Times New Roman" w:cs="Times New Roman"/>
                <w:bCs/>
                <w:noProof/>
                <w:u w:val="single"/>
              </w:rPr>
            </w:pPr>
            <w:r w:rsidRPr="00E0447D">
              <w:rPr>
                <w:rFonts w:eastAsia="Times New Roman" w:cs="Times New Roman"/>
                <w:noProof/>
                <w:u w:val="single"/>
              </w:rPr>
              <w:t xml:space="preserve">Mean </w:t>
            </w:r>
            <w:r w:rsidRPr="00E0447D">
              <w:rPr>
                <w:rFonts w:eastAsia="Times New Roman" w:cs="Times New Roman"/>
                <w:u w:val="single"/>
              </w:rPr>
              <w:t>time</w:t>
            </w:r>
            <w:r w:rsidRPr="00E0447D">
              <w:rPr>
                <w:rFonts w:eastAsia="Times New Roman" w:cs="Times New Roman"/>
                <w:noProof/>
                <w:u w:val="single"/>
              </w:rPr>
              <w:t xml:space="preserve"> with Effusion (SD)</w:t>
            </w:r>
          </w:p>
          <w:p w:rsidR="00F13B54" w:rsidRPr="00C24C9E" w:rsidRDefault="00F13B54" w:rsidP="00A26C1C">
            <w:pPr>
              <w:pStyle w:val="TableBullet"/>
              <w:ind w:left="255" w:hanging="255"/>
            </w:pPr>
            <w:r w:rsidRPr="00C24C9E">
              <w:t xml:space="preserve">1 study (Gates, 1987) (N=237) </w:t>
            </w:r>
          </w:p>
          <w:p w:rsidR="00F13B54" w:rsidRDefault="00F13B54" w:rsidP="00A26C1C">
            <w:pPr>
              <w:pStyle w:val="TableBullet"/>
              <w:ind w:left="255" w:hanging="255"/>
            </w:pPr>
            <w:r>
              <w:t>Adenoid</w:t>
            </w:r>
            <w:r w:rsidRPr="00C24C9E">
              <w:t xml:space="preserve"> + Myr: 0.302 (0.250)</w:t>
            </w:r>
            <w:r>
              <w:t xml:space="preserve">; </w:t>
            </w:r>
            <w:r w:rsidRPr="006C22DB">
              <w:t>Myr only: 0.491 (0.252)</w:t>
            </w:r>
          </w:p>
          <w:p w:rsidR="00F13B54" w:rsidRPr="000C5123" w:rsidRDefault="00F13B54" w:rsidP="00A26C1C">
            <w:pPr>
              <w:pStyle w:val="TableBullet"/>
              <w:numPr>
                <w:ilvl w:val="0"/>
                <w:numId w:val="0"/>
              </w:numPr>
              <w:ind w:left="255"/>
            </w:pPr>
            <w:r w:rsidRPr="000C5123">
              <w:t>SMD: -0.76 (95% CI, -1.02 to -0.49)</w:t>
            </w:r>
          </w:p>
          <w:p w:rsidR="00F13B54" w:rsidRPr="00C24C9E" w:rsidRDefault="00F13B54" w:rsidP="00A26C1C">
            <w:pPr>
              <w:pStyle w:val="TableBullet"/>
              <w:ind w:left="255" w:hanging="255"/>
            </w:pPr>
            <w:r w:rsidRPr="00C24C9E">
              <w:t>1 study (Gates, 1987) (N=254)</w:t>
            </w:r>
          </w:p>
          <w:p w:rsidR="00F13B54" w:rsidRDefault="00F13B54" w:rsidP="00A26C1C">
            <w:pPr>
              <w:pStyle w:val="TableBullet"/>
              <w:ind w:left="255" w:hanging="255"/>
            </w:pPr>
            <w:r>
              <w:t>Adenoid</w:t>
            </w:r>
            <w:r w:rsidRPr="00C24C9E">
              <w:t xml:space="preserve"> + TT: 0.258 (0.212)</w:t>
            </w:r>
            <w:r>
              <w:t xml:space="preserve">; </w:t>
            </w:r>
            <w:r w:rsidRPr="00C24C9E">
              <w:t>TT only: 0.349 (0.235)</w:t>
            </w:r>
          </w:p>
          <w:p w:rsidR="00F13B54" w:rsidRPr="000C5123" w:rsidRDefault="00F13B54" w:rsidP="00A26C1C">
            <w:pPr>
              <w:pStyle w:val="TableBullet"/>
              <w:numPr>
                <w:ilvl w:val="0"/>
                <w:numId w:val="0"/>
              </w:numPr>
              <w:ind w:left="255"/>
            </w:pPr>
            <w:r w:rsidRPr="000C5123">
              <w:t>SMD: -0.40 (95% CI, -0.65 to -0.15)</w:t>
            </w:r>
          </w:p>
          <w:p w:rsidR="00F13B54" w:rsidRPr="00C24C9E" w:rsidRDefault="00F13B54" w:rsidP="00A26C1C">
            <w:pPr>
              <w:pStyle w:val="TableBullet"/>
              <w:ind w:left="255" w:hanging="255"/>
            </w:pPr>
            <w:r w:rsidRPr="00C24C9E">
              <w:t xml:space="preserve">1 study during first 18 mos (Casselbrant, 2009) (N=62) </w:t>
            </w:r>
          </w:p>
          <w:p w:rsidR="00F13B54" w:rsidRPr="00C24C9E" w:rsidRDefault="00F13B54" w:rsidP="00A26C1C">
            <w:pPr>
              <w:pStyle w:val="TableBullet"/>
              <w:ind w:left="255" w:hanging="255"/>
            </w:pPr>
            <w:r>
              <w:t>Adenoid</w:t>
            </w:r>
            <w:r w:rsidRPr="00C24C9E">
              <w:t xml:space="preserve"> + Myr + TT: 18%</w:t>
            </w:r>
            <w:r>
              <w:t xml:space="preserve">; </w:t>
            </w:r>
            <w:r w:rsidRPr="00C24C9E">
              <w:t xml:space="preserve">Myr + TT: 12% </w:t>
            </w:r>
          </w:p>
          <w:p w:rsidR="00F13B54" w:rsidRPr="00C24C9E" w:rsidRDefault="00F13B54" w:rsidP="00A26C1C">
            <w:pPr>
              <w:pStyle w:val="TableBullet"/>
              <w:numPr>
                <w:ilvl w:val="0"/>
                <w:numId w:val="0"/>
              </w:numPr>
              <w:ind w:left="255"/>
            </w:pPr>
            <w:r w:rsidRPr="00C24C9E">
              <w:t>Diff: 6% (95% CI, -12 to 24)</w:t>
            </w:r>
          </w:p>
          <w:p w:rsidR="00F13B54" w:rsidRPr="006C22DB" w:rsidRDefault="00F13B54" w:rsidP="00A26C1C">
            <w:pPr>
              <w:pStyle w:val="TableText"/>
              <w:rPr>
                <w:rFonts w:eastAsia="Times New Roman" w:cs="Times New Roman"/>
                <w:noProof/>
              </w:rPr>
            </w:pPr>
            <w:r w:rsidRPr="006C22DB">
              <w:rPr>
                <w:rFonts w:eastAsia="Times New Roman" w:cs="Times New Roman"/>
                <w:noProof/>
              </w:rPr>
              <w:t>1 study during first 36 mos (Casselbrant, 2009) (N=62)</w:t>
            </w:r>
          </w:p>
          <w:p w:rsidR="00F13B54" w:rsidRPr="00C24C9E" w:rsidRDefault="00F13B54" w:rsidP="00A26C1C">
            <w:pPr>
              <w:pStyle w:val="TableBullet"/>
              <w:ind w:left="255" w:hanging="255"/>
            </w:pPr>
            <w:r>
              <w:t>Adenoid</w:t>
            </w:r>
            <w:r w:rsidRPr="00C24C9E">
              <w:t xml:space="preserve"> + Myr + TT: 21%</w:t>
            </w:r>
            <w:r>
              <w:t xml:space="preserve">; </w:t>
            </w:r>
            <w:r w:rsidRPr="00C24C9E">
              <w:t>Myr + TT: 19%</w:t>
            </w:r>
          </w:p>
          <w:p w:rsidR="00F13B54" w:rsidRDefault="00F13B54" w:rsidP="00A26C1C">
            <w:pPr>
              <w:pStyle w:val="TableBullet"/>
              <w:ind w:left="255" w:hanging="255"/>
              <w:rPr>
                <w:u w:val="single"/>
              </w:rPr>
            </w:pPr>
            <w:r w:rsidRPr="00C24C9E">
              <w:t>Diff: 2% (95% CI, -19 to 23)</w:t>
            </w:r>
          </w:p>
          <w:p w:rsidR="00F13B54" w:rsidRPr="000C5123" w:rsidRDefault="00F13B54" w:rsidP="00A26C1C">
            <w:pPr>
              <w:pStyle w:val="TableText"/>
              <w:rPr>
                <w:rFonts w:eastAsia="Times New Roman" w:cs="Times New Roman"/>
                <w:noProof/>
                <w:u w:val="single"/>
              </w:rPr>
            </w:pPr>
            <w:r w:rsidRPr="000C5123">
              <w:rPr>
                <w:rFonts w:eastAsia="Times New Roman" w:cs="Times New Roman"/>
                <w:noProof/>
                <w:u w:val="single"/>
              </w:rPr>
              <w:t>Type A tympanogram (normal ears) at 6 mos</w:t>
            </w:r>
          </w:p>
          <w:p w:rsidR="00F13B54" w:rsidRPr="00C24C9E" w:rsidRDefault="00F13B54" w:rsidP="00A26C1C">
            <w:pPr>
              <w:pStyle w:val="TableBullet"/>
              <w:ind w:left="255" w:hanging="255"/>
            </w:pPr>
            <w:r w:rsidRPr="00C24C9E">
              <w:t>1 study (Fiellau-Nikolajsen, 1980) (N=88)</w:t>
            </w:r>
          </w:p>
          <w:p w:rsidR="00F13B54" w:rsidRPr="00C24C9E" w:rsidRDefault="00F13B54" w:rsidP="00A26C1C">
            <w:pPr>
              <w:pStyle w:val="TableBullet"/>
              <w:ind w:left="255" w:hanging="255"/>
            </w:pPr>
            <w:r>
              <w:t>Adenoid</w:t>
            </w:r>
            <w:r w:rsidRPr="00C24C9E">
              <w:t xml:space="preserve"> + Myr: 68%</w:t>
            </w:r>
            <w:r>
              <w:t xml:space="preserve">; </w:t>
            </w:r>
            <w:r w:rsidRPr="00C24C9E">
              <w:t>Myr: 52%</w:t>
            </w:r>
          </w:p>
          <w:p w:rsidR="00F13B54" w:rsidRPr="00C24C9E" w:rsidRDefault="00F13B54" w:rsidP="00A26C1C">
            <w:pPr>
              <w:pStyle w:val="TableBullet"/>
              <w:numPr>
                <w:ilvl w:val="0"/>
                <w:numId w:val="0"/>
              </w:numPr>
              <w:ind w:left="255"/>
            </w:pPr>
            <w:r w:rsidRPr="00C24C9E">
              <w:t>Risk diff: 15% (95% CI, -5% to 46%)</w:t>
            </w:r>
          </w:p>
          <w:p w:rsidR="00F13B54" w:rsidRPr="000C5123" w:rsidRDefault="00F13B54" w:rsidP="00A26C1C">
            <w:pPr>
              <w:pStyle w:val="TableText"/>
              <w:rPr>
                <w:rFonts w:eastAsia="Times New Roman" w:cs="Times New Roman"/>
                <w:noProof/>
                <w:u w:val="single"/>
              </w:rPr>
            </w:pPr>
            <w:r w:rsidRPr="000C5123">
              <w:rPr>
                <w:rFonts w:eastAsia="Times New Roman" w:cs="Times New Roman"/>
                <w:noProof/>
                <w:u w:val="single"/>
              </w:rPr>
              <w:t>Resolution of OME at 6 mos based on otoscopy</w:t>
            </w:r>
          </w:p>
          <w:p w:rsidR="00F13B54" w:rsidRPr="00C24C9E" w:rsidRDefault="00F13B54" w:rsidP="00A26C1C">
            <w:pPr>
              <w:pStyle w:val="TableBullet"/>
              <w:ind w:left="255" w:hanging="255"/>
            </w:pPr>
            <w:r w:rsidRPr="00C24C9E">
              <w:t>(MA: 2 studies) (N=153)</w:t>
            </w:r>
          </w:p>
          <w:p w:rsidR="00F13B54" w:rsidRPr="00C24C9E" w:rsidRDefault="00F13B54" w:rsidP="00A26C1C">
            <w:pPr>
              <w:pStyle w:val="TableBullet"/>
              <w:ind w:left="255" w:hanging="255"/>
            </w:pPr>
            <w:r>
              <w:t>Adenoid</w:t>
            </w:r>
            <w:r w:rsidRPr="00C24C9E">
              <w:t xml:space="preserve"> + unilateral TT: 35 of 72 (49%)</w:t>
            </w:r>
            <w:r>
              <w:t xml:space="preserve">; </w:t>
            </w:r>
            <w:r w:rsidRPr="00C24C9E">
              <w:t>Unilateral TT: 17 of 81 (21%)</w:t>
            </w:r>
          </w:p>
          <w:p w:rsidR="00F13B54" w:rsidRPr="00C24C9E" w:rsidRDefault="00F13B54" w:rsidP="00A26C1C">
            <w:pPr>
              <w:pStyle w:val="TableBullet"/>
              <w:numPr>
                <w:ilvl w:val="0"/>
                <w:numId w:val="0"/>
              </w:numPr>
              <w:ind w:left="255"/>
            </w:pPr>
            <w:r w:rsidRPr="00C24C9E">
              <w:t>Risk diff: 0.27 (95% CI, 0.13 to 0.42)</w:t>
            </w:r>
          </w:p>
          <w:p w:rsidR="00F13B54" w:rsidRPr="000C5123" w:rsidRDefault="00F13B54" w:rsidP="00A26C1C">
            <w:pPr>
              <w:pStyle w:val="TableText"/>
              <w:rPr>
                <w:rFonts w:eastAsia="Times New Roman" w:cs="Times New Roman"/>
                <w:noProof/>
                <w:u w:val="single"/>
              </w:rPr>
            </w:pPr>
            <w:r w:rsidRPr="000C5123">
              <w:rPr>
                <w:rFonts w:eastAsia="Times New Roman" w:cs="Times New Roman"/>
                <w:noProof/>
                <w:u w:val="single"/>
              </w:rPr>
              <w:t>Resolution of OME at 6 mos based on tympanometry</w:t>
            </w:r>
          </w:p>
          <w:p w:rsidR="00F13B54" w:rsidRPr="00C24C9E" w:rsidRDefault="00F13B54" w:rsidP="00A26C1C">
            <w:pPr>
              <w:pStyle w:val="TableBullet"/>
              <w:ind w:left="255" w:hanging="255"/>
            </w:pPr>
            <w:r w:rsidRPr="00C24C9E">
              <w:t>(MA: 3 studies) (N=297)</w:t>
            </w:r>
          </w:p>
          <w:p w:rsidR="00F13B54" w:rsidRPr="00C24C9E" w:rsidRDefault="00F13B54" w:rsidP="00A26C1C">
            <w:pPr>
              <w:pStyle w:val="TableBullet"/>
              <w:ind w:left="255" w:hanging="255"/>
            </w:pPr>
            <w:r>
              <w:t>Adenoid</w:t>
            </w:r>
            <w:r w:rsidRPr="00C24C9E">
              <w:t xml:space="preserve"> + unilateral TT: 56 of 144 (39%)</w:t>
            </w:r>
            <w:r>
              <w:t xml:space="preserve">; </w:t>
            </w:r>
            <w:r w:rsidRPr="00C24C9E">
              <w:t>Unilateral TT: 26 of 153 (17%)</w:t>
            </w:r>
          </w:p>
          <w:p w:rsidR="00F13B54" w:rsidRPr="00F64107" w:rsidRDefault="00F13B54" w:rsidP="00A26C1C">
            <w:pPr>
              <w:pStyle w:val="TableBullet"/>
              <w:ind w:left="255" w:hanging="255"/>
            </w:pPr>
            <w:r w:rsidRPr="00C24C9E">
              <w:t>Risk diff: 0.22 (95% CI, 0.12 to 0.32)</w:t>
            </w:r>
          </w:p>
        </w:tc>
      </w:tr>
    </w:tbl>
    <w:p w:rsidR="00F13B54" w:rsidRDefault="00F13B54" w:rsidP="00F13B54">
      <w:pPr>
        <w:rPr>
          <w:b/>
          <w:color w:val="000000"/>
          <w:sz w:val="20"/>
          <w:szCs w:val="24"/>
        </w:rPr>
      </w:pPr>
    </w:p>
    <w:p w:rsidR="00F13B54" w:rsidRDefault="00F13B54" w:rsidP="00F13B54">
      <w:pPr>
        <w:pStyle w:val="TableTitle"/>
      </w:pPr>
      <w:r>
        <w:br w:type="page"/>
      </w:r>
      <w:r>
        <w:lastRenderedPageBreak/>
        <w:t>Evidence Table 11. Systematic reviews (continued)</w:t>
      </w:r>
    </w:p>
    <w:tbl>
      <w:tblPr>
        <w:tblW w:w="13083" w:type="dxa"/>
        <w:tblBorders>
          <w:top w:val="single" w:sz="12" w:space="0" w:color="auto"/>
          <w:bottom w:val="single" w:sz="12" w:space="0" w:color="auto"/>
          <w:insideH w:val="single" w:sz="8" w:space="0" w:color="auto"/>
        </w:tblBorders>
        <w:tblLayout w:type="fixed"/>
        <w:tblLook w:val="04A0"/>
      </w:tblPr>
      <w:tblGrid>
        <w:gridCol w:w="1545"/>
        <w:gridCol w:w="11538"/>
      </w:tblGrid>
      <w:tr w:rsidR="00F13B54" w:rsidRPr="006C22DB" w:rsidTr="00A26C1C">
        <w:tc>
          <w:tcPr>
            <w:tcW w:w="1545"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Author, Year </w:t>
            </w:r>
          </w:p>
          <w:p w:rsidR="00F13B54" w:rsidRPr="006C22DB" w:rsidRDefault="00F13B54" w:rsidP="00A26C1C">
            <w:pPr>
              <w:pStyle w:val="TableLeftText"/>
              <w:rPr>
                <w:rFonts w:eastAsia="Times New Roman" w:cs="Times New Roman"/>
                <w:b/>
                <w:bCs/>
              </w:rPr>
            </w:pPr>
            <w:r w:rsidRPr="006C22DB">
              <w:rPr>
                <w:rFonts w:eastAsia="Times New Roman" w:cs="Times New Roman"/>
                <w:b/>
                <w:bCs/>
              </w:rPr>
              <w:t>Country</w:t>
            </w:r>
          </w:p>
          <w:p w:rsidR="00F13B54" w:rsidRPr="006C22DB" w:rsidRDefault="00F13B54" w:rsidP="00A26C1C">
            <w:pPr>
              <w:pStyle w:val="TableLeftText"/>
              <w:rPr>
                <w:rFonts w:eastAsia="Times New Roman" w:cs="Times New Roman"/>
                <w:b/>
                <w:bCs/>
              </w:rPr>
            </w:pPr>
            <w:r w:rsidRPr="006C22DB">
              <w:rPr>
                <w:rFonts w:eastAsia="Times New Roman" w:cs="Times New Roman"/>
                <w:b/>
                <w:bCs/>
              </w:rPr>
              <w:t>Funding</w:t>
            </w:r>
          </w:p>
          <w:p w:rsidR="00F13B54" w:rsidRPr="006C22DB" w:rsidRDefault="00F13B54" w:rsidP="00A26C1C">
            <w:pPr>
              <w:pStyle w:val="TableLeftText"/>
              <w:rPr>
                <w:rFonts w:eastAsia="Times New Roman" w:cs="Times New Roman"/>
                <w:b/>
                <w:bCs/>
              </w:rPr>
            </w:pPr>
            <w:r w:rsidRPr="006C22DB">
              <w:rPr>
                <w:rFonts w:eastAsia="Times New Roman" w:cs="Times New Roman"/>
                <w:b/>
                <w:bCs/>
              </w:rPr>
              <w:t>Study Design</w:t>
            </w:r>
          </w:p>
        </w:tc>
        <w:tc>
          <w:tcPr>
            <w:tcW w:w="11538"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Abstraction Form </w:t>
            </w:r>
          </w:p>
        </w:tc>
      </w:tr>
      <w:tr w:rsidR="00F13B54" w:rsidRPr="006C22DB" w:rsidTr="00A26C1C">
        <w:trPr>
          <w:trHeight w:val="1200"/>
        </w:trPr>
        <w:tc>
          <w:tcPr>
            <w:tcW w:w="1545" w:type="dxa"/>
            <w:shd w:val="clear" w:color="auto" w:fill="auto"/>
          </w:tcPr>
          <w:p w:rsidR="00F13B54" w:rsidRPr="006C22DB" w:rsidRDefault="00F13B54" w:rsidP="00A26C1C">
            <w:pPr>
              <w:pStyle w:val="TableText"/>
              <w:rPr>
                <w:rFonts w:eastAsia="Times New Roman" w:cs="Times New Roman"/>
              </w:rPr>
            </w:pPr>
            <w:r w:rsidRPr="006C22DB">
              <w:rPr>
                <w:rFonts w:eastAsia="Times New Roman" w:cs="Times New Roman"/>
                <w:noProof/>
              </w:rPr>
              <w:t>van den Aardweg</w:t>
            </w:r>
            <w:r>
              <w:rPr>
                <w:rFonts w:eastAsia="Times New Roman" w:cs="Times New Roman"/>
                <w:noProof/>
              </w:rPr>
              <w:t xml:space="preserve"> et al.</w:t>
            </w:r>
            <w:r w:rsidRPr="006C22DB">
              <w:rPr>
                <w:rFonts w:eastAsia="Times New Roman" w:cs="Times New Roman"/>
              </w:rPr>
              <w:t xml:space="preserve">, </w:t>
            </w:r>
            <w:r w:rsidRPr="006C22DB">
              <w:rPr>
                <w:rFonts w:eastAsia="Times New Roman" w:cs="Times New Roman"/>
                <w:noProof/>
              </w:rPr>
              <w:t>2010</w:t>
            </w:r>
            <w:r w:rsidRPr="00A446F9">
              <w:rPr>
                <w:rFonts w:ascii="Times New Roman" w:eastAsia="Times New Roman" w:hAnsi="Times New Roman" w:cs="Times New Roman"/>
                <w:noProof/>
                <w:vertAlign w:val="superscript"/>
              </w:rPr>
              <w:t>32</w:t>
            </w:r>
          </w:p>
          <w:p w:rsidR="00F13B54" w:rsidRPr="006C22DB" w:rsidRDefault="00F13B54" w:rsidP="00A26C1C">
            <w:pPr>
              <w:pStyle w:val="TableText"/>
              <w:rPr>
                <w:rFonts w:eastAsia="Times New Roman" w:cs="Times New Roman"/>
                <w:noProof/>
              </w:rPr>
            </w:pPr>
            <w:r w:rsidRPr="006C22DB">
              <w:rPr>
                <w:rFonts w:eastAsia="Times New Roman" w:cs="Times New Roman"/>
                <w:noProof/>
              </w:rPr>
              <w:t>(continued)</w:t>
            </w:r>
          </w:p>
        </w:tc>
        <w:tc>
          <w:tcPr>
            <w:tcW w:w="11538" w:type="dxa"/>
            <w:shd w:val="clear" w:color="auto" w:fill="auto"/>
          </w:tcPr>
          <w:p w:rsidR="00F13B54" w:rsidRPr="000C5123" w:rsidRDefault="00F13B54" w:rsidP="00A26C1C">
            <w:pPr>
              <w:pStyle w:val="TableText"/>
              <w:rPr>
                <w:rFonts w:eastAsia="Times New Roman" w:cs="Times New Roman"/>
                <w:noProof/>
                <w:u w:val="single"/>
              </w:rPr>
            </w:pPr>
            <w:r w:rsidRPr="000C5123">
              <w:rPr>
                <w:rFonts w:eastAsia="Times New Roman" w:cs="Times New Roman"/>
                <w:noProof/>
                <w:u w:val="single"/>
              </w:rPr>
              <w:t>Resolution of OME at 12 mos based on tympanometry</w:t>
            </w:r>
          </w:p>
          <w:p w:rsidR="00F13B54" w:rsidRPr="00C24C9E" w:rsidRDefault="00F13B54" w:rsidP="00A26C1C">
            <w:pPr>
              <w:pStyle w:val="TableBullet"/>
              <w:ind w:left="255" w:hanging="255"/>
            </w:pPr>
            <w:r w:rsidRPr="00C24C9E">
              <w:t>(MA: 3 studies) (N=298)</w:t>
            </w:r>
          </w:p>
          <w:p w:rsidR="00F13B54" w:rsidRPr="00C24C9E" w:rsidRDefault="00F13B54" w:rsidP="00A26C1C">
            <w:pPr>
              <w:pStyle w:val="TableBullet"/>
              <w:ind w:left="255" w:hanging="255"/>
            </w:pPr>
            <w:r>
              <w:t>Adenoid</w:t>
            </w:r>
            <w:r w:rsidRPr="00C24C9E">
              <w:t xml:space="preserve"> + unilateral TT: 68 of 143 (47%)</w:t>
            </w:r>
            <w:r>
              <w:t xml:space="preserve">; </w:t>
            </w:r>
            <w:r w:rsidRPr="00C24C9E">
              <w:t>Unilateral TT: 31 of 155 (20%)</w:t>
            </w:r>
          </w:p>
          <w:p w:rsidR="00F13B54" w:rsidRPr="00C24C9E" w:rsidRDefault="00F13B54" w:rsidP="00A26C1C">
            <w:pPr>
              <w:pStyle w:val="TableBullet"/>
              <w:numPr>
                <w:ilvl w:val="0"/>
                <w:numId w:val="0"/>
              </w:numPr>
              <w:ind w:left="255"/>
            </w:pPr>
            <w:r w:rsidRPr="00C24C9E">
              <w:t>Risk diff: 0.29 (95% CI, 0.19 to 0.39)</w:t>
            </w:r>
          </w:p>
          <w:p w:rsidR="00F13B54" w:rsidRPr="000C5123" w:rsidRDefault="00F13B54" w:rsidP="00A26C1C">
            <w:pPr>
              <w:pStyle w:val="TableText"/>
              <w:rPr>
                <w:rFonts w:eastAsia="Times New Roman" w:cs="Times New Roman"/>
                <w:noProof/>
                <w:u w:val="single"/>
              </w:rPr>
            </w:pPr>
            <w:r w:rsidRPr="000C5123">
              <w:rPr>
                <w:rFonts w:eastAsia="Times New Roman" w:cs="Times New Roman"/>
                <w:noProof/>
                <w:u w:val="single"/>
              </w:rPr>
              <w:t xml:space="preserve">Resolution of OME at 12 mos based on otoscopy </w:t>
            </w:r>
          </w:p>
          <w:p w:rsidR="00F13B54" w:rsidRPr="00C24C9E" w:rsidRDefault="00F13B54" w:rsidP="00A26C1C">
            <w:pPr>
              <w:pStyle w:val="TableBullet"/>
              <w:ind w:left="255" w:hanging="255"/>
            </w:pPr>
            <w:r w:rsidRPr="00C24C9E">
              <w:t>(Dempster, 1993) (N=72)</w:t>
            </w:r>
          </w:p>
          <w:p w:rsidR="00F13B54" w:rsidRDefault="00F13B54" w:rsidP="00A26C1C">
            <w:pPr>
              <w:pStyle w:val="TableBullet"/>
              <w:ind w:left="255" w:hanging="255"/>
            </w:pPr>
            <w:r>
              <w:t>Adenoid</w:t>
            </w:r>
            <w:r w:rsidRPr="00C24C9E">
              <w:t>: 54%</w:t>
            </w:r>
            <w:r>
              <w:t xml:space="preserve">; </w:t>
            </w:r>
            <w:r w:rsidRPr="00C24C9E">
              <w:t>No intervention: 37%</w:t>
            </w:r>
          </w:p>
          <w:p w:rsidR="00F13B54" w:rsidRPr="000C5123" w:rsidRDefault="00F13B54" w:rsidP="00A26C1C">
            <w:pPr>
              <w:pStyle w:val="TableBullet"/>
              <w:numPr>
                <w:ilvl w:val="0"/>
                <w:numId w:val="0"/>
              </w:numPr>
              <w:ind w:left="255"/>
            </w:pPr>
            <w:r w:rsidRPr="000C5123">
              <w:t>Risk diff: 17% (95% CI, -6% to 40%)</w:t>
            </w:r>
          </w:p>
          <w:p w:rsidR="00F13B54" w:rsidRPr="00C24C9E" w:rsidRDefault="00F13B54" w:rsidP="00A26C1C">
            <w:pPr>
              <w:pStyle w:val="TableBullet"/>
              <w:ind w:left="255" w:hanging="255"/>
            </w:pPr>
            <w:r w:rsidRPr="00C24C9E">
              <w:t>(Maw, 1986) (N=81)</w:t>
            </w:r>
          </w:p>
          <w:p w:rsidR="00F13B54" w:rsidRDefault="00F13B54" w:rsidP="00A26C1C">
            <w:pPr>
              <w:pStyle w:val="TableBullet"/>
              <w:ind w:left="255" w:hanging="255"/>
            </w:pPr>
            <w:r>
              <w:t>Adenoid</w:t>
            </w:r>
            <w:r w:rsidRPr="00C24C9E">
              <w:t>: 69.4%</w:t>
            </w:r>
            <w:r>
              <w:t xml:space="preserve">; </w:t>
            </w:r>
            <w:r w:rsidRPr="00C24C9E">
              <w:t>No intervention: 27.7%</w:t>
            </w:r>
          </w:p>
          <w:p w:rsidR="00F13B54" w:rsidRDefault="00F13B54" w:rsidP="00A26C1C">
            <w:pPr>
              <w:pStyle w:val="TableBullet"/>
              <w:numPr>
                <w:ilvl w:val="0"/>
                <w:numId w:val="0"/>
              </w:numPr>
              <w:ind w:left="255"/>
            </w:pPr>
            <w:r w:rsidRPr="000C5123">
              <w:t>Risk diff: 42% (95% CI, 22% to 62%)</w:t>
            </w:r>
          </w:p>
          <w:p w:rsidR="00F13B54" w:rsidRPr="000C5123" w:rsidRDefault="00F13B54" w:rsidP="00A26C1C">
            <w:pPr>
              <w:pStyle w:val="TableText"/>
              <w:rPr>
                <w:rFonts w:eastAsia="Times New Roman" w:cs="Times New Roman"/>
                <w:noProof/>
                <w:u w:val="single"/>
              </w:rPr>
            </w:pPr>
            <w:r w:rsidRPr="000C5123">
              <w:rPr>
                <w:rFonts w:eastAsia="Times New Roman" w:cs="Times New Roman"/>
                <w:noProof/>
                <w:u w:val="single"/>
              </w:rPr>
              <w:t>Percentage of ears with effusion at 12 mos</w:t>
            </w:r>
          </w:p>
          <w:p w:rsidR="00F13B54" w:rsidRPr="00C24C9E" w:rsidRDefault="00F13B54" w:rsidP="00A26C1C">
            <w:pPr>
              <w:pStyle w:val="TableBullet"/>
              <w:ind w:left="255" w:hanging="255"/>
            </w:pPr>
            <w:r w:rsidRPr="00C24C9E">
              <w:t>1 study (Roydhouse, 1980) (N=95)</w:t>
            </w:r>
          </w:p>
          <w:p w:rsidR="00F13B54" w:rsidRDefault="00F13B54" w:rsidP="00A26C1C">
            <w:pPr>
              <w:pStyle w:val="TableBullet"/>
              <w:ind w:left="255" w:hanging="255"/>
            </w:pPr>
            <w:r>
              <w:t>Adenoid</w:t>
            </w:r>
            <w:r w:rsidRPr="00C24C9E">
              <w:t xml:space="preserve"> + TT: 18%</w:t>
            </w:r>
            <w:r>
              <w:t xml:space="preserve">; </w:t>
            </w:r>
            <w:r w:rsidRPr="00C24C9E">
              <w:t>TT: 23%</w:t>
            </w:r>
          </w:p>
          <w:p w:rsidR="00F13B54" w:rsidRDefault="00F13B54" w:rsidP="00A26C1C">
            <w:pPr>
              <w:pStyle w:val="TableBullet"/>
              <w:ind w:left="255" w:hanging="255"/>
            </w:pPr>
            <w:r w:rsidRPr="00C24C9E">
              <w:t>Risk diff: -5% (95% CI, -8% to 17%)</w:t>
            </w:r>
          </w:p>
          <w:p w:rsidR="00F13B54" w:rsidRPr="000C5123" w:rsidRDefault="00F13B54" w:rsidP="00A26C1C">
            <w:pPr>
              <w:pStyle w:val="TableText"/>
              <w:rPr>
                <w:rFonts w:eastAsia="Times New Roman" w:cs="Times New Roman"/>
                <w:noProof/>
                <w:u w:val="single"/>
              </w:rPr>
            </w:pPr>
            <w:r w:rsidRPr="000C5123">
              <w:rPr>
                <w:rFonts w:eastAsia="Times New Roman" w:cs="Times New Roman"/>
                <w:noProof/>
                <w:u w:val="single"/>
              </w:rPr>
              <w:t>Percentage of ears with effusion at 24 mos</w:t>
            </w:r>
          </w:p>
          <w:p w:rsidR="00F13B54" w:rsidRPr="00C24C9E" w:rsidRDefault="00F13B54" w:rsidP="00A26C1C">
            <w:pPr>
              <w:pStyle w:val="TableBullet"/>
              <w:ind w:left="255" w:hanging="255"/>
            </w:pPr>
            <w:r w:rsidRPr="00C24C9E">
              <w:t>1 study (Roydhouse, 1980) (N=95)</w:t>
            </w:r>
          </w:p>
          <w:p w:rsidR="00F13B54" w:rsidRPr="00C24C9E" w:rsidRDefault="00F13B54" w:rsidP="00A26C1C">
            <w:pPr>
              <w:pStyle w:val="TableBullet"/>
              <w:ind w:left="255" w:hanging="255"/>
            </w:pPr>
            <w:r>
              <w:t>Adenoid</w:t>
            </w:r>
            <w:r w:rsidRPr="00C24C9E">
              <w:t xml:space="preserve"> + TT: 15%</w:t>
            </w:r>
          </w:p>
          <w:p w:rsidR="00F13B54" w:rsidRPr="00C24C9E" w:rsidRDefault="00F13B54" w:rsidP="00A26C1C">
            <w:pPr>
              <w:pStyle w:val="TableBullet"/>
              <w:ind w:left="255" w:hanging="255"/>
            </w:pPr>
            <w:r w:rsidRPr="00C24C9E">
              <w:t>TT: 18%</w:t>
            </w:r>
          </w:p>
          <w:p w:rsidR="00F13B54" w:rsidRDefault="00F13B54" w:rsidP="00A26C1C">
            <w:pPr>
              <w:pStyle w:val="TableBullet"/>
              <w:ind w:left="255" w:hanging="255"/>
            </w:pPr>
            <w:r w:rsidRPr="00C24C9E">
              <w:t xml:space="preserve">Risk </w:t>
            </w:r>
            <w:r>
              <w:t>diff: -3% (95% CI, -10% to 15%)</w:t>
            </w:r>
          </w:p>
          <w:p w:rsidR="00F13B54" w:rsidRPr="000C5123" w:rsidRDefault="00F13B54" w:rsidP="00A26C1C">
            <w:pPr>
              <w:pStyle w:val="TableText"/>
              <w:rPr>
                <w:rFonts w:eastAsia="Times New Roman" w:cs="Times New Roman"/>
                <w:noProof/>
                <w:u w:val="single"/>
              </w:rPr>
            </w:pPr>
            <w:r w:rsidRPr="000C5123">
              <w:rPr>
                <w:rFonts w:eastAsia="Times New Roman" w:cs="Times New Roman"/>
                <w:noProof/>
                <w:u w:val="single"/>
              </w:rPr>
              <w:t xml:space="preserve">Episodes of AOM at 18 mos. </w:t>
            </w:r>
          </w:p>
          <w:p w:rsidR="00F13B54" w:rsidRPr="00C24C9E" w:rsidRDefault="00F13B54" w:rsidP="00A26C1C">
            <w:pPr>
              <w:pStyle w:val="TableBullet"/>
              <w:ind w:left="255" w:hanging="255"/>
            </w:pPr>
            <w:r w:rsidRPr="00C24C9E">
              <w:t>1 study (Casselbrant, 2009) (N=44)</w:t>
            </w:r>
          </w:p>
          <w:p w:rsidR="00F13B54" w:rsidRPr="00C24C9E" w:rsidRDefault="00F13B54" w:rsidP="00A26C1C">
            <w:pPr>
              <w:pStyle w:val="TableBullet"/>
              <w:ind w:left="255" w:hanging="255"/>
            </w:pPr>
            <w:r>
              <w:t>Adenoid</w:t>
            </w:r>
            <w:r w:rsidRPr="00C24C9E">
              <w:t xml:space="preserve"> + Myr + TT: 7</w:t>
            </w:r>
          </w:p>
          <w:p w:rsidR="00F13B54" w:rsidRPr="00C24C9E" w:rsidRDefault="00F13B54" w:rsidP="00A26C1C">
            <w:pPr>
              <w:pStyle w:val="TableBullet"/>
              <w:ind w:left="255" w:hanging="255"/>
            </w:pPr>
            <w:r w:rsidRPr="00C24C9E">
              <w:t>Myr + TT: 6</w:t>
            </w:r>
          </w:p>
          <w:p w:rsidR="00F13B54" w:rsidRPr="00C24C9E" w:rsidRDefault="00F13B54" w:rsidP="00A26C1C">
            <w:pPr>
              <w:pStyle w:val="TableBullet"/>
              <w:ind w:left="255" w:hanging="255"/>
            </w:pPr>
            <w:r w:rsidRPr="00C24C9E">
              <w:t>Risk diff: 5% (95% CI, -22 to 32)</w:t>
            </w:r>
          </w:p>
          <w:p w:rsidR="00F13B54" w:rsidRPr="006C22DB" w:rsidRDefault="00F13B54" w:rsidP="00A26C1C">
            <w:pPr>
              <w:pStyle w:val="TableText"/>
              <w:rPr>
                <w:rFonts w:eastAsia="Times New Roman" w:cs="Times New Roman"/>
                <w:noProof/>
              </w:rPr>
            </w:pPr>
            <w:r w:rsidRPr="006C22DB">
              <w:rPr>
                <w:rFonts w:eastAsia="Times New Roman" w:cs="Times New Roman"/>
                <w:noProof/>
              </w:rPr>
              <w:t>Episodes of AOM at 36 mos.</w:t>
            </w:r>
          </w:p>
          <w:p w:rsidR="00F13B54" w:rsidRPr="00C24C9E" w:rsidRDefault="00F13B54" w:rsidP="00A26C1C">
            <w:pPr>
              <w:pStyle w:val="TableBullet"/>
              <w:ind w:left="255" w:hanging="255"/>
            </w:pPr>
            <w:r w:rsidRPr="00C24C9E">
              <w:t>1 study (Casselbrant, 2009) (N=39)</w:t>
            </w:r>
          </w:p>
          <w:p w:rsidR="00F13B54" w:rsidRPr="00C24C9E" w:rsidRDefault="00F13B54" w:rsidP="00A26C1C">
            <w:pPr>
              <w:pStyle w:val="TableBullet"/>
              <w:ind w:left="255" w:hanging="255"/>
            </w:pPr>
            <w:r>
              <w:t>Adenoid</w:t>
            </w:r>
            <w:r w:rsidRPr="00C24C9E">
              <w:t xml:space="preserve"> + Myr + TT: 17</w:t>
            </w:r>
          </w:p>
          <w:p w:rsidR="00F13B54" w:rsidRPr="00C24C9E" w:rsidRDefault="00F13B54" w:rsidP="00A26C1C">
            <w:pPr>
              <w:pStyle w:val="TableBullet"/>
              <w:ind w:left="255" w:hanging="255"/>
            </w:pPr>
            <w:r w:rsidRPr="00C24C9E">
              <w:t>Myr + TT: 21</w:t>
            </w:r>
          </w:p>
          <w:p w:rsidR="00F13B54" w:rsidRPr="00D70325" w:rsidRDefault="00F13B54" w:rsidP="00F13B54">
            <w:pPr>
              <w:pStyle w:val="TableText"/>
              <w:numPr>
                <w:ilvl w:val="0"/>
                <w:numId w:val="21"/>
              </w:numPr>
              <w:ind w:left="255" w:hanging="255"/>
              <w:rPr>
                <w:rFonts w:eastAsia="Times New Roman" w:cs="Times New Roman"/>
                <w:noProof/>
                <w:u w:val="single"/>
              </w:rPr>
            </w:pPr>
            <w:r w:rsidRPr="00C24C9E">
              <w:t>Risk diff: -18% (95% CI, -37 to 1)</w:t>
            </w:r>
          </w:p>
          <w:p w:rsidR="00F13B54" w:rsidRPr="008D4ADB" w:rsidRDefault="00F13B54" w:rsidP="00A26C1C">
            <w:pPr>
              <w:pStyle w:val="TableText"/>
              <w:rPr>
                <w:noProof/>
                <w:u w:val="single"/>
              </w:rPr>
            </w:pPr>
            <w:r w:rsidRPr="008D4ADB">
              <w:rPr>
                <w:noProof/>
                <w:u w:val="single"/>
              </w:rPr>
              <w:t>Hearing loss (air conduction measured in dB HL) at 6 mos</w:t>
            </w:r>
          </w:p>
          <w:p w:rsidR="00F13B54" w:rsidRPr="00C24C9E" w:rsidRDefault="00F13B54" w:rsidP="00A26C1C">
            <w:pPr>
              <w:pStyle w:val="TableBullet"/>
              <w:ind w:left="255" w:hanging="255"/>
            </w:pPr>
            <w:r w:rsidRPr="00C24C9E">
              <w:t>(Dempster, 1993) (N=72)</w:t>
            </w:r>
          </w:p>
          <w:p w:rsidR="00F13B54" w:rsidRPr="00C24C9E" w:rsidRDefault="00F13B54" w:rsidP="00A26C1C">
            <w:pPr>
              <w:pStyle w:val="TableBullet"/>
              <w:ind w:left="255" w:hanging="255"/>
            </w:pPr>
            <w:r>
              <w:t>Adenoid</w:t>
            </w:r>
            <w:r w:rsidRPr="00C24C9E">
              <w:t xml:space="preserve"> (mean): 18.0 (13.0)</w:t>
            </w:r>
          </w:p>
          <w:p w:rsidR="00F13B54" w:rsidRPr="00C24C9E" w:rsidRDefault="00F13B54" w:rsidP="00A26C1C">
            <w:pPr>
              <w:pStyle w:val="TableBullet"/>
              <w:ind w:left="255" w:hanging="255"/>
            </w:pPr>
            <w:r w:rsidRPr="00C24C9E">
              <w:t>No intervention (mean): 21.1 (11.7)</w:t>
            </w:r>
          </w:p>
          <w:p w:rsidR="00F13B54" w:rsidRPr="00C24C9E" w:rsidRDefault="00F13B54" w:rsidP="00A26C1C">
            <w:pPr>
              <w:pStyle w:val="TableBullet"/>
              <w:ind w:left="255" w:hanging="255"/>
            </w:pPr>
            <w:r w:rsidRPr="00C24C9E">
              <w:t>SMD: -0.25 dB (95% CI, -0.71 to 0.22)</w:t>
            </w:r>
          </w:p>
          <w:p w:rsidR="00F13B54" w:rsidRPr="00F64107" w:rsidRDefault="00F13B54" w:rsidP="00A26C1C">
            <w:pPr>
              <w:pStyle w:val="TableBullet"/>
              <w:ind w:left="255" w:hanging="255"/>
            </w:pPr>
            <w:r>
              <w:t xml:space="preserve">(Maw, 1986) (N=81) </w:t>
            </w:r>
          </w:p>
        </w:tc>
      </w:tr>
    </w:tbl>
    <w:p w:rsidR="00F13B54" w:rsidRDefault="00F13B54" w:rsidP="00F13B54">
      <w:pPr>
        <w:pStyle w:val="TableTitle"/>
      </w:pPr>
      <w:r>
        <w:br w:type="page"/>
      </w:r>
      <w:r>
        <w:lastRenderedPageBreak/>
        <w:t>Evidence Table 11. Systematic reviews(continued)</w:t>
      </w:r>
    </w:p>
    <w:tbl>
      <w:tblPr>
        <w:tblW w:w="13083" w:type="dxa"/>
        <w:tblBorders>
          <w:top w:val="single" w:sz="12" w:space="0" w:color="auto"/>
          <w:bottom w:val="single" w:sz="12" w:space="0" w:color="auto"/>
          <w:insideH w:val="single" w:sz="8" w:space="0" w:color="auto"/>
        </w:tblBorders>
        <w:tblLayout w:type="fixed"/>
        <w:tblLook w:val="04A0"/>
      </w:tblPr>
      <w:tblGrid>
        <w:gridCol w:w="1545"/>
        <w:gridCol w:w="11538"/>
      </w:tblGrid>
      <w:tr w:rsidR="00F13B54" w:rsidRPr="006C22DB" w:rsidTr="00A26C1C">
        <w:tc>
          <w:tcPr>
            <w:tcW w:w="1545"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Author, Year </w:t>
            </w:r>
          </w:p>
          <w:p w:rsidR="00F13B54" w:rsidRPr="006C22DB" w:rsidRDefault="00F13B54" w:rsidP="00A26C1C">
            <w:pPr>
              <w:pStyle w:val="TableLeftText"/>
              <w:rPr>
                <w:rFonts w:eastAsia="Times New Roman" w:cs="Times New Roman"/>
                <w:b/>
                <w:bCs/>
              </w:rPr>
            </w:pPr>
            <w:r w:rsidRPr="006C22DB">
              <w:rPr>
                <w:rFonts w:eastAsia="Times New Roman" w:cs="Times New Roman"/>
                <w:b/>
                <w:bCs/>
              </w:rPr>
              <w:t>Country</w:t>
            </w:r>
          </w:p>
          <w:p w:rsidR="00F13B54" w:rsidRPr="006C22DB" w:rsidRDefault="00F13B54" w:rsidP="00A26C1C">
            <w:pPr>
              <w:pStyle w:val="TableLeftText"/>
              <w:rPr>
                <w:rFonts w:eastAsia="Times New Roman" w:cs="Times New Roman"/>
                <w:b/>
                <w:bCs/>
              </w:rPr>
            </w:pPr>
            <w:r w:rsidRPr="006C22DB">
              <w:rPr>
                <w:rFonts w:eastAsia="Times New Roman" w:cs="Times New Roman"/>
                <w:b/>
                <w:bCs/>
              </w:rPr>
              <w:t>Funding</w:t>
            </w:r>
          </w:p>
          <w:p w:rsidR="00F13B54" w:rsidRPr="006C22DB" w:rsidRDefault="00F13B54" w:rsidP="00A26C1C">
            <w:pPr>
              <w:pStyle w:val="TableLeftText"/>
              <w:rPr>
                <w:rFonts w:eastAsia="Times New Roman" w:cs="Times New Roman"/>
                <w:b/>
                <w:bCs/>
              </w:rPr>
            </w:pPr>
            <w:r w:rsidRPr="006C22DB">
              <w:rPr>
                <w:rFonts w:eastAsia="Times New Roman" w:cs="Times New Roman"/>
                <w:b/>
                <w:bCs/>
              </w:rPr>
              <w:t>Study Design</w:t>
            </w:r>
          </w:p>
        </w:tc>
        <w:tc>
          <w:tcPr>
            <w:tcW w:w="11538" w:type="dxa"/>
            <w:shd w:val="clear" w:color="auto" w:fill="auto"/>
            <w:vAlign w:val="bottom"/>
            <w:hideMark/>
          </w:tcPr>
          <w:p w:rsidR="00F13B54" w:rsidRPr="006C22DB" w:rsidRDefault="00F13B54" w:rsidP="00A26C1C">
            <w:pPr>
              <w:pStyle w:val="TableLeftText"/>
              <w:rPr>
                <w:rFonts w:eastAsia="Times New Roman" w:cs="Times New Roman"/>
                <w:b/>
                <w:bCs/>
              </w:rPr>
            </w:pPr>
            <w:r w:rsidRPr="006C22DB">
              <w:rPr>
                <w:rFonts w:eastAsia="Times New Roman" w:cs="Times New Roman"/>
                <w:b/>
                <w:bCs/>
              </w:rPr>
              <w:t xml:space="preserve">Abstraction Form </w:t>
            </w:r>
          </w:p>
        </w:tc>
      </w:tr>
      <w:tr w:rsidR="00F13B54" w:rsidRPr="006C22DB" w:rsidTr="00A26C1C">
        <w:trPr>
          <w:trHeight w:val="1200"/>
        </w:trPr>
        <w:tc>
          <w:tcPr>
            <w:tcW w:w="1545" w:type="dxa"/>
            <w:shd w:val="clear" w:color="auto" w:fill="auto"/>
          </w:tcPr>
          <w:p w:rsidR="00F13B54" w:rsidRPr="006C22DB" w:rsidRDefault="00F13B54" w:rsidP="00A26C1C">
            <w:pPr>
              <w:pStyle w:val="TableText"/>
              <w:rPr>
                <w:rFonts w:eastAsia="Times New Roman" w:cs="Times New Roman"/>
              </w:rPr>
            </w:pPr>
            <w:r w:rsidRPr="006C22DB">
              <w:rPr>
                <w:rFonts w:eastAsia="Times New Roman" w:cs="Times New Roman"/>
                <w:noProof/>
              </w:rPr>
              <w:t>van den Aardweg</w:t>
            </w:r>
            <w:r w:rsidRPr="006C22DB">
              <w:rPr>
                <w:rFonts w:eastAsia="Times New Roman" w:cs="Times New Roman"/>
              </w:rPr>
              <w:t xml:space="preserve">, </w:t>
            </w:r>
            <w:r w:rsidRPr="006C22DB">
              <w:rPr>
                <w:rFonts w:eastAsia="Times New Roman" w:cs="Times New Roman"/>
                <w:noProof/>
              </w:rPr>
              <w:t>2010</w:t>
            </w:r>
            <w:r w:rsidRPr="00A446F9">
              <w:rPr>
                <w:rFonts w:ascii="Times New Roman" w:eastAsia="Times New Roman" w:hAnsi="Times New Roman" w:cs="Times New Roman"/>
                <w:noProof/>
                <w:vertAlign w:val="superscript"/>
              </w:rPr>
              <w:t>32</w:t>
            </w:r>
          </w:p>
          <w:p w:rsidR="00F13B54" w:rsidRPr="006C22DB" w:rsidRDefault="00F13B54" w:rsidP="00A26C1C">
            <w:pPr>
              <w:pStyle w:val="TableText"/>
              <w:rPr>
                <w:rFonts w:eastAsia="Times New Roman" w:cs="Times New Roman"/>
                <w:noProof/>
              </w:rPr>
            </w:pPr>
            <w:r w:rsidRPr="006C22DB">
              <w:rPr>
                <w:rFonts w:eastAsia="Times New Roman" w:cs="Times New Roman"/>
                <w:noProof/>
              </w:rPr>
              <w:t>(continued)</w:t>
            </w:r>
          </w:p>
        </w:tc>
        <w:tc>
          <w:tcPr>
            <w:tcW w:w="11538" w:type="dxa"/>
            <w:shd w:val="clear" w:color="auto" w:fill="auto"/>
          </w:tcPr>
          <w:p w:rsidR="00F13B54" w:rsidRPr="00C24C9E" w:rsidRDefault="00F13B54" w:rsidP="00A26C1C">
            <w:pPr>
              <w:pStyle w:val="TableBullet"/>
              <w:ind w:left="255" w:hanging="255"/>
            </w:pPr>
            <w:r>
              <w:t>Adenoid</w:t>
            </w:r>
            <w:r w:rsidRPr="00C24C9E">
              <w:t xml:space="preserve"> (mean): 20.4 (11.27)</w:t>
            </w:r>
          </w:p>
          <w:p w:rsidR="00F13B54" w:rsidRPr="00C24C9E" w:rsidRDefault="00F13B54" w:rsidP="00A26C1C">
            <w:pPr>
              <w:pStyle w:val="TableBullet"/>
              <w:ind w:left="255" w:hanging="255"/>
            </w:pPr>
            <w:r w:rsidRPr="00C24C9E">
              <w:t>No intervention (mean): 36.5 (11.87)</w:t>
            </w:r>
          </w:p>
          <w:p w:rsidR="00F13B54" w:rsidRPr="00C24C9E" w:rsidRDefault="00F13B54" w:rsidP="00A26C1C">
            <w:pPr>
              <w:pStyle w:val="TableBullet"/>
              <w:ind w:left="255" w:hanging="255"/>
            </w:pPr>
            <w:r w:rsidRPr="00C24C9E">
              <w:t>SMD: -1.37 (95% CI, -1.87 to -0.88)</w:t>
            </w:r>
          </w:p>
          <w:p w:rsidR="00F13B54" w:rsidRPr="00341786" w:rsidRDefault="00F13B54" w:rsidP="00A26C1C">
            <w:pPr>
              <w:pStyle w:val="TableText"/>
              <w:rPr>
                <w:rFonts w:eastAsia="Times New Roman" w:cs="Times New Roman"/>
                <w:noProof/>
                <w:u w:val="single"/>
              </w:rPr>
            </w:pPr>
            <w:r w:rsidRPr="00E0447D">
              <w:rPr>
                <w:rFonts w:eastAsia="Times New Roman" w:cs="Times New Roman"/>
                <w:noProof/>
                <w:u w:val="single"/>
              </w:rPr>
              <w:t>Hearing loss (air conduction measured in dB HL) at 12 mos</w:t>
            </w:r>
          </w:p>
          <w:p w:rsidR="00F13B54" w:rsidRPr="00C24C9E" w:rsidRDefault="00F13B54" w:rsidP="00A26C1C">
            <w:pPr>
              <w:pStyle w:val="TableBullet"/>
              <w:ind w:left="255" w:hanging="255"/>
            </w:pPr>
            <w:r w:rsidRPr="00C24C9E">
              <w:t>1 study (Dempster, 1993) (N=72)</w:t>
            </w:r>
          </w:p>
          <w:p w:rsidR="00F13B54" w:rsidRPr="00C24C9E" w:rsidRDefault="00F13B54" w:rsidP="00A26C1C">
            <w:pPr>
              <w:pStyle w:val="TableBullet"/>
              <w:ind w:left="255" w:hanging="255"/>
            </w:pPr>
            <w:r>
              <w:t>Adenoid</w:t>
            </w:r>
            <w:r w:rsidRPr="00C24C9E">
              <w:t xml:space="preserve"> (mean): 15.6 (8.4)</w:t>
            </w:r>
          </w:p>
          <w:p w:rsidR="00F13B54" w:rsidRPr="00C24C9E" w:rsidRDefault="00F13B54" w:rsidP="00A26C1C">
            <w:pPr>
              <w:pStyle w:val="TableBullet"/>
              <w:ind w:left="255" w:hanging="255"/>
            </w:pPr>
            <w:r w:rsidRPr="00C24C9E">
              <w:t>No intervention (mean): 18.4 (10.6)</w:t>
            </w:r>
          </w:p>
          <w:p w:rsidR="00F13B54" w:rsidRPr="00C24C9E" w:rsidRDefault="00F13B54" w:rsidP="00A26C1C">
            <w:pPr>
              <w:pStyle w:val="TableBullet"/>
              <w:ind w:left="255" w:hanging="255"/>
            </w:pPr>
            <w:r w:rsidRPr="00C24C9E">
              <w:t>SMD: -0.29 (95% CI, -0.76 to 0.17)</w:t>
            </w:r>
          </w:p>
          <w:p w:rsidR="00F13B54" w:rsidRPr="00C24C9E" w:rsidRDefault="00F13B54" w:rsidP="00A26C1C">
            <w:pPr>
              <w:pStyle w:val="TableBullet"/>
              <w:ind w:left="255" w:hanging="255"/>
            </w:pPr>
            <w:r w:rsidRPr="00C24C9E">
              <w:t>1 study (Maw, 1986) (N=81)</w:t>
            </w:r>
          </w:p>
          <w:p w:rsidR="00F13B54" w:rsidRPr="00C24C9E" w:rsidRDefault="00F13B54" w:rsidP="00A26C1C">
            <w:pPr>
              <w:pStyle w:val="TableBullet"/>
              <w:ind w:left="255" w:hanging="255"/>
            </w:pPr>
            <w:r>
              <w:t>Adenoid</w:t>
            </w:r>
            <w:r w:rsidRPr="00C24C9E">
              <w:t xml:space="preserve"> (mean): 19.7 (10.36)</w:t>
            </w:r>
          </w:p>
          <w:p w:rsidR="00F13B54" w:rsidRDefault="00F13B54" w:rsidP="00A26C1C">
            <w:pPr>
              <w:pStyle w:val="TableBullet"/>
              <w:ind w:left="255" w:hanging="255"/>
            </w:pPr>
            <w:r w:rsidRPr="00C24C9E">
              <w:t>No intervention (mean): 27.4 (12.13)</w:t>
            </w:r>
          </w:p>
          <w:p w:rsidR="00F13B54" w:rsidRDefault="00F13B54" w:rsidP="00A26C1C">
            <w:pPr>
              <w:pStyle w:val="TableBullet"/>
              <w:ind w:left="255" w:hanging="255"/>
            </w:pPr>
            <w:r w:rsidRPr="00C24C9E">
              <w:t>SMD: -0.67 (95% CI, -1.12 to -0.22)</w:t>
            </w:r>
          </w:p>
          <w:p w:rsidR="00F13B54" w:rsidRPr="00341786" w:rsidRDefault="00F13B54" w:rsidP="00A26C1C">
            <w:pPr>
              <w:pStyle w:val="TableText"/>
              <w:rPr>
                <w:rFonts w:eastAsia="Times New Roman" w:cs="Times New Roman"/>
                <w:noProof/>
                <w:u w:val="single"/>
              </w:rPr>
            </w:pPr>
            <w:r w:rsidRPr="00E0447D">
              <w:rPr>
                <w:rFonts w:eastAsia="Times New Roman" w:cs="Times New Roman"/>
                <w:noProof/>
                <w:u w:val="single"/>
              </w:rPr>
              <w:t>Change in mean audiometry scores (dB) at 6 mos</w:t>
            </w:r>
          </w:p>
          <w:p w:rsidR="00F13B54" w:rsidRPr="00C24C9E" w:rsidRDefault="00F13B54" w:rsidP="00A26C1C">
            <w:pPr>
              <w:pStyle w:val="TableBullet"/>
              <w:ind w:left="255" w:hanging="255"/>
            </w:pPr>
            <w:r w:rsidRPr="00C24C9E">
              <w:t>1 study (Black 1990) (N=149)</w:t>
            </w:r>
          </w:p>
          <w:p w:rsidR="00F13B54" w:rsidRPr="00C24C9E" w:rsidRDefault="00F13B54" w:rsidP="00A26C1C">
            <w:pPr>
              <w:pStyle w:val="TableBullet"/>
              <w:ind w:left="255" w:hanging="255"/>
            </w:pPr>
            <w:r w:rsidRPr="00C24C9E">
              <w:t xml:space="preserve">Diff </w:t>
            </w:r>
            <w:r>
              <w:t>adenoid</w:t>
            </w:r>
            <w:r w:rsidRPr="00C24C9E">
              <w:t xml:space="preserve"> vs. no </w:t>
            </w:r>
            <w:r>
              <w:t>adenoid</w:t>
            </w:r>
            <w:r w:rsidRPr="00C24C9E">
              <w:t>: 4.3 (95% CI, 1.4 to 9.9)</w:t>
            </w:r>
          </w:p>
          <w:p w:rsidR="00F13B54" w:rsidRPr="0096591A" w:rsidRDefault="00F13B54" w:rsidP="00A26C1C">
            <w:pPr>
              <w:pStyle w:val="TableText"/>
              <w:rPr>
                <w:rFonts w:eastAsia="Times New Roman" w:cs="Times New Roman"/>
                <w:noProof/>
                <w:u w:val="single"/>
              </w:rPr>
            </w:pPr>
            <w:r w:rsidRPr="0096591A">
              <w:rPr>
                <w:rFonts w:eastAsia="Times New Roman" w:cs="Times New Roman"/>
                <w:noProof/>
                <w:u w:val="single"/>
              </w:rPr>
              <w:t>Change in mean audiomtry scores (dB) at 12 mos</w:t>
            </w:r>
          </w:p>
          <w:p w:rsidR="00F13B54" w:rsidRPr="00C24C9E" w:rsidRDefault="00F13B54" w:rsidP="00A26C1C">
            <w:pPr>
              <w:pStyle w:val="TableBullet"/>
              <w:ind w:left="255" w:hanging="255"/>
            </w:pPr>
            <w:r w:rsidRPr="00C24C9E">
              <w:t>1 study (Black 1990) (N=149)</w:t>
            </w:r>
          </w:p>
          <w:p w:rsidR="00F13B54" w:rsidRDefault="00F13B54" w:rsidP="00A26C1C">
            <w:pPr>
              <w:pStyle w:val="TableBullet"/>
              <w:ind w:left="255" w:hanging="255"/>
              <w:rPr>
                <w:u w:val="single"/>
              </w:rPr>
            </w:pPr>
            <w:r w:rsidRPr="00C24C9E">
              <w:t xml:space="preserve">Diff </w:t>
            </w:r>
            <w:r>
              <w:t>adenoid</w:t>
            </w:r>
            <w:r w:rsidRPr="00C24C9E">
              <w:t xml:space="preserve"> vs. no </w:t>
            </w:r>
            <w:r>
              <w:t>adenoid</w:t>
            </w:r>
            <w:r w:rsidRPr="00C24C9E">
              <w:t>: 4.3 (95% CI, -3.1 to 11.6)</w:t>
            </w:r>
          </w:p>
          <w:p w:rsidR="00F13B54" w:rsidRPr="00341786" w:rsidRDefault="00F13B54" w:rsidP="00A26C1C">
            <w:pPr>
              <w:pStyle w:val="TableText"/>
              <w:rPr>
                <w:rFonts w:eastAsia="Times New Roman" w:cs="Times New Roman"/>
                <w:noProof/>
                <w:u w:val="single"/>
              </w:rPr>
            </w:pPr>
            <w:r w:rsidRPr="00E0447D">
              <w:rPr>
                <w:rFonts w:eastAsia="Times New Roman" w:cs="Times New Roman"/>
                <w:noProof/>
                <w:u w:val="single"/>
              </w:rPr>
              <w:t>Mean time with hearing loss &gt;20 dB better ear (SD)</w:t>
            </w:r>
          </w:p>
          <w:p w:rsidR="00F13B54" w:rsidRPr="00C24C9E" w:rsidRDefault="00F13B54" w:rsidP="00A26C1C">
            <w:pPr>
              <w:pStyle w:val="TableBullet"/>
              <w:ind w:left="255" w:hanging="255"/>
            </w:pPr>
            <w:r w:rsidRPr="00C24C9E">
              <w:t>1 study (Gates, 1987) (N=237)</w:t>
            </w:r>
          </w:p>
          <w:p w:rsidR="00F13B54" w:rsidRPr="00C24C9E" w:rsidRDefault="00F13B54" w:rsidP="00A26C1C">
            <w:pPr>
              <w:pStyle w:val="TableBullet"/>
              <w:ind w:left="255" w:hanging="255"/>
            </w:pPr>
            <w:r w:rsidRPr="00C24C9E">
              <w:t xml:space="preserve">Myr + </w:t>
            </w:r>
            <w:r>
              <w:t>Adenoid</w:t>
            </w:r>
            <w:r w:rsidRPr="00C24C9E">
              <w:t>: 0.078 (0.13)</w:t>
            </w:r>
          </w:p>
          <w:p w:rsidR="00F13B54" w:rsidRPr="00C24C9E" w:rsidRDefault="00F13B54" w:rsidP="00A26C1C">
            <w:pPr>
              <w:pStyle w:val="TableBullet"/>
              <w:ind w:left="255" w:hanging="255"/>
            </w:pPr>
            <w:r w:rsidRPr="00C24C9E">
              <w:t>Myr only: 0.186 (0.195)+M3</w:t>
            </w:r>
          </w:p>
          <w:p w:rsidR="00F13B54" w:rsidRPr="00C24C9E" w:rsidRDefault="00F13B54" w:rsidP="00A26C1C">
            <w:pPr>
              <w:pStyle w:val="TableBullet"/>
              <w:ind w:left="255" w:hanging="255"/>
            </w:pPr>
            <w:r w:rsidRPr="00C24C9E">
              <w:t>1 study (Gates, 1987) (N=254)</w:t>
            </w:r>
          </w:p>
          <w:p w:rsidR="00F13B54" w:rsidRPr="00C24C9E" w:rsidRDefault="00F13B54" w:rsidP="00A26C1C">
            <w:pPr>
              <w:pStyle w:val="TableBullet"/>
              <w:ind w:left="255" w:hanging="255"/>
            </w:pPr>
            <w:r>
              <w:t>Adenoid</w:t>
            </w:r>
            <w:r w:rsidRPr="00C24C9E">
              <w:t xml:space="preserve"> + TT: 0.065 (0.116)</w:t>
            </w:r>
          </w:p>
          <w:p w:rsidR="00F13B54" w:rsidRPr="00C24C9E" w:rsidRDefault="00F13B54" w:rsidP="00A26C1C">
            <w:pPr>
              <w:pStyle w:val="TableBullet"/>
              <w:ind w:left="255" w:hanging="255"/>
            </w:pPr>
            <w:r w:rsidRPr="00C24C9E">
              <w:t>TT only: 0.101 (0.141)</w:t>
            </w:r>
          </w:p>
          <w:p w:rsidR="00F13B54" w:rsidRPr="00C24C9E" w:rsidRDefault="00F13B54" w:rsidP="00A26C1C">
            <w:pPr>
              <w:pStyle w:val="TableBullet"/>
              <w:ind w:left="255" w:hanging="255"/>
            </w:pPr>
            <w:r w:rsidRPr="00C24C9E">
              <w:t>SMD: -0.23 (95% CI, -0.48 to 0.02)1 study (Gates, 1987) (N=237)</w:t>
            </w:r>
          </w:p>
          <w:p w:rsidR="00F13B54" w:rsidRPr="00C24C9E" w:rsidRDefault="00F13B54" w:rsidP="00A26C1C">
            <w:pPr>
              <w:pStyle w:val="TableBullet"/>
              <w:ind w:left="255" w:hanging="255"/>
            </w:pPr>
            <w:r w:rsidRPr="00C24C9E">
              <w:t xml:space="preserve">Myr + </w:t>
            </w:r>
            <w:r>
              <w:t>Adenoid</w:t>
            </w:r>
            <w:r w:rsidRPr="00C24C9E">
              <w:t>: 0.220 (0.239)</w:t>
            </w:r>
          </w:p>
          <w:p w:rsidR="00F13B54" w:rsidRPr="00C24C9E" w:rsidRDefault="00F13B54" w:rsidP="00A26C1C">
            <w:pPr>
              <w:pStyle w:val="TableBullet"/>
              <w:ind w:left="255" w:hanging="255"/>
            </w:pPr>
            <w:r w:rsidRPr="00C24C9E">
              <w:t>Myr only: 0.375 (0.253)</w:t>
            </w:r>
          </w:p>
          <w:p w:rsidR="00F13B54" w:rsidRPr="00C24C9E" w:rsidRDefault="00F13B54" w:rsidP="00A26C1C">
            <w:pPr>
              <w:pStyle w:val="TableBullet"/>
              <w:ind w:left="255" w:hanging="255"/>
            </w:pPr>
            <w:r w:rsidRPr="00C24C9E">
              <w:t>SMD: -0.65 (95% CI, -0.91 to -0.39)</w:t>
            </w:r>
          </w:p>
          <w:p w:rsidR="00F13B54" w:rsidRPr="00C24C9E" w:rsidRDefault="00F13B54" w:rsidP="00A26C1C">
            <w:pPr>
              <w:pStyle w:val="TableBullet"/>
              <w:ind w:left="255" w:hanging="255"/>
            </w:pPr>
            <w:r w:rsidRPr="00C24C9E">
              <w:t>1 study (Gates, 1987) (N=254)</w:t>
            </w:r>
          </w:p>
          <w:p w:rsidR="00F13B54" w:rsidRPr="00C24C9E" w:rsidRDefault="00F13B54" w:rsidP="00A26C1C">
            <w:pPr>
              <w:pStyle w:val="TableBullet"/>
              <w:ind w:left="255" w:hanging="255"/>
            </w:pPr>
            <w:r>
              <w:t>Adenoid</w:t>
            </w:r>
            <w:r w:rsidRPr="00C24C9E">
              <w:t xml:space="preserve"> + TT: 0.224 (0.221)</w:t>
            </w:r>
          </w:p>
          <w:p w:rsidR="00F13B54" w:rsidRPr="00C24C9E" w:rsidRDefault="00F13B54" w:rsidP="00A26C1C">
            <w:pPr>
              <w:pStyle w:val="TableBullet"/>
              <w:ind w:left="255" w:hanging="255"/>
            </w:pPr>
            <w:r w:rsidRPr="00C24C9E">
              <w:t>TT only: 0.304 (0.227)</w:t>
            </w:r>
          </w:p>
          <w:p w:rsidR="00F13B54" w:rsidRPr="006C22DB" w:rsidRDefault="00F13B54" w:rsidP="00A26C1C">
            <w:pPr>
              <w:pStyle w:val="TableText"/>
              <w:rPr>
                <w:rFonts w:eastAsia="Times New Roman" w:cs="Times New Roman"/>
                <w:noProof/>
              </w:rPr>
            </w:pPr>
            <w:r w:rsidRPr="006C22DB">
              <w:rPr>
                <w:rFonts w:eastAsia="Times New Roman" w:cs="Times New Roman"/>
              </w:rPr>
              <w:t>SMD: -0.35 (95% CI, -0.60 to -0.11)</w:t>
            </w:r>
          </w:p>
        </w:tc>
      </w:tr>
    </w:tbl>
    <w:p w:rsidR="00F13B54" w:rsidRDefault="00F13B54" w:rsidP="00F13B54">
      <w:pPr>
        <w:pStyle w:val="TableNote"/>
      </w:pPr>
      <w:r>
        <w:t xml:space="preserve">Abbreviations: Adenoid = adenoidectomy; AOM = acute otitis media; CI = confidence interval; dB = decibels; Diff = difference; </w:t>
      </w:r>
      <w:r w:rsidRPr="00BC0EE8">
        <w:t>ENT</w:t>
      </w:r>
      <w:r>
        <w:t xml:space="preserve"> = </w:t>
      </w:r>
      <w:r w:rsidRPr="00BC0EE8">
        <w:t>Ear</w:t>
      </w:r>
      <w:r>
        <w:t xml:space="preserve"> = </w:t>
      </w:r>
      <w:r w:rsidRPr="00BC0EE8">
        <w:t>Nose and Throat</w:t>
      </w:r>
      <w:r>
        <w:t>; Health Nd = __;</w:t>
      </w:r>
      <w:r w:rsidRPr="001D7143">
        <w:t>HL</w:t>
      </w:r>
      <w:r>
        <w:t xml:space="preserve"> = </w:t>
      </w:r>
      <w:r w:rsidRPr="001D7143">
        <w:t>hearing level</w:t>
      </w:r>
      <w:r>
        <w:t xml:space="preserve">; Hz = Hertz; MA = meta-analysis; MANOVA = </w:t>
      </w:r>
      <w:r w:rsidRPr="00C31315">
        <w:t>Multivariate analysis of variance</w:t>
      </w:r>
      <w:r>
        <w:t xml:space="preserve">; MEE = middle ear effusion; mos = months; </w:t>
      </w:r>
      <w:r w:rsidRPr="00395F9B">
        <w:t>MRC = Medical Research Council;</w:t>
      </w:r>
      <w:r>
        <w:t xml:space="preserve"> Myr = myringotomy; N = number; </w:t>
      </w:r>
      <w:r w:rsidRPr="0042267A">
        <w:t>NHS = National Health Service;</w:t>
      </w:r>
      <w:r>
        <w:t xml:space="preserve"> NS = not significant; OM = otitis media; OME = otitis media with effusion ;OR = odds ratio; preop = </w:t>
      </w:r>
      <w:r>
        <w:lastRenderedPageBreak/>
        <w:t xml:space="preserve">preoperative; </w:t>
      </w:r>
      <w:r w:rsidRPr="0042267A">
        <w:t>PTA = pure tone audiometry; rAOM =</w:t>
      </w:r>
      <w:r>
        <w:t xml:space="preserve"> recurrent acute otitis media; RCT = randomized controlled trial; RR = relative risk; </w:t>
      </w:r>
      <w:r w:rsidRPr="0042267A">
        <w:t>SMD =  standard mean difference; SOM</w:t>
      </w:r>
      <w:r w:rsidRPr="00395F9B">
        <w:t xml:space="preserve"> = secretory otitis media;</w:t>
      </w:r>
      <w:r>
        <w:t xml:space="preserve"> TAI</w:t>
      </w:r>
      <w:r w:rsidRPr="00340BF3">
        <w:t>QOL = TNO-AZL Infant Quality of Life</w:t>
      </w:r>
      <w:r>
        <w:t xml:space="preserve">; </w:t>
      </w:r>
      <w:r w:rsidRPr="0042267A">
        <w:t xml:space="preserve">TARGET = </w:t>
      </w:r>
      <w:r w:rsidRPr="0042267A">
        <w:rPr>
          <w:rFonts w:ascii="AdvP41153C" w:hAnsi="AdvP41153C"/>
          <w:sz w:val="19"/>
          <w:szCs w:val="19"/>
        </w:rPr>
        <w:t>Trial</w:t>
      </w:r>
      <w:r>
        <w:rPr>
          <w:rFonts w:ascii="AdvP41153C" w:hAnsi="AdvP41153C"/>
          <w:sz w:val="19"/>
          <w:szCs w:val="19"/>
        </w:rPr>
        <w:t xml:space="preserve"> of Alternative Regimens in Glue Ear Treatment</w:t>
      </w:r>
      <w:r w:rsidRPr="00340BF3">
        <w:rPr>
          <w:highlight w:val="yellow"/>
        </w:rPr>
        <w:t>;</w:t>
      </w:r>
      <w:r>
        <w:t xml:space="preserve"> </w:t>
      </w:r>
      <w:r w:rsidRPr="00195DD9">
        <w:t>TT</w:t>
      </w:r>
      <w:r>
        <w:t xml:space="preserve"> = </w:t>
      </w:r>
      <w:r w:rsidRPr="00195DD9">
        <w:t>tympanostomy tubes</w:t>
      </w:r>
      <w:r>
        <w:t xml:space="preserve">; tx = treatment; UK = United Kingdom; URTI = upper respiratory tract infection; vs. = versus; </w:t>
      </w:r>
      <w:r w:rsidRPr="00BC0EE8">
        <w:t>VT</w:t>
      </w:r>
      <w:r>
        <w:t xml:space="preserve"> = v</w:t>
      </w:r>
      <w:r w:rsidRPr="00BC0EE8">
        <w:t>entilation tube</w:t>
      </w:r>
      <w:r>
        <w:t>; wks = weeks; WW = watchful waiting; yrs = years</w:t>
      </w:r>
    </w:p>
    <w:sectPr w:rsidR="00F13B54" w:rsidSect="00A41416">
      <w:footerReference w:type="default" r:id="rId8"/>
      <w:pgSz w:w="15840" w:h="12240" w:orient="landscape"/>
      <w:pgMar w:top="1440" w:right="1440" w:bottom="1440" w:left="1440" w:header="720" w:footer="720" w:gutter="0"/>
      <w:pgNumType w:start="7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8E4" w:rsidRDefault="009338E4" w:rsidP="004A4048">
      <w:r>
        <w:separator/>
      </w:r>
    </w:p>
  </w:endnote>
  <w:endnote w:type="continuationSeparator" w:id="0">
    <w:p w:rsidR="009338E4" w:rsidRDefault="009338E4" w:rsidP="004A40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1)">
    <w:altName w:val="Arial"/>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Arial Bold">
    <w:panose1 w:val="020B0704020202020204"/>
    <w:charset w:val="00"/>
    <w:family w:val="roman"/>
    <w:notTrueType/>
    <w:pitch w:val="default"/>
    <w:sig w:usb0="00000000" w:usb1="00000000" w:usb2="00000000" w:usb3="00000000" w:csb0="00000000" w:csb1="00000000"/>
  </w:font>
  <w:font w:name="AGaramond-Regular">
    <w:panose1 w:val="00000000000000000000"/>
    <w:charset w:val="00"/>
    <w:family w:val="auto"/>
    <w:notTrueType/>
    <w:pitch w:val="default"/>
    <w:sig w:usb0="00000003" w:usb1="00000000" w:usb2="00000000" w:usb3="00000000" w:csb0="00000001" w:csb1="00000000"/>
  </w:font>
  <w:font w:name="AdvP41153C">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416" w:rsidRDefault="00A41416">
    <w:pPr>
      <w:pStyle w:val="Footer"/>
      <w:jc w:val="center"/>
    </w:pPr>
    <w:r>
      <w:t>C-</w:t>
    </w:r>
    <w:sdt>
      <w:sdtPr>
        <w:id w:val="22677016"/>
        <w:docPartObj>
          <w:docPartGallery w:val="Page Numbers (Bottom of Page)"/>
          <w:docPartUnique/>
        </w:docPartObj>
      </w:sdtPr>
      <w:sdtContent>
        <w:fldSimple w:instr=" PAGE   \* MERGEFORMAT ">
          <w:r w:rsidR="002014BE">
            <w:rPr>
              <w:noProof/>
            </w:rPr>
            <w:t>91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8E4" w:rsidRDefault="009338E4" w:rsidP="004A4048">
      <w:r>
        <w:separator/>
      </w:r>
    </w:p>
  </w:footnote>
  <w:footnote w:type="continuationSeparator" w:id="0">
    <w:p w:rsidR="009338E4" w:rsidRDefault="009338E4" w:rsidP="004A40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1BDD"/>
    <w:multiLevelType w:val="multilevel"/>
    <w:tmpl w:val="4CE6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413DA"/>
    <w:multiLevelType w:val="hybridMultilevel"/>
    <w:tmpl w:val="2C2CFE24"/>
    <w:lvl w:ilvl="0" w:tplc="49D02620">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444D8"/>
    <w:multiLevelType w:val="hybridMultilevel"/>
    <w:tmpl w:val="23A48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D109F"/>
    <w:multiLevelType w:val="multilevel"/>
    <w:tmpl w:val="8D5E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21E83"/>
    <w:multiLevelType w:val="hybridMultilevel"/>
    <w:tmpl w:val="87F89D22"/>
    <w:lvl w:ilvl="0" w:tplc="0409000F">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222767"/>
    <w:multiLevelType w:val="multilevel"/>
    <w:tmpl w:val="850A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7B009D"/>
    <w:multiLevelType w:val="multilevel"/>
    <w:tmpl w:val="7034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EB51F7"/>
    <w:multiLevelType w:val="hybridMultilevel"/>
    <w:tmpl w:val="8B9C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F66115"/>
    <w:multiLevelType w:val="multilevel"/>
    <w:tmpl w:val="64CE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3E1548"/>
    <w:multiLevelType w:val="hybridMultilevel"/>
    <w:tmpl w:val="AA702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ED403EF"/>
    <w:multiLevelType w:val="hybridMultilevel"/>
    <w:tmpl w:val="3BCED56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nsid w:val="3F2C455C"/>
    <w:multiLevelType w:val="hybridMultilevel"/>
    <w:tmpl w:val="0540E344"/>
    <w:lvl w:ilvl="0" w:tplc="413C30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AE1A7F"/>
    <w:multiLevelType w:val="multilevel"/>
    <w:tmpl w:val="7B52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1610C4"/>
    <w:multiLevelType w:val="hybridMultilevel"/>
    <w:tmpl w:val="08D4F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B5133BC"/>
    <w:multiLevelType w:val="hybridMultilevel"/>
    <w:tmpl w:val="C98CBE6C"/>
    <w:lvl w:ilvl="0" w:tplc="04090001">
      <w:start w:val="1"/>
      <w:numFmt w:val="decimal"/>
      <w:pStyle w:val="NumberedList"/>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6">
    <w:nsid w:val="4B786EA0"/>
    <w:multiLevelType w:val="multilevel"/>
    <w:tmpl w:val="7E66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6F6083"/>
    <w:multiLevelType w:val="hybridMultilevel"/>
    <w:tmpl w:val="37B81FDE"/>
    <w:lvl w:ilvl="0" w:tplc="04090003">
      <w:start w:val="1"/>
      <w:numFmt w:val="bullet"/>
      <w:pStyle w:val="Bullet1"/>
      <w:lvlText w:val=""/>
      <w:lvlJc w:val="left"/>
      <w:pPr>
        <w:ind w:left="720" w:hanging="360"/>
      </w:pPr>
      <w:rPr>
        <w:rFonts w:ascii="Symbol" w:hAnsi="Symbol" w:hint="default"/>
      </w:rPr>
    </w:lvl>
    <w:lvl w:ilvl="1" w:tplc="04090003">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3A784E"/>
    <w:multiLevelType w:val="hybridMultilevel"/>
    <w:tmpl w:val="51860420"/>
    <w:lvl w:ilvl="0" w:tplc="95183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DA717E"/>
    <w:multiLevelType w:val="hybridMultilevel"/>
    <w:tmpl w:val="688C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7C0ECA"/>
    <w:multiLevelType w:val="hybridMultilevel"/>
    <w:tmpl w:val="0046DF5E"/>
    <w:lvl w:ilvl="0" w:tplc="3A10D3F0">
      <w:start w:val="1"/>
      <w:numFmt w:val="bullet"/>
      <w:pStyle w:val="Bullettext"/>
      <w:lvlText w:val=""/>
      <w:lvlJc w:val="left"/>
      <w:pPr>
        <w:tabs>
          <w:tab w:val="num" w:pos="72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D777B4D"/>
    <w:multiLevelType w:val="multilevel"/>
    <w:tmpl w:val="F99A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4E40E9"/>
    <w:multiLevelType w:val="multilevel"/>
    <w:tmpl w:val="F9DC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6A61CE"/>
    <w:multiLevelType w:val="multilevel"/>
    <w:tmpl w:val="B25E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0366AF"/>
    <w:multiLevelType w:val="hybridMultilevel"/>
    <w:tmpl w:val="26DE7B4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nsid w:val="6B684021"/>
    <w:multiLevelType w:val="hybridMultilevel"/>
    <w:tmpl w:val="F6BEA2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940637"/>
    <w:multiLevelType w:val="multilevel"/>
    <w:tmpl w:val="4CEE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5201E0"/>
    <w:multiLevelType w:val="multilevel"/>
    <w:tmpl w:val="5D24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6E775C"/>
    <w:multiLevelType w:val="hybridMultilevel"/>
    <w:tmpl w:val="D40C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7534D9"/>
    <w:multiLevelType w:val="multilevel"/>
    <w:tmpl w:val="31EE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095283"/>
    <w:multiLevelType w:val="hybridMultilevel"/>
    <w:tmpl w:val="97EA8240"/>
    <w:lvl w:ilvl="0" w:tplc="8EDAB94E">
      <w:start w:val="4"/>
      <w:numFmt w:val="bullet"/>
      <w:lvlText w:val=""/>
      <w:lvlJc w:val="left"/>
      <w:pPr>
        <w:ind w:left="390" w:hanging="360"/>
      </w:pPr>
      <w:rPr>
        <w:rFonts w:ascii="Symbol" w:eastAsia="Calibri" w:hAnsi="Symbo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2">
    <w:nsid w:val="79CF5BDF"/>
    <w:multiLevelType w:val="multilevel"/>
    <w:tmpl w:val="8D0A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5B1BF0"/>
    <w:multiLevelType w:val="multilevel"/>
    <w:tmpl w:val="F416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6E1C67"/>
    <w:multiLevelType w:val="multilevel"/>
    <w:tmpl w:val="8E54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14"/>
  </w:num>
  <w:num w:numId="4">
    <w:abstractNumId w:val="10"/>
  </w:num>
  <w:num w:numId="5">
    <w:abstractNumId w:val="2"/>
  </w:num>
  <w:num w:numId="6">
    <w:abstractNumId w:val="17"/>
  </w:num>
  <w:num w:numId="7">
    <w:abstractNumId w:val="15"/>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25"/>
  </w:num>
  <w:num w:numId="15">
    <w:abstractNumId w:val="31"/>
  </w:num>
  <w:num w:numId="16">
    <w:abstractNumId w:val="26"/>
  </w:num>
  <w:num w:numId="17">
    <w:abstractNumId w:val="3"/>
  </w:num>
  <w:num w:numId="18">
    <w:abstractNumId w:val="20"/>
  </w:num>
  <w:num w:numId="19">
    <w:abstractNumId w:val="12"/>
  </w:num>
  <w:num w:numId="20">
    <w:abstractNumId w:val="18"/>
  </w:num>
  <w:num w:numId="21">
    <w:abstractNumId w:val="1"/>
  </w:num>
  <w:num w:numId="22">
    <w:abstractNumId w:val="24"/>
  </w:num>
  <w:num w:numId="23">
    <w:abstractNumId w:val="11"/>
  </w:num>
  <w:num w:numId="24">
    <w:abstractNumId w:val="29"/>
  </w:num>
  <w:num w:numId="25">
    <w:abstractNumId w:val="34"/>
  </w:num>
  <w:num w:numId="26">
    <w:abstractNumId w:val="33"/>
  </w:num>
  <w:num w:numId="27">
    <w:abstractNumId w:val="23"/>
  </w:num>
  <w:num w:numId="28">
    <w:abstractNumId w:val="0"/>
  </w:num>
  <w:num w:numId="29">
    <w:abstractNumId w:val="22"/>
  </w:num>
  <w:num w:numId="30">
    <w:abstractNumId w:val="6"/>
  </w:num>
  <w:num w:numId="31">
    <w:abstractNumId w:val="9"/>
  </w:num>
  <w:num w:numId="32">
    <w:abstractNumId w:val="4"/>
  </w:num>
  <w:num w:numId="33">
    <w:abstractNumId w:val="32"/>
  </w:num>
  <w:num w:numId="34">
    <w:abstractNumId w:val="7"/>
  </w:num>
  <w:num w:numId="35">
    <w:abstractNumId w:val="30"/>
  </w:num>
  <w:num w:numId="36">
    <w:abstractNumId w:val="27"/>
  </w:num>
  <w:num w:numId="37">
    <w:abstractNumId w:val="16"/>
  </w:num>
  <w:num w:numId="38">
    <w:abstractNumId w:val="21"/>
  </w:num>
  <w:num w:numId="39">
    <w:abstractNumId w:val="13"/>
  </w:num>
  <w:num w:numId="40">
    <w:abstractNumId w:val="2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stylePaneFormatFilter w:val="1021"/>
  <w:stylePaneSortMethod w:val="0000"/>
  <w:defaultTabStop w:val="720"/>
  <w:drawingGridHorizontalSpacing w:val="120"/>
  <w:displayHorizontalDrawingGridEvery w:val="2"/>
  <w:characterSpacingControl w:val="doNotCompress"/>
  <w:hdrShapeDefaults>
    <o:shapedefaults v:ext="edit" spidmax="64514"/>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tsfx2st9nzv9d1ers27xer59t022ddds2wpf&quot;&gt;1-18 + CAM+ 8-14 2012 &lt;record-ids&gt;&lt;item&gt;10&lt;/item&gt;&lt;item&gt;20&lt;/item&gt;&lt;item&gt;26&lt;/item&gt;&lt;item&gt;29&lt;/item&gt;&lt;item&gt;36&lt;/item&gt;&lt;item&gt;40&lt;/item&gt;&lt;item&gt;44&lt;/item&gt;&lt;item&gt;46&lt;/item&gt;&lt;item&gt;69&lt;/item&gt;&lt;item&gt;72&lt;/item&gt;&lt;item&gt;96&lt;/item&gt;&lt;item&gt;107&lt;/item&gt;&lt;item&gt;109&lt;/item&gt;&lt;item&gt;119&lt;/item&gt;&lt;item&gt;144&lt;/item&gt;&lt;item&gt;148&lt;/item&gt;&lt;item&gt;153&lt;/item&gt;&lt;item&gt;159&lt;/item&gt;&lt;item&gt;199&lt;/item&gt;&lt;item&gt;203&lt;/item&gt;&lt;item&gt;209&lt;/item&gt;&lt;item&gt;237&lt;/item&gt;&lt;item&gt;254&lt;/item&gt;&lt;item&gt;257&lt;/item&gt;&lt;item&gt;265&lt;/item&gt;&lt;item&gt;319&lt;/item&gt;&lt;item&gt;320&lt;/item&gt;&lt;item&gt;341&lt;/item&gt;&lt;item&gt;356&lt;/item&gt;&lt;item&gt;358&lt;/item&gt;&lt;item&gt;361&lt;/item&gt;&lt;item&gt;368&lt;/item&gt;&lt;item&gt;382&lt;/item&gt;&lt;item&gt;384&lt;/item&gt;&lt;item&gt;385&lt;/item&gt;&lt;item&gt;423&lt;/item&gt;&lt;item&gt;445&lt;/item&gt;&lt;item&gt;461&lt;/item&gt;&lt;item&gt;478&lt;/item&gt;&lt;item&gt;481&lt;/item&gt;&lt;item&gt;523&lt;/item&gt;&lt;item&gt;535&lt;/item&gt;&lt;item&gt;546&lt;/item&gt;&lt;item&gt;547&lt;/item&gt;&lt;item&gt;549&lt;/item&gt;&lt;item&gt;552&lt;/item&gt;&lt;item&gt;571&lt;/item&gt;&lt;item&gt;573&lt;/item&gt;&lt;item&gt;582&lt;/item&gt;&lt;item&gt;594&lt;/item&gt;&lt;item&gt;597&lt;/item&gt;&lt;item&gt;604&lt;/item&gt;&lt;item&gt;609&lt;/item&gt;&lt;item&gt;610&lt;/item&gt;&lt;item&gt;611&lt;/item&gt;&lt;item&gt;619&lt;/item&gt;&lt;item&gt;624&lt;/item&gt;&lt;item&gt;629&lt;/item&gt;&lt;item&gt;631&lt;/item&gt;&lt;item&gt;645&lt;/item&gt;&lt;item&gt;653&lt;/item&gt;&lt;item&gt;658&lt;/item&gt;&lt;item&gt;659&lt;/item&gt;&lt;item&gt;664&lt;/item&gt;&lt;item&gt;682&lt;/item&gt;&lt;item&gt;684&lt;/item&gt;&lt;item&gt;685&lt;/item&gt;&lt;item&gt;700&lt;/item&gt;&lt;item&gt;732&lt;/item&gt;&lt;item&gt;753&lt;/item&gt;&lt;item&gt;757&lt;/item&gt;&lt;item&gt;758&lt;/item&gt;&lt;item&gt;764&lt;/item&gt;&lt;item&gt;767&lt;/item&gt;&lt;item&gt;795&lt;/item&gt;&lt;item&gt;845&lt;/item&gt;&lt;item&gt;941&lt;/item&gt;&lt;item&gt;975&lt;/item&gt;&lt;item&gt;1029&lt;/item&gt;&lt;item&gt;1032&lt;/item&gt;&lt;item&gt;1088&lt;/item&gt;&lt;item&gt;1113&lt;/item&gt;&lt;item&gt;1153&lt;/item&gt;&lt;item&gt;1184&lt;/item&gt;&lt;item&gt;1185&lt;/item&gt;&lt;item&gt;1188&lt;/item&gt;&lt;item&gt;1221&lt;/item&gt;&lt;item&gt;1223&lt;/item&gt;&lt;item&gt;1240&lt;/item&gt;&lt;item&gt;1254&lt;/item&gt;&lt;item&gt;1266&lt;/item&gt;&lt;item&gt;1273&lt;/item&gt;&lt;item&gt;1336&lt;/item&gt;&lt;item&gt;1348&lt;/item&gt;&lt;item&gt;2713&lt;/item&gt;&lt;item&gt;2946&lt;/item&gt;&lt;item&gt;3217&lt;/item&gt;&lt;item&gt;3249&lt;/item&gt;&lt;item&gt;3375&lt;/item&gt;&lt;item&gt;3484&lt;/item&gt;&lt;item&gt;3486&lt;/item&gt;&lt;item&gt;3508&lt;/item&gt;&lt;item&gt;3520&lt;/item&gt;&lt;item&gt;3533&lt;/item&gt;&lt;item&gt;3975&lt;/item&gt;&lt;item&gt;4301&lt;/item&gt;&lt;item&gt;4322&lt;/item&gt;&lt;item&gt;4349&lt;/item&gt;&lt;item&gt;5069&lt;/item&gt;&lt;item&gt;5071&lt;/item&gt;&lt;item&gt;5072&lt;/item&gt;&lt;item&gt;5073&lt;/item&gt;&lt;item&gt;5074&lt;/item&gt;&lt;item&gt;5075&lt;/item&gt;&lt;item&gt;5083&lt;/item&gt;&lt;item&gt;5085&lt;/item&gt;&lt;item&gt;5093&lt;/item&gt;&lt;item&gt;5094&lt;/item&gt;&lt;item&gt;5096&lt;/item&gt;&lt;item&gt;5097&lt;/item&gt;&lt;item&gt;5098&lt;/item&gt;&lt;item&gt;5099&lt;/item&gt;&lt;item&gt;5102&lt;/item&gt;&lt;item&gt;5386&lt;/item&gt;&lt;item&gt;5418&lt;/item&gt;&lt;item&gt;5616&lt;/item&gt;&lt;item&gt;5621&lt;/item&gt;&lt;item&gt;5895&lt;/item&gt;&lt;item&gt;5896&lt;/item&gt;&lt;item&gt;6088&lt;/item&gt;&lt;item&gt;6251&lt;/item&gt;&lt;item&gt;6759&lt;/item&gt;&lt;item&gt;7092&lt;/item&gt;&lt;item&gt;7168&lt;/item&gt;&lt;item&gt;7339&lt;/item&gt;&lt;item&gt;7381&lt;/item&gt;&lt;item&gt;7444&lt;/item&gt;&lt;item&gt;7449&lt;/item&gt;&lt;item&gt;7450&lt;/item&gt;&lt;item&gt;7452&lt;/item&gt;&lt;item&gt;7453&lt;/item&gt;&lt;item&gt;7455&lt;/item&gt;&lt;item&gt;7458&lt;/item&gt;&lt;item&gt;7459&lt;/item&gt;&lt;item&gt;7461&lt;/item&gt;&lt;item&gt;7463&lt;/item&gt;&lt;item&gt;7464&lt;/item&gt;&lt;item&gt;7465&lt;/item&gt;&lt;item&gt;7467&lt;/item&gt;&lt;item&gt;7520&lt;/item&gt;&lt;item&gt;7630&lt;/item&gt;&lt;item&gt;7632&lt;/item&gt;&lt;item&gt;7664&lt;/item&gt;&lt;item&gt;7671&lt;/item&gt;&lt;item&gt;7673&lt;/item&gt;&lt;item&gt;7674&lt;/item&gt;&lt;item&gt;7675&lt;/item&gt;&lt;item&gt;7676&lt;/item&gt;&lt;item&gt;7677&lt;/item&gt;&lt;item&gt;7678&lt;/item&gt;&lt;item&gt;7679&lt;/item&gt;&lt;item&gt;7680&lt;/item&gt;&lt;item&gt;7681&lt;/item&gt;&lt;/record-ids&gt;&lt;/item&gt;&lt;/Libraries&gt;"/>
  </w:docVars>
  <w:rsids>
    <w:rsidRoot w:val="00947EBE"/>
    <w:rsid w:val="00005FF9"/>
    <w:rsid w:val="0000623A"/>
    <w:rsid w:val="00010EEA"/>
    <w:rsid w:val="00011399"/>
    <w:rsid w:val="0001410D"/>
    <w:rsid w:val="000163E8"/>
    <w:rsid w:val="000168ED"/>
    <w:rsid w:val="00016A9A"/>
    <w:rsid w:val="00017575"/>
    <w:rsid w:val="00017BE0"/>
    <w:rsid w:val="00020483"/>
    <w:rsid w:val="00021DB8"/>
    <w:rsid w:val="00022B92"/>
    <w:rsid w:val="00022F1D"/>
    <w:rsid w:val="00024C51"/>
    <w:rsid w:val="00025BB7"/>
    <w:rsid w:val="00025F31"/>
    <w:rsid w:val="000264B8"/>
    <w:rsid w:val="00027092"/>
    <w:rsid w:val="000273DC"/>
    <w:rsid w:val="000304AC"/>
    <w:rsid w:val="00030BB5"/>
    <w:rsid w:val="00033CEC"/>
    <w:rsid w:val="00034990"/>
    <w:rsid w:val="0003561D"/>
    <w:rsid w:val="00043F02"/>
    <w:rsid w:val="000443FF"/>
    <w:rsid w:val="00044B82"/>
    <w:rsid w:val="00045207"/>
    <w:rsid w:val="000477CA"/>
    <w:rsid w:val="000502BF"/>
    <w:rsid w:val="00050835"/>
    <w:rsid w:val="000531FE"/>
    <w:rsid w:val="000537BB"/>
    <w:rsid w:val="00054F3B"/>
    <w:rsid w:val="000552D3"/>
    <w:rsid w:val="00057CC2"/>
    <w:rsid w:val="00060C1C"/>
    <w:rsid w:val="000621D2"/>
    <w:rsid w:val="00062897"/>
    <w:rsid w:val="000631BC"/>
    <w:rsid w:val="0006371E"/>
    <w:rsid w:val="000655FB"/>
    <w:rsid w:val="00071344"/>
    <w:rsid w:val="000719AE"/>
    <w:rsid w:val="00072E64"/>
    <w:rsid w:val="000741FF"/>
    <w:rsid w:val="00075783"/>
    <w:rsid w:val="00075A7C"/>
    <w:rsid w:val="0007627B"/>
    <w:rsid w:val="000762E4"/>
    <w:rsid w:val="000808D7"/>
    <w:rsid w:val="00081BAA"/>
    <w:rsid w:val="00083112"/>
    <w:rsid w:val="00084300"/>
    <w:rsid w:val="00084483"/>
    <w:rsid w:val="00086681"/>
    <w:rsid w:val="00087926"/>
    <w:rsid w:val="00091F8A"/>
    <w:rsid w:val="00092956"/>
    <w:rsid w:val="00092D91"/>
    <w:rsid w:val="0009387D"/>
    <w:rsid w:val="00096957"/>
    <w:rsid w:val="00097E9B"/>
    <w:rsid w:val="000A0541"/>
    <w:rsid w:val="000A0A5B"/>
    <w:rsid w:val="000A121C"/>
    <w:rsid w:val="000A1AE8"/>
    <w:rsid w:val="000A1BC6"/>
    <w:rsid w:val="000A2E0E"/>
    <w:rsid w:val="000A30D1"/>
    <w:rsid w:val="000A3D3E"/>
    <w:rsid w:val="000A3EFC"/>
    <w:rsid w:val="000A5648"/>
    <w:rsid w:val="000A7EBA"/>
    <w:rsid w:val="000B0226"/>
    <w:rsid w:val="000B1FD1"/>
    <w:rsid w:val="000B2AEC"/>
    <w:rsid w:val="000B4938"/>
    <w:rsid w:val="000B4EE3"/>
    <w:rsid w:val="000C090F"/>
    <w:rsid w:val="000C0E66"/>
    <w:rsid w:val="000C2803"/>
    <w:rsid w:val="000C45F5"/>
    <w:rsid w:val="000C49CB"/>
    <w:rsid w:val="000C51F6"/>
    <w:rsid w:val="000C7117"/>
    <w:rsid w:val="000C728F"/>
    <w:rsid w:val="000C795D"/>
    <w:rsid w:val="000D1105"/>
    <w:rsid w:val="000D1C39"/>
    <w:rsid w:val="000D1FFB"/>
    <w:rsid w:val="000D2435"/>
    <w:rsid w:val="000D3E5C"/>
    <w:rsid w:val="000D49AB"/>
    <w:rsid w:val="000D4F80"/>
    <w:rsid w:val="000D4FC0"/>
    <w:rsid w:val="000D54D4"/>
    <w:rsid w:val="000D5A2D"/>
    <w:rsid w:val="000D6F06"/>
    <w:rsid w:val="000D746E"/>
    <w:rsid w:val="000D7A8E"/>
    <w:rsid w:val="000E03EC"/>
    <w:rsid w:val="000E09C1"/>
    <w:rsid w:val="000E0D1D"/>
    <w:rsid w:val="000E1396"/>
    <w:rsid w:val="000E1520"/>
    <w:rsid w:val="000E1582"/>
    <w:rsid w:val="000E161D"/>
    <w:rsid w:val="000E4AF6"/>
    <w:rsid w:val="000E5357"/>
    <w:rsid w:val="000E5443"/>
    <w:rsid w:val="000E6204"/>
    <w:rsid w:val="000E7393"/>
    <w:rsid w:val="000F087D"/>
    <w:rsid w:val="000F1123"/>
    <w:rsid w:val="000F11F0"/>
    <w:rsid w:val="000F2719"/>
    <w:rsid w:val="000F2CBC"/>
    <w:rsid w:val="000F6016"/>
    <w:rsid w:val="000F6AA2"/>
    <w:rsid w:val="000F78EA"/>
    <w:rsid w:val="000F7EA6"/>
    <w:rsid w:val="001007A0"/>
    <w:rsid w:val="0010168B"/>
    <w:rsid w:val="00102BBD"/>
    <w:rsid w:val="001030CE"/>
    <w:rsid w:val="00103A29"/>
    <w:rsid w:val="001041DC"/>
    <w:rsid w:val="001053A1"/>
    <w:rsid w:val="00106A36"/>
    <w:rsid w:val="00106F40"/>
    <w:rsid w:val="00107D78"/>
    <w:rsid w:val="00110408"/>
    <w:rsid w:val="0011111C"/>
    <w:rsid w:val="0011118C"/>
    <w:rsid w:val="0011133F"/>
    <w:rsid w:val="00112B4F"/>
    <w:rsid w:val="00112EDB"/>
    <w:rsid w:val="001137F7"/>
    <w:rsid w:val="00113A1A"/>
    <w:rsid w:val="00114416"/>
    <w:rsid w:val="00114464"/>
    <w:rsid w:val="00114CB5"/>
    <w:rsid w:val="00115022"/>
    <w:rsid w:val="00115B81"/>
    <w:rsid w:val="00116FF1"/>
    <w:rsid w:val="001209DF"/>
    <w:rsid w:val="00122DF2"/>
    <w:rsid w:val="00123425"/>
    <w:rsid w:val="0012499F"/>
    <w:rsid w:val="00124C9E"/>
    <w:rsid w:val="001271F2"/>
    <w:rsid w:val="001309BF"/>
    <w:rsid w:val="00131055"/>
    <w:rsid w:val="001317F0"/>
    <w:rsid w:val="00131916"/>
    <w:rsid w:val="00131973"/>
    <w:rsid w:val="00131CEE"/>
    <w:rsid w:val="001332A0"/>
    <w:rsid w:val="0013401F"/>
    <w:rsid w:val="001342EF"/>
    <w:rsid w:val="0013477F"/>
    <w:rsid w:val="00135456"/>
    <w:rsid w:val="00135BC3"/>
    <w:rsid w:val="00137352"/>
    <w:rsid w:val="00137A3D"/>
    <w:rsid w:val="001402DE"/>
    <w:rsid w:val="00140874"/>
    <w:rsid w:val="00143D54"/>
    <w:rsid w:val="001447C7"/>
    <w:rsid w:val="00144C45"/>
    <w:rsid w:val="001453E8"/>
    <w:rsid w:val="00145D58"/>
    <w:rsid w:val="00150938"/>
    <w:rsid w:val="0015190B"/>
    <w:rsid w:val="0015252C"/>
    <w:rsid w:val="001549A5"/>
    <w:rsid w:val="00154E9A"/>
    <w:rsid w:val="001550DF"/>
    <w:rsid w:val="00155D57"/>
    <w:rsid w:val="0015640E"/>
    <w:rsid w:val="00160120"/>
    <w:rsid w:val="00160479"/>
    <w:rsid w:val="00161EFB"/>
    <w:rsid w:val="00163A6C"/>
    <w:rsid w:val="001658F6"/>
    <w:rsid w:val="001675A5"/>
    <w:rsid w:val="001678A3"/>
    <w:rsid w:val="00167F18"/>
    <w:rsid w:val="001704DF"/>
    <w:rsid w:val="001713E3"/>
    <w:rsid w:val="001739C5"/>
    <w:rsid w:val="0017517A"/>
    <w:rsid w:val="00177FFD"/>
    <w:rsid w:val="001802C6"/>
    <w:rsid w:val="001808A6"/>
    <w:rsid w:val="00181DA6"/>
    <w:rsid w:val="00183749"/>
    <w:rsid w:val="00183E70"/>
    <w:rsid w:val="00185DEC"/>
    <w:rsid w:val="001870D7"/>
    <w:rsid w:val="00187218"/>
    <w:rsid w:val="001875CF"/>
    <w:rsid w:val="001937F7"/>
    <w:rsid w:val="00194030"/>
    <w:rsid w:val="00195B0C"/>
    <w:rsid w:val="00196F90"/>
    <w:rsid w:val="001971AA"/>
    <w:rsid w:val="001A0C1B"/>
    <w:rsid w:val="001A2A6C"/>
    <w:rsid w:val="001A2D69"/>
    <w:rsid w:val="001A3872"/>
    <w:rsid w:val="001A4970"/>
    <w:rsid w:val="001A4B9F"/>
    <w:rsid w:val="001A6828"/>
    <w:rsid w:val="001B07B5"/>
    <w:rsid w:val="001B22B1"/>
    <w:rsid w:val="001B3660"/>
    <w:rsid w:val="001B3935"/>
    <w:rsid w:val="001B5B61"/>
    <w:rsid w:val="001B5E4B"/>
    <w:rsid w:val="001B6C4A"/>
    <w:rsid w:val="001B6C60"/>
    <w:rsid w:val="001B7640"/>
    <w:rsid w:val="001C068F"/>
    <w:rsid w:val="001C1086"/>
    <w:rsid w:val="001C16AB"/>
    <w:rsid w:val="001C1847"/>
    <w:rsid w:val="001C2930"/>
    <w:rsid w:val="001C2C27"/>
    <w:rsid w:val="001C4D01"/>
    <w:rsid w:val="001C5344"/>
    <w:rsid w:val="001C6A07"/>
    <w:rsid w:val="001C7269"/>
    <w:rsid w:val="001C7358"/>
    <w:rsid w:val="001D1FEA"/>
    <w:rsid w:val="001D23F4"/>
    <w:rsid w:val="001D5473"/>
    <w:rsid w:val="001D7527"/>
    <w:rsid w:val="001D7680"/>
    <w:rsid w:val="001E10EC"/>
    <w:rsid w:val="001E2EAD"/>
    <w:rsid w:val="001E71FE"/>
    <w:rsid w:val="001E7D5F"/>
    <w:rsid w:val="001E7F80"/>
    <w:rsid w:val="001F0772"/>
    <w:rsid w:val="001F0F72"/>
    <w:rsid w:val="001F2181"/>
    <w:rsid w:val="001F25CB"/>
    <w:rsid w:val="001F3395"/>
    <w:rsid w:val="001F3BF8"/>
    <w:rsid w:val="001F5D98"/>
    <w:rsid w:val="001F5F03"/>
    <w:rsid w:val="001F6296"/>
    <w:rsid w:val="001F63FA"/>
    <w:rsid w:val="001F69D8"/>
    <w:rsid w:val="001F712C"/>
    <w:rsid w:val="001F746C"/>
    <w:rsid w:val="001F7F40"/>
    <w:rsid w:val="0020010B"/>
    <w:rsid w:val="002014BE"/>
    <w:rsid w:val="00203522"/>
    <w:rsid w:val="00204719"/>
    <w:rsid w:val="00204E4F"/>
    <w:rsid w:val="002053E7"/>
    <w:rsid w:val="002054C1"/>
    <w:rsid w:val="002056EF"/>
    <w:rsid w:val="00205C8F"/>
    <w:rsid w:val="00210CA9"/>
    <w:rsid w:val="00210E36"/>
    <w:rsid w:val="0021109E"/>
    <w:rsid w:val="00211244"/>
    <w:rsid w:val="002112AA"/>
    <w:rsid w:val="00212489"/>
    <w:rsid w:val="00212F54"/>
    <w:rsid w:val="002132BC"/>
    <w:rsid w:val="00215BB6"/>
    <w:rsid w:val="002162D7"/>
    <w:rsid w:val="00217B38"/>
    <w:rsid w:val="00217F21"/>
    <w:rsid w:val="00220CB4"/>
    <w:rsid w:val="00221A74"/>
    <w:rsid w:val="00222B29"/>
    <w:rsid w:val="00223752"/>
    <w:rsid w:val="002246D4"/>
    <w:rsid w:val="00225906"/>
    <w:rsid w:val="00225A62"/>
    <w:rsid w:val="00225F40"/>
    <w:rsid w:val="002278EF"/>
    <w:rsid w:val="002305E0"/>
    <w:rsid w:val="00230989"/>
    <w:rsid w:val="00230C31"/>
    <w:rsid w:val="0023233D"/>
    <w:rsid w:val="002326C3"/>
    <w:rsid w:val="00232EB8"/>
    <w:rsid w:val="0023305D"/>
    <w:rsid w:val="0023539C"/>
    <w:rsid w:val="00235A8D"/>
    <w:rsid w:val="00237D47"/>
    <w:rsid w:val="00237FDF"/>
    <w:rsid w:val="0024274F"/>
    <w:rsid w:val="00243019"/>
    <w:rsid w:val="00243B93"/>
    <w:rsid w:val="00244AAA"/>
    <w:rsid w:val="00244E91"/>
    <w:rsid w:val="00244F8D"/>
    <w:rsid w:val="0024708B"/>
    <w:rsid w:val="0024764A"/>
    <w:rsid w:val="00250D6E"/>
    <w:rsid w:val="0025164C"/>
    <w:rsid w:val="0025164D"/>
    <w:rsid w:val="00252416"/>
    <w:rsid w:val="00252ED7"/>
    <w:rsid w:val="0025330B"/>
    <w:rsid w:val="0025391E"/>
    <w:rsid w:val="00254615"/>
    <w:rsid w:val="00254DF1"/>
    <w:rsid w:val="00255346"/>
    <w:rsid w:val="002564CC"/>
    <w:rsid w:val="00260640"/>
    <w:rsid w:val="0026260E"/>
    <w:rsid w:val="00262A45"/>
    <w:rsid w:val="00263BB2"/>
    <w:rsid w:val="00265CA9"/>
    <w:rsid w:val="00265CF7"/>
    <w:rsid w:val="002675E7"/>
    <w:rsid w:val="002679F5"/>
    <w:rsid w:val="002700C4"/>
    <w:rsid w:val="00270DC5"/>
    <w:rsid w:val="002718BC"/>
    <w:rsid w:val="002733FA"/>
    <w:rsid w:val="00274359"/>
    <w:rsid w:val="002750E9"/>
    <w:rsid w:val="002751A3"/>
    <w:rsid w:val="00275646"/>
    <w:rsid w:val="002772E7"/>
    <w:rsid w:val="00277449"/>
    <w:rsid w:val="00277968"/>
    <w:rsid w:val="002824FE"/>
    <w:rsid w:val="00284124"/>
    <w:rsid w:val="002847D4"/>
    <w:rsid w:val="00285580"/>
    <w:rsid w:val="00286335"/>
    <w:rsid w:val="002863D9"/>
    <w:rsid w:val="00286AE4"/>
    <w:rsid w:val="00286D02"/>
    <w:rsid w:val="00287DBD"/>
    <w:rsid w:val="002958FA"/>
    <w:rsid w:val="002967C3"/>
    <w:rsid w:val="00297032"/>
    <w:rsid w:val="00297CC5"/>
    <w:rsid w:val="002A0C7C"/>
    <w:rsid w:val="002A17CC"/>
    <w:rsid w:val="002A1F85"/>
    <w:rsid w:val="002A208E"/>
    <w:rsid w:val="002A4849"/>
    <w:rsid w:val="002A4CE5"/>
    <w:rsid w:val="002A5660"/>
    <w:rsid w:val="002A611E"/>
    <w:rsid w:val="002A66C9"/>
    <w:rsid w:val="002A69BB"/>
    <w:rsid w:val="002A6F92"/>
    <w:rsid w:val="002A757B"/>
    <w:rsid w:val="002A7C49"/>
    <w:rsid w:val="002B1079"/>
    <w:rsid w:val="002B36F2"/>
    <w:rsid w:val="002B3812"/>
    <w:rsid w:val="002B456D"/>
    <w:rsid w:val="002B59DD"/>
    <w:rsid w:val="002B64BB"/>
    <w:rsid w:val="002B682F"/>
    <w:rsid w:val="002B73FE"/>
    <w:rsid w:val="002C00AE"/>
    <w:rsid w:val="002C0305"/>
    <w:rsid w:val="002C1625"/>
    <w:rsid w:val="002C1F80"/>
    <w:rsid w:val="002C2CCB"/>
    <w:rsid w:val="002C2DD9"/>
    <w:rsid w:val="002C3529"/>
    <w:rsid w:val="002C5DD2"/>
    <w:rsid w:val="002C6B80"/>
    <w:rsid w:val="002C722F"/>
    <w:rsid w:val="002D0BC4"/>
    <w:rsid w:val="002D2D5C"/>
    <w:rsid w:val="002D3F40"/>
    <w:rsid w:val="002D54D6"/>
    <w:rsid w:val="002D6115"/>
    <w:rsid w:val="002D64AC"/>
    <w:rsid w:val="002D6A60"/>
    <w:rsid w:val="002D76C8"/>
    <w:rsid w:val="002D77F2"/>
    <w:rsid w:val="002E1017"/>
    <w:rsid w:val="002E377E"/>
    <w:rsid w:val="002F0394"/>
    <w:rsid w:val="002F0991"/>
    <w:rsid w:val="002F0B5B"/>
    <w:rsid w:val="002F27B4"/>
    <w:rsid w:val="002F28EF"/>
    <w:rsid w:val="002F2D61"/>
    <w:rsid w:val="002F3670"/>
    <w:rsid w:val="002F458C"/>
    <w:rsid w:val="002F57CF"/>
    <w:rsid w:val="002F6EE1"/>
    <w:rsid w:val="00300387"/>
    <w:rsid w:val="00300E99"/>
    <w:rsid w:val="0030153D"/>
    <w:rsid w:val="0030187C"/>
    <w:rsid w:val="00301ADA"/>
    <w:rsid w:val="003031FD"/>
    <w:rsid w:val="00303481"/>
    <w:rsid w:val="00303A89"/>
    <w:rsid w:val="00303BAE"/>
    <w:rsid w:val="00303D8E"/>
    <w:rsid w:val="00304BD4"/>
    <w:rsid w:val="003050E5"/>
    <w:rsid w:val="00305672"/>
    <w:rsid w:val="00305789"/>
    <w:rsid w:val="003066F7"/>
    <w:rsid w:val="00307DAE"/>
    <w:rsid w:val="003102AF"/>
    <w:rsid w:val="00310A1F"/>
    <w:rsid w:val="00311883"/>
    <w:rsid w:val="00311B90"/>
    <w:rsid w:val="00312061"/>
    <w:rsid w:val="0031342E"/>
    <w:rsid w:val="003138DC"/>
    <w:rsid w:val="00314525"/>
    <w:rsid w:val="003169E9"/>
    <w:rsid w:val="00317452"/>
    <w:rsid w:val="00317DD3"/>
    <w:rsid w:val="00321219"/>
    <w:rsid w:val="0032178A"/>
    <w:rsid w:val="00321B37"/>
    <w:rsid w:val="00321D9F"/>
    <w:rsid w:val="00321E9C"/>
    <w:rsid w:val="003229BA"/>
    <w:rsid w:val="003245CE"/>
    <w:rsid w:val="00325124"/>
    <w:rsid w:val="00326156"/>
    <w:rsid w:val="0032617C"/>
    <w:rsid w:val="0032687E"/>
    <w:rsid w:val="00327A52"/>
    <w:rsid w:val="00330F74"/>
    <w:rsid w:val="00331940"/>
    <w:rsid w:val="00332F46"/>
    <w:rsid w:val="0033315C"/>
    <w:rsid w:val="003331AE"/>
    <w:rsid w:val="00334B9D"/>
    <w:rsid w:val="00335C56"/>
    <w:rsid w:val="003371CD"/>
    <w:rsid w:val="003408FC"/>
    <w:rsid w:val="00341996"/>
    <w:rsid w:val="0034275F"/>
    <w:rsid w:val="00343CB9"/>
    <w:rsid w:val="003440BE"/>
    <w:rsid w:val="003441E1"/>
    <w:rsid w:val="00344760"/>
    <w:rsid w:val="00344F89"/>
    <w:rsid w:val="00346A3A"/>
    <w:rsid w:val="003476D1"/>
    <w:rsid w:val="003477E7"/>
    <w:rsid w:val="003477F8"/>
    <w:rsid w:val="00347D6D"/>
    <w:rsid w:val="00350417"/>
    <w:rsid w:val="00350FA4"/>
    <w:rsid w:val="0035248D"/>
    <w:rsid w:val="00352584"/>
    <w:rsid w:val="00352EE9"/>
    <w:rsid w:val="00354716"/>
    <w:rsid w:val="0035584F"/>
    <w:rsid w:val="00357593"/>
    <w:rsid w:val="003577DA"/>
    <w:rsid w:val="003603FA"/>
    <w:rsid w:val="003616BE"/>
    <w:rsid w:val="00362333"/>
    <w:rsid w:val="00362831"/>
    <w:rsid w:val="0036289B"/>
    <w:rsid w:val="00363AB8"/>
    <w:rsid w:val="00363D7F"/>
    <w:rsid w:val="00363FA5"/>
    <w:rsid w:val="00364C25"/>
    <w:rsid w:val="00364E4B"/>
    <w:rsid w:val="003666BD"/>
    <w:rsid w:val="00367E5B"/>
    <w:rsid w:val="00370A83"/>
    <w:rsid w:val="00372648"/>
    <w:rsid w:val="003726F6"/>
    <w:rsid w:val="00372CBB"/>
    <w:rsid w:val="0037362A"/>
    <w:rsid w:val="00373CF2"/>
    <w:rsid w:val="00375021"/>
    <w:rsid w:val="003751FF"/>
    <w:rsid w:val="00375B2B"/>
    <w:rsid w:val="00375DAA"/>
    <w:rsid w:val="00376482"/>
    <w:rsid w:val="00376CEE"/>
    <w:rsid w:val="0038346F"/>
    <w:rsid w:val="00383523"/>
    <w:rsid w:val="00383E89"/>
    <w:rsid w:val="0038584C"/>
    <w:rsid w:val="00390433"/>
    <w:rsid w:val="00391526"/>
    <w:rsid w:val="00391959"/>
    <w:rsid w:val="00391C3A"/>
    <w:rsid w:val="00391C41"/>
    <w:rsid w:val="00391FD0"/>
    <w:rsid w:val="00393436"/>
    <w:rsid w:val="0039468F"/>
    <w:rsid w:val="0039471C"/>
    <w:rsid w:val="00394DBC"/>
    <w:rsid w:val="00396E38"/>
    <w:rsid w:val="003A23FE"/>
    <w:rsid w:val="003A247F"/>
    <w:rsid w:val="003A50BD"/>
    <w:rsid w:val="003B0FB9"/>
    <w:rsid w:val="003B102C"/>
    <w:rsid w:val="003B1213"/>
    <w:rsid w:val="003B156B"/>
    <w:rsid w:val="003B1EE4"/>
    <w:rsid w:val="003B2F57"/>
    <w:rsid w:val="003B360D"/>
    <w:rsid w:val="003B3F9A"/>
    <w:rsid w:val="003B499C"/>
    <w:rsid w:val="003B5A58"/>
    <w:rsid w:val="003B64C9"/>
    <w:rsid w:val="003B6A7C"/>
    <w:rsid w:val="003B78E5"/>
    <w:rsid w:val="003B7C2A"/>
    <w:rsid w:val="003B7C99"/>
    <w:rsid w:val="003C05D0"/>
    <w:rsid w:val="003C0686"/>
    <w:rsid w:val="003C0F41"/>
    <w:rsid w:val="003C12ED"/>
    <w:rsid w:val="003C1DAE"/>
    <w:rsid w:val="003C3085"/>
    <w:rsid w:val="003C4029"/>
    <w:rsid w:val="003C4040"/>
    <w:rsid w:val="003C5EAD"/>
    <w:rsid w:val="003C5F30"/>
    <w:rsid w:val="003C6E72"/>
    <w:rsid w:val="003D0465"/>
    <w:rsid w:val="003D050B"/>
    <w:rsid w:val="003D22B7"/>
    <w:rsid w:val="003D2BA7"/>
    <w:rsid w:val="003D2F23"/>
    <w:rsid w:val="003D30DC"/>
    <w:rsid w:val="003D4A3A"/>
    <w:rsid w:val="003D4B5A"/>
    <w:rsid w:val="003D4F7E"/>
    <w:rsid w:val="003D6F9C"/>
    <w:rsid w:val="003D717D"/>
    <w:rsid w:val="003D7386"/>
    <w:rsid w:val="003D79AD"/>
    <w:rsid w:val="003E1340"/>
    <w:rsid w:val="003E15AD"/>
    <w:rsid w:val="003E1D1A"/>
    <w:rsid w:val="003E24EC"/>
    <w:rsid w:val="003E5DF0"/>
    <w:rsid w:val="003E6485"/>
    <w:rsid w:val="003E65F9"/>
    <w:rsid w:val="003E7516"/>
    <w:rsid w:val="003F1BE7"/>
    <w:rsid w:val="003F2234"/>
    <w:rsid w:val="003F397B"/>
    <w:rsid w:val="003F55A2"/>
    <w:rsid w:val="003F7499"/>
    <w:rsid w:val="003F78CF"/>
    <w:rsid w:val="003F7F32"/>
    <w:rsid w:val="00402C9C"/>
    <w:rsid w:val="00402D45"/>
    <w:rsid w:val="00403BE3"/>
    <w:rsid w:val="00404190"/>
    <w:rsid w:val="00405242"/>
    <w:rsid w:val="0040636C"/>
    <w:rsid w:val="00406D7C"/>
    <w:rsid w:val="00407650"/>
    <w:rsid w:val="004105ED"/>
    <w:rsid w:val="00410B45"/>
    <w:rsid w:val="00414678"/>
    <w:rsid w:val="00415342"/>
    <w:rsid w:val="00417384"/>
    <w:rsid w:val="004218AF"/>
    <w:rsid w:val="00422313"/>
    <w:rsid w:val="0042237A"/>
    <w:rsid w:val="00424071"/>
    <w:rsid w:val="00424A4A"/>
    <w:rsid w:val="00424C3D"/>
    <w:rsid w:val="0042664C"/>
    <w:rsid w:val="0043024B"/>
    <w:rsid w:val="00431D05"/>
    <w:rsid w:val="00432079"/>
    <w:rsid w:val="00432EE5"/>
    <w:rsid w:val="00433898"/>
    <w:rsid w:val="00433A33"/>
    <w:rsid w:val="0043466F"/>
    <w:rsid w:val="00434D5C"/>
    <w:rsid w:val="00435691"/>
    <w:rsid w:val="00437569"/>
    <w:rsid w:val="00440279"/>
    <w:rsid w:val="0044050C"/>
    <w:rsid w:val="00440771"/>
    <w:rsid w:val="00440BF0"/>
    <w:rsid w:val="00441732"/>
    <w:rsid w:val="004424C1"/>
    <w:rsid w:val="00442900"/>
    <w:rsid w:val="00442DB8"/>
    <w:rsid w:val="004437D3"/>
    <w:rsid w:val="00445621"/>
    <w:rsid w:val="004474EB"/>
    <w:rsid w:val="004504FD"/>
    <w:rsid w:val="0045200C"/>
    <w:rsid w:val="004522F6"/>
    <w:rsid w:val="004531B5"/>
    <w:rsid w:val="004549B2"/>
    <w:rsid w:val="00454CEE"/>
    <w:rsid w:val="0045521F"/>
    <w:rsid w:val="004605A0"/>
    <w:rsid w:val="00461DB2"/>
    <w:rsid w:val="00462855"/>
    <w:rsid w:val="00463B41"/>
    <w:rsid w:val="00465922"/>
    <w:rsid w:val="004661D2"/>
    <w:rsid w:val="0047080A"/>
    <w:rsid w:val="00474311"/>
    <w:rsid w:val="004746AF"/>
    <w:rsid w:val="004748C0"/>
    <w:rsid w:val="0047499B"/>
    <w:rsid w:val="0047504F"/>
    <w:rsid w:val="00475E8C"/>
    <w:rsid w:val="004764FF"/>
    <w:rsid w:val="00477810"/>
    <w:rsid w:val="0048020E"/>
    <w:rsid w:val="00483425"/>
    <w:rsid w:val="00483D71"/>
    <w:rsid w:val="00484434"/>
    <w:rsid w:val="00484A9A"/>
    <w:rsid w:val="00484CE4"/>
    <w:rsid w:val="00486151"/>
    <w:rsid w:val="004922FE"/>
    <w:rsid w:val="004957AB"/>
    <w:rsid w:val="00496080"/>
    <w:rsid w:val="004963F4"/>
    <w:rsid w:val="0049677D"/>
    <w:rsid w:val="00496E5C"/>
    <w:rsid w:val="004A0CED"/>
    <w:rsid w:val="004A267C"/>
    <w:rsid w:val="004A2DA3"/>
    <w:rsid w:val="004A4048"/>
    <w:rsid w:val="004A5175"/>
    <w:rsid w:val="004B023D"/>
    <w:rsid w:val="004B0700"/>
    <w:rsid w:val="004B0AC1"/>
    <w:rsid w:val="004B0FC0"/>
    <w:rsid w:val="004B18DD"/>
    <w:rsid w:val="004B195E"/>
    <w:rsid w:val="004B25F9"/>
    <w:rsid w:val="004B4E79"/>
    <w:rsid w:val="004B5D46"/>
    <w:rsid w:val="004B5ED8"/>
    <w:rsid w:val="004B681D"/>
    <w:rsid w:val="004B784E"/>
    <w:rsid w:val="004C2741"/>
    <w:rsid w:val="004C366E"/>
    <w:rsid w:val="004C3EFE"/>
    <w:rsid w:val="004C572D"/>
    <w:rsid w:val="004C5B76"/>
    <w:rsid w:val="004C6E95"/>
    <w:rsid w:val="004C727A"/>
    <w:rsid w:val="004C7E29"/>
    <w:rsid w:val="004D0E79"/>
    <w:rsid w:val="004D0E92"/>
    <w:rsid w:val="004D3E5D"/>
    <w:rsid w:val="004D4AD6"/>
    <w:rsid w:val="004D4BF7"/>
    <w:rsid w:val="004D5AFB"/>
    <w:rsid w:val="004D6842"/>
    <w:rsid w:val="004D6CE1"/>
    <w:rsid w:val="004D7CB2"/>
    <w:rsid w:val="004D7FC1"/>
    <w:rsid w:val="004E11D8"/>
    <w:rsid w:val="004E1E37"/>
    <w:rsid w:val="004E3461"/>
    <w:rsid w:val="004E34AE"/>
    <w:rsid w:val="004E3ABD"/>
    <w:rsid w:val="004E3E13"/>
    <w:rsid w:val="004E4A0E"/>
    <w:rsid w:val="004E5554"/>
    <w:rsid w:val="004E556C"/>
    <w:rsid w:val="004E6A64"/>
    <w:rsid w:val="004E7EE9"/>
    <w:rsid w:val="004F1820"/>
    <w:rsid w:val="004F2F12"/>
    <w:rsid w:val="004F39A4"/>
    <w:rsid w:val="004F3F95"/>
    <w:rsid w:val="004F49E4"/>
    <w:rsid w:val="004F4DD8"/>
    <w:rsid w:val="004F56BC"/>
    <w:rsid w:val="004F587E"/>
    <w:rsid w:val="004F663A"/>
    <w:rsid w:val="004F6A04"/>
    <w:rsid w:val="004F7E02"/>
    <w:rsid w:val="004F7FD6"/>
    <w:rsid w:val="0050039D"/>
    <w:rsid w:val="0050130E"/>
    <w:rsid w:val="00501ADA"/>
    <w:rsid w:val="00501C01"/>
    <w:rsid w:val="00501EE4"/>
    <w:rsid w:val="00503C74"/>
    <w:rsid w:val="0050410A"/>
    <w:rsid w:val="00504F28"/>
    <w:rsid w:val="00505AAD"/>
    <w:rsid w:val="0051039F"/>
    <w:rsid w:val="005107A8"/>
    <w:rsid w:val="00511223"/>
    <w:rsid w:val="00511C75"/>
    <w:rsid w:val="00511E0C"/>
    <w:rsid w:val="00512770"/>
    <w:rsid w:val="0051521D"/>
    <w:rsid w:val="005159F9"/>
    <w:rsid w:val="00516A66"/>
    <w:rsid w:val="00516D34"/>
    <w:rsid w:val="00520281"/>
    <w:rsid w:val="00520C33"/>
    <w:rsid w:val="00522A4B"/>
    <w:rsid w:val="00522A73"/>
    <w:rsid w:val="00524457"/>
    <w:rsid w:val="00532DF5"/>
    <w:rsid w:val="00533BAD"/>
    <w:rsid w:val="005359F2"/>
    <w:rsid w:val="00535FF0"/>
    <w:rsid w:val="0053665C"/>
    <w:rsid w:val="00536727"/>
    <w:rsid w:val="0053729F"/>
    <w:rsid w:val="00537A21"/>
    <w:rsid w:val="00537C7A"/>
    <w:rsid w:val="00540BC0"/>
    <w:rsid w:val="00541224"/>
    <w:rsid w:val="0054226C"/>
    <w:rsid w:val="00543934"/>
    <w:rsid w:val="00545B61"/>
    <w:rsid w:val="005462FE"/>
    <w:rsid w:val="005469BA"/>
    <w:rsid w:val="00546E52"/>
    <w:rsid w:val="005476FF"/>
    <w:rsid w:val="00550214"/>
    <w:rsid w:val="005508A7"/>
    <w:rsid w:val="00550F15"/>
    <w:rsid w:val="00552097"/>
    <w:rsid w:val="005521FF"/>
    <w:rsid w:val="0055317C"/>
    <w:rsid w:val="0055511E"/>
    <w:rsid w:val="00555DB6"/>
    <w:rsid w:val="00556A9C"/>
    <w:rsid w:val="005575BB"/>
    <w:rsid w:val="00560BF8"/>
    <w:rsid w:val="00562F1E"/>
    <w:rsid w:val="00563880"/>
    <w:rsid w:val="00565344"/>
    <w:rsid w:val="005657E6"/>
    <w:rsid w:val="0056662C"/>
    <w:rsid w:val="00566D6B"/>
    <w:rsid w:val="00572142"/>
    <w:rsid w:val="00572675"/>
    <w:rsid w:val="00572C83"/>
    <w:rsid w:val="00572FCD"/>
    <w:rsid w:val="0057327B"/>
    <w:rsid w:val="00574283"/>
    <w:rsid w:val="0057549B"/>
    <w:rsid w:val="00576126"/>
    <w:rsid w:val="0057679E"/>
    <w:rsid w:val="00577AA9"/>
    <w:rsid w:val="00577D0D"/>
    <w:rsid w:val="0058003C"/>
    <w:rsid w:val="00581185"/>
    <w:rsid w:val="0058252B"/>
    <w:rsid w:val="0058418A"/>
    <w:rsid w:val="00584AB9"/>
    <w:rsid w:val="00585810"/>
    <w:rsid w:val="005859B2"/>
    <w:rsid w:val="005859C3"/>
    <w:rsid w:val="00585B3A"/>
    <w:rsid w:val="005871DE"/>
    <w:rsid w:val="00590A2E"/>
    <w:rsid w:val="00593A5E"/>
    <w:rsid w:val="005964B6"/>
    <w:rsid w:val="005966A5"/>
    <w:rsid w:val="005972EF"/>
    <w:rsid w:val="005974A4"/>
    <w:rsid w:val="005A0A4B"/>
    <w:rsid w:val="005A2CA5"/>
    <w:rsid w:val="005A2CD6"/>
    <w:rsid w:val="005A440D"/>
    <w:rsid w:val="005A6A5F"/>
    <w:rsid w:val="005A6D6B"/>
    <w:rsid w:val="005A6DF0"/>
    <w:rsid w:val="005A7255"/>
    <w:rsid w:val="005B15C0"/>
    <w:rsid w:val="005B1970"/>
    <w:rsid w:val="005B3C63"/>
    <w:rsid w:val="005B7218"/>
    <w:rsid w:val="005B7363"/>
    <w:rsid w:val="005C27C3"/>
    <w:rsid w:val="005C36AA"/>
    <w:rsid w:val="005C3CC0"/>
    <w:rsid w:val="005C5091"/>
    <w:rsid w:val="005C50A1"/>
    <w:rsid w:val="005C527F"/>
    <w:rsid w:val="005C533A"/>
    <w:rsid w:val="005C7E4A"/>
    <w:rsid w:val="005D0E81"/>
    <w:rsid w:val="005D26AD"/>
    <w:rsid w:val="005D2C02"/>
    <w:rsid w:val="005D2F5B"/>
    <w:rsid w:val="005D4695"/>
    <w:rsid w:val="005D773C"/>
    <w:rsid w:val="005D77BF"/>
    <w:rsid w:val="005E0199"/>
    <w:rsid w:val="005E1486"/>
    <w:rsid w:val="005E22E0"/>
    <w:rsid w:val="005E3C18"/>
    <w:rsid w:val="005E41E9"/>
    <w:rsid w:val="005F0AFE"/>
    <w:rsid w:val="005F103A"/>
    <w:rsid w:val="005F138E"/>
    <w:rsid w:val="005F2061"/>
    <w:rsid w:val="005F47D3"/>
    <w:rsid w:val="005F5605"/>
    <w:rsid w:val="005F592A"/>
    <w:rsid w:val="005F67F2"/>
    <w:rsid w:val="005F6B4F"/>
    <w:rsid w:val="005F748F"/>
    <w:rsid w:val="00601653"/>
    <w:rsid w:val="006016C5"/>
    <w:rsid w:val="00601A38"/>
    <w:rsid w:val="00601DE0"/>
    <w:rsid w:val="00603085"/>
    <w:rsid w:val="00603346"/>
    <w:rsid w:val="006036D7"/>
    <w:rsid w:val="00605CBE"/>
    <w:rsid w:val="006067E4"/>
    <w:rsid w:val="0060697A"/>
    <w:rsid w:val="00606C2A"/>
    <w:rsid w:val="00610462"/>
    <w:rsid w:val="006114B7"/>
    <w:rsid w:val="00612A2D"/>
    <w:rsid w:val="00613133"/>
    <w:rsid w:val="00613C27"/>
    <w:rsid w:val="00614F66"/>
    <w:rsid w:val="006169D7"/>
    <w:rsid w:val="0061770A"/>
    <w:rsid w:val="00620C6B"/>
    <w:rsid w:val="00623BBF"/>
    <w:rsid w:val="00624D9C"/>
    <w:rsid w:val="00625E84"/>
    <w:rsid w:val="00630287"/>
    <w:rsid w:val="0063150A"/>
    <w:rsid w:val="006322FC"/>
    <w:rsid w:val="006349A6"/>
    <w:rsid w:val="006350C3"/>
    <w:rsid w:val="00635CD7"/>
    <w:rsid w:val="00635FCE"/>
    <w:rsid w:val="00636E7B"/>
    <w:rsid w:val="00640117"/>
    <w:rsid w:val="0064132C"/>
    <w:rsid w:val="0064288F"/>
    <w:rsid w:val="0064594A"/>
    <w:rsid w:val="006461E4"/>
    <w:rsid w:val="0064626C"/>
    <w:rsid w:val="006462A3"/>
    <w:rsid w:val="00647CE7"/>
    <w:rsid w:val="00650849"/>
    <w:rsid w:val="00650BD0"/>
    <w:rsid w:val="00651737"/>
    <w:rsid w:val="00652281"/>
    <w:rsid w:val="00652CEF"/>
    <w:rsid w:val="006544C1"/>
    <w:rsid w:val="00654D1C"/>
    <w:rsid w:val="0065658A"/>
    <w:rsid w:val="00656D48"/>
    <w:rsid w:val="0065710D"/>
    <w:rsid w:val="00657F31"/>
    <w:rsid w:val="006602DC"/>
    <w:rsid w:val="006603E0"/>
    <w:rsid w:val="006612E0"/>
    <w:rsid w:val="00661881"/>
    <w:rsid w:val="006623D9"/>
    <w:rsid w:val="00663494"/>
    <w:rsid w:val="00665048"/>
    <w:rsid w:val="00666AB4"/>
    <w:rsid w:val="00670FBD"/>
    <w:rsid w:val="00673CAA"/>
    <w:rsid w:val="006740CA"/>
    <w:rsid w:val="00674259"/>
    <w:rsid w:val="00674417"/>
    <w:rsid w:val="00675949"/>
    <w:rsid w:val="00675CED"/>
    <w:rsid w:val="00676232"/>
    <w:rsid w:val="00680554"/>
    <w:rsid w:val="006808AF"/>
    <w:rsid w:val="006815D2"/>
    <w:rsid w:val="0068161F"/>
    <w:rsid w:val="00681EAC"/>
    <w:rsid w:val="006820C8"/>
    <w:rsid w:val="006834E5"/>
    <w:rsid w:val="00683775"/>
    <w:rsid w:val="00683BFA"/>
    <w:rsid w:val="00683CC1"/>
    <w:rsid w:val="00684310"/>
    <w:rsid w:val="00684EFE"/>
    <w:rsid w:val="006875E6"/>
    <w:rsid w:val="0069232A"/>
    <w:rsid w:val="006925C8"/>
    <w:rsid w:val="00692ABC"/>
    <w:rsid w:val="00692EDE"/>
    <w:rsid w:val="00694C6A"/>
    <w:rsid w:val="0069557A"/>
    <w:rsid w:val="00696039"/>
    <w:rsid w:val="00696A33"/>
    <w:rsid w:val="00696C29"/>
    <w:rsid w:val="006971C1"/>
    <w:rsid w:val="006973DA"/>
    <w:rsid w:val="00697513"/>
    <w:rsid w:val="006A1EA8"/>
    <w:rsid w:val="006A441F"/>
    <w:rsid w:val="006A5050"/>
    <w:rsid w:val="006A6B45"/>
    <w:rsid w:val="006A6ECA"/>
    <w:rsid w:val="006A712F"/>
    <w:rsid w:val="006B009B"/>
    <w:rsid w:val="006B01D2"/>
    <w:rsid w:val="006B08A1"/>
    <w:rsid w:val="006B1580"/>
    <w:rsid w:val="006B2C95"/>
    <w:rsid w:val="006B2D9F"/>
    <w:rsid w:val="006B4217"/>
    <w:rsid w:val="006B4B32"/>
    <w:rsid w:val="006B4D50"/>
    <w:rsid w:val="006B736F"/>
    <w:rsid w:val="006C1645"/>
    <w:rsid w:val="006C243D"/>
    <w:rsid w:val="006C3343"/>
    <w:rsid w:val="006C353A"/>
    <w:rsid w:val="006C3E11"/>
    <w:rsid w:val="006C3F38"/>
    <w:rsid w:val="006C43DB"/>
    <w:rsid w:val="006C59EA"/>
    <w:rsid w:val="006C6F77"/>
    <w:rsid w:val="006C728F"/>
    <w:rsid w:val="006C759A"/>
    <w:rsid w:val="006C7A2B"/>
    <w:rsid w:val="006C7A79"/>
    <w:rsid w:val="006D2354"/>
    <w:rsid w:val="006D34C6"/>
    <w:rsid w:val="006D3661"/>
    <w:rsid w:val="006D5069"/>
    <w:rsid w:val="006D602E"/>
    <w:rsid w:val="006E0317"/>
    <w:rsid w:val="006E0411"/>
    <w:rsid w:val="006E0EEA"/>
    <w:rsid w:val="006E19CB"/>
    <w:rsid w:val="006E2445"/>
    <w:rsid w:val="006E2A73"/>
    <w:rsid w:val="006E2BD6"/>
    <w:rsid w:val="006E3827"/>
    <w:rsid w:val="006E460D"/>
    <w:rsid w:val="006E698E"/>
    <w:rsid w:val="006E6ACA"/>
    <w:rsid w:val="006E7ED7"/>
    <w:rsid w:val="006F06C0"/>
    <w:rsid w:val="006F0753"/>
    <w:rsid w:val="006F07B9"/>
    <w:rsid w:val="006F0AC0"/>
    <w:rsid w:val="006F138E"/>
    <w:rsid w:val="006F20D3"/>
    <w:rsid w:val="006F32D9"/>
    <w:rsid w:val="006F5EDE"/>
    <w:rsid w:val="006F7000"/>
    <w:rsid w:val="006F7AB7"/>
    <w:rsid w:val="006F7D5B"/>
    <w:rsid w:val="0070011E"/>
    <w:rsid w:val="0070084B"/>
    <w:rsid w:val="00700A88"/>
    <w:rsid w:val="00700AA3"/>
    <w:rsid w:val="0070126B"/>
    <w:rsid w:val="00701A74"/>
    <w:rsid w:val="00701F84"/>
    <w:rsid w:val="00704955"/>
    <w:rsid w:val="00704B00"/>
    <w:rsid w:val="00707A79"/>
    <w:rsid w:val="007103DD"/>
    <w:rsid w:val="00711563"/>
    <w:rsid w:val="007116BD"/>
    <w:rsid w:val="00712689"/>
    <w:rsid w:val="00712DBF"/>
    <w:rsid w:val="007142AF"/>
    <w:rsid w:val="00715EF9"/>
    <w:rsid w:val="00720215"/>
    <w:rsid w:val="00720860"/>
    <w:rsid w:val="00722676"/>
    <w:rsid w:val="00722C45"/>
    <w:rsid w:val="00722F6F"/>
    <w:rsid w:val="00723760"/>
    <w:rsid w:val="00723873"/>
    <w:rsid w:val="00723EF4"/>
    <w:rsid w:val="00724F3B"/>
    <w:rsid w:val="007254CF"/>
    <w:rsid w:val="007267B0"/>
    <w:rsid w:val="00726BB3"/>
    <w:rsid w:val="00727613"/>
    <w:rsid w:val="00730085"/>
    <w:rsid w:val="00730B85"/>
    <w:rsid w:val="007312F1"/>
    <w:rsid w:val="00732BA9"/>
    <w:rsid w:val="00733424"/>
    <w:rsid w:val="00734AB8"/>
    <w:rsid w:val="00735E2A"/>
    <w:rsid w:val="007374AE"/>
    <w:rsid w:val="0074119A"/>
    <w:rsid w:val="00741436"/>
    <w:rsid w:val="00742C4F"/>
    <w:rsid w:val="00742D0B"/>
    <w:rsid w:val="0074525B"/>
    <w:rsid w:val="00746166"/>
    <w:rsid w:val="00746DD2"/>
    <w:rsid w:val="00747DBF"/>
    <w:rsid w:val="007507FA"/>
    <w:rsid w:val="007508F9"/>
    <w:rsid w:val="00751115"/>
    <w:rsid w:val="0075231B"/>
    <w:rsid w:val="00752713"/>
    <w:rsid w:val="00752773"/>
    <w:rsid w:val="00755F14"/>
    <w:rsid w:val="0076012C"/>
    <w:rsid w:val="00760759"/>
    <w:rsid w:val="00760919"/>
    <w:rsid w:val="00761AA4"/>
    <w:rsid w:val="0076322C"/>
    <w:rsid w:val="00763E5D"/>
    <w:rsid w:val="00764C39"/>
    <w:rsid w:val="007651BA"/>
    <w:rsid w:val="00766C7C"/>
    <w:rsid w:val="00772F0A"/>
    <w:rsid w:val="00774F4D"/>
    <w:rsid w:val="00775F5B"/>
    <w:rsid w:val="007766CD"/>
    <w:rsid w:val="0077723D"/>
    <w:rsid w:val="00780BAB"/>
    <w:rsid w:val="00780C6B"/>
    <w:rsid w:val="00782C91"/>
    <w:rsid w:val="00784433"/>
    <w:rsid w:val="007849CF"/>
    <w:rsid w:val="00785953"/>
    <w:rsid w:val="0078637B"/>
    <w:rsid w:val="00787E1D"/>
    <w:rsid w:val="007900B1"/>
    <w:rsid w:val="00790820"/>
    <w:rsid w:val="00791CF4"/>
    <w:rsid w:val="007926BB"/>
    <w:rsid w:val="00792C99"/>
    <w:rsid w:val="007941AA"/>
    <w:rsid w:val="00794E42"/>
    <w:rsid w:val="0079667C"/>
    <w:rsid w:val="0079692D"/>
    <w:rsid w:val="00797124"/>
    <w:rsid w:val="00797539"/>
    <w:rsid w:val="007975F3"/>
    <w:rsid w:val="00797D97"/>
    <w:rsid w:val="007A28E7"/>
    <w:rsid w:val="007A5F3C"/>
    <w:rsid w:val="007A62DD"/>
    <w:rsid w:val="007A6B24"/>
    <w:rsid w:val="007A6D73"/>
    <w:rsid w:val="007B01B5"/>
    <w:rsid w:val="007B062F"/>
    <w:rsid w:val="007B1AB8"/>
    <w:rsid w:val="007B2015"/>
    <w:rsid w:val="007B2F5A"/>
    <w:rsid w:val="007B4132"/>
    <w:rsid w:val="007B43E5"/>
    <w:rsid w:val="007B481A"/>
    <w:rsid w:val="007B699D"/>
    <w:rsid w:val="007B7369"/>
    <w:rsid w:val="007B79E4"/>
    <w:rsid w:val="007C0217"/>
    <w:rsid w:val="007C0929"/>
    <w:rsid w:val="007C0A1A"/>
    <w:rsid w:val="007C19A9"/>
    <w:rsid w:val="007C20E2"/>
    <w:rsid w:val="007C2C5B"/>
    <w:rsid w:val="007C2C87"/>
    <w:rsid w:val="007C4C31"/>
    <w:rsid w:val="007C4E9A"/>
    <w:rsid w:val="007C5BBC"/>
    <w:rsid w:val="007C6281"/>
    <w:rsid w:val="007C690A"/>
    <w:rsid w:val="007C7035"/>
    <w:rsid w:val="007D0105"/>
    <w:rsid w:val="007D15BF"/>
    <w:rsid w:val="007D1EA1"/>
    <w:rsid w:val="007D21DB"/>
    <w:rsid w:val="007D2E56"/>
    <w:rsid w:val="007D30C4"/>
    <w:rsid w:val="007D4E11"/>
    <w:rsid w:val="007D5E08"/>
    <w:rsid w:val="007D6C95"/>
    <w:rsid w:val="007D7294"/>
    <w:rsid w:val="007E0A86"/>
    <w:rsid w:val="007E12A4"/>
    <w:rsid w:val="007E227C"/>
    <w:rsid w:val="007E3DB7"/>
    <w:rsid w:val="007E6021"/>
    <w:rsid w:val="007E67FE"/>
    <w:rsid w:val="007F1AA5"/>
    <w:rsid w:val="007F1B3D"/>
    <w:rsid w:val="007F1FB4"/>
    <w:rsid w:val="007F261C"/>
    <w:rsid w:val="007F4BF9"/>
    <w:rsid w:val="007F5E6E"/>
    <w:rsid w:val="00800023"/>
    <w:rsid w:val="00800320"/>
    <w:rsid w:val="0080068D"/>
    <w:rsid w:val="00802707"/>
    <w:rsid w:val="00803A56"/>
    <w:rsid w:val="00803C17"/>
    <w:rsid w:val="00804D25"/>
    <w:rsid w:val="00805FEB"/>
    <w:rsid w:val="0080619A"/>
    <w:rsid w:val="00806FBA"/>
    <w:rsid w:val="00807BF1"/>
    <w:rsid w:val="008104BB"/>
    <w:rsid w:val="00810FB3"/>
    <w:rsid w:val="008113E5"/>
    <w:rsid w:val="00812F38"/>
    <w:rsid w:val="008139AB"/>
    <w:rsid w:val="00813C0C"/>
    <w:rsid w:val="00814B8D"/>
    <w:rsid w:val="00814FAF"/>
    <w:rsid w:val="008151B8"/>
    <w:rsid w:val="008155C4"/>
    <w:rsid w:val="00815AF8"/>
    <w:rsid w:val="00815B15"/>
    <w:rsid w:val="00815F2E"/>
    <w:rsid w:val="00816167"/>
    <w:rsid w:val="00816324"/>
    <w:rsid w:val="008168B7"/>
    <w:rsid w:val="00817A9D"/>
    <w:rsid w:val="0082125A"/>
    <w:rsid w:val="008213E9"/>
    <w:rsid w:val="008225F0"/>
    <w:rsid w:val="008255CF"/>
    <w:rsid w:val="00827034"/>
    <w:rsid w:val="0083071E"/>
    <w:rsid w:val="00830DCE"/>
    <w:rsid w:val="00832B06"/>
    <w:rsid w:val="00832F57"/>
    <w:rsid w:val="0083374C"/>
    <w:rsid w:val="00833923"/>
    <w:rsid w:val="00834940"/>
    <w:rsid w:val="00835C0B"/>
    <w:rsid w:val="00835EDB"/>
    <w:rsid w:val="00836550"/>
    <w:rsid w:val="00837614"/>
    <w:rsid w:val="008412E8"/>
    <w:rsid w:val="008412ED"/>
    <w:rsid w:val="0084133A"/>
    <w:rsid w:val="00842075"/>
    <w:rsid w:val="0084297C"/>
    <w:rsid w:val="00842C4E"/>
    <w:rsid w:val="00842F23"/>
    <w:rsid w:val="00843974"/>
    <w:rsid w:val="00843D1E"/>
    <w:rsid w:val="00845866"/>
    <w:rsid w:val="00845F77"/>
    <w:rsid w:val="00847394"/>
    <w:rsid w:val="00850E95"/>
    <w:rsid w:val="0085113B"/>
    <w:rsid w:val="00851C03"/>
    <w:rsid w:val="008558A6"/>
    <w:rsid w:val="008561FB"/>
    <w:rsid w:val="0085663E"/>
    <w:rsid w:val="00857157"/>
    <w:rsid w:val="0085745B"/>
    <w:rsid w:val="00857556"/>
    <w:rsid w:val="00857578"/>
    <w:rsid w:val="00857E7D"/>
    <w:rsid w:val="00860661"/>
    <w:rsid w:val="00860679"/>
    <w:rsid w:val="00860B65"/>
    <w:rsid w:val="008614AF"/>
    <w:rsid w:val="00861BF2"/>
    <w:rsid w:val="0086306D"/>
    <w:rsid w:val="00863AB1"/>
    <w:rsid w:val="00864BE2"/>
    <w:rsid w:val="0086596D"/>
    <w:rsid w:val="00866D70"/>
    <w:rsid w:val="00867092"/>
    <w:rsid w:val="00867C4B"/>
    <w:rsid w:val="00870BE5"/>
    <w:rsid w:val="008713AE"/>
    <w:rsid w:val="00874452"/>
    <w:rsid w:val="008747E7"/>
    <w:rsid w:val="00874C90"/>
    <w:rsid w:val="00875DB7"/>
    <w:rsid w:val="00875F8C"/>
    <w:rsid w:val="00877496"/>
    <w:rsid w:val="008802D9"/>
    <w:rsid w:val="00880B24"/>
    <w:rsid w:val="00881F6E"/>
    <w:rsid w:val="00882856"/>
    <w:rsid w:val="00884FD4"/>
    <w:rsid w:val="0088510C"/>
    <w:rsid w:val="00885755"/>
    <w:rsid w:val="008857B3"/>
    <w:rsid w:val="00886D2E"/>
    <w:rsid w:val="00887ACE"/>
    <w:rsid w:val="008909FD"/>
    <w:rsid w:val="00890BB7"/>
    <w:rsid w:val="0089237C"/>
    <w:rsid w:val="008944E4"/>
    <w:rsid w:val="008949F4"/>
    <w:rsid w:val="00895309"/>
    <w:rsid w:val="00896B5B"/>
    <w:rsid w:val="00897370"/>
    <w:rsid w:val="008A0CA3"/>
    <w:rsid w:val="008A1DCB"/>
    <w:rsid w:val="008A4AD2"/>
    <w:rsid w:val="008A65B9"/>
    <w:rsid w:val="008A70AB"/>
    <w:rsid w:val="008B045F"/>
    <w:rsid w:val="008B0DD9"/>
    <w:rsid w:val="008B0FCA"/>
    <w:rsid w:val="008B26EF"/>
    <w:rsid w:val="008B317D"/>
    <w:rsid w:val="008B3CB8"/>
    <w:rsid w:val="008B48CE"/>
    <w:rsid w:val="008B550E"/>
    <w:rsid w:val="008B7468"/>
    <w:rsid w:val="008C0A43"/>
    <w:rsid w:val="008C2491"/>
    <w:rsid w:val="008C2B06"/>
    <w:rsid w:val="008C3911"/>
    <w:rsid w:val="008C3DB6"/>
    <w:rsid w:val="008C41B0"/>
    <w:rsid w:val="008C41CF"/>
    <w:rsid w:val="008C444D"/>
    <w:rsid w:val="008C4A15"/>
    <w:rsid w:val="008C6428"/>
    <w:rsid w:val="008C76F9"/>
    <w:rsid w:val="008D1E26"/>
    <w:rsid w:val="008D21A1"/>
    <w:rsid w:val="008D2468"/>
    <w:rsid w:val="008D25F7"/>
    <w:rsid w:val="008D4063"/>
    <w:rsid w:val="008D4446"/>
    <w:rsid w:val="008D5432"/>
    <w:rsid w:val="008D6887"/>
    <w:rsid w:val="008D724A"/>
    <w:rsid w:val="008E030A"/>
    <w:rsid w:val="008E4B3D"/>
    <w:rsid w:val="008E5DC2"/>
    <w:rsid w:val="008E7C1A"/>
    <w:rsid w:val="008F05B8"/>
    <w:rsid w:val="008F0BEF"/>
    <w:rsid w:val="008F15ED"/>
    <w:rsid w:val="008F31E3"/>
    <w:rsid w:val="008F4CB6"/>
    <w:rsid w:val="008F5CD2"/>
    <w:rsid w:val="008F639A"/>
    <w:rsid w:val="008F671D"/>
    <w:rsid w:val="008F7881"/>
    <w:rsid w:val="00901085"/>
    <w:rsid w:val="009020BA"/>
    <w:rsid w:val="009027C3"/>
    <w:rsid w:val="009037D3"/>
    <w:rsid w:val="00905210"/>
    <w:rsid w:val="009127F8"/>
    <w:rsid w:val="00912992"/>
    <w:rsid w:val="009147BB"/>
    <w:rsid w:val="00914D6A"/>
    <w:rsid w:val="009155BE"/>
    <w:rsid w:val="00915722"/>
    <w:rsid w:val="00917B6B"/>
    <w:rsid w:val="00920467"/>
    <w:rsid w:val="00923906"/>
    <w:rsid w:val="00925A63"/>
    <w:rsid w:val="00925C3A"/>
    <w:rsid w:val="00926824"/>
    <w:rsid w:val="00926D20"/>
    <w:rsid w:val="009276D2"/>
    <w:rsid w:val="00927945"/>
    <w:rsid w:val="009308B5"/>
    <w:rsid w:val="00930C4E"/>
    <w:rsid w:val="009316FF"/>
    <w:rsid w:val="009322A4"/>
    <w:rsid w:val="00932488"/>
    <w:rsid w:val="009338E4"/>
    <w:rsid w:val="00934131"/>
    <w:rsid w:val="00936E68"/>
    <w:rsid w:val="00936E86"/>
    <w:rsid w:val="0093751D"/>
    <w:rsid w:val="00937F98"/>
    <w:rsid w:val="00941A97"/>
    <w:rsid w:val="00941CFD"/>
    <w:rsid w:val="009456D1"/>
    <w:rsid w:val="00945F05"/>
    <w:rsid w:val="00947B67"/>
    <w:rsid w:val="00947EBE"/>
    <w:rsid w:val="009510D4"/>
    <w:rsid w:val="00951460"/>
    <w:rsid w:val="00951A25"/>
    <w:rsid w:val="00951D86"/>
    <w:rsid w:val="00952692"/>
    <w:rsid w:val="00952CA9"/>
    <w:rsid w:val="00952F9A"/>
    <w:rsid w:val="00953271"/>
    <w:rsid w:val="00953DB0"/>
    <w:rsid w:val="009546B7"/>
    <w:rsid w:val="00954A83"/>
    <w:rsid w:val="00954EF1"/>
    <w:rsid w:val="009568AE"/>
    <w:rsid w:val="00957478"/>
    <w:rsid w:val="0096005D"/>
    <w:rsid w:val="00961078"/>
    <w:rsid w:val="00962A6F"/>
    <w:rsid w:val="00963257"/>
    <w:rsid w:val="00965206"/>
    <w:rsid w:val="00965215"/>
    <w:rsid w:val="009655C3"/>
    <w:rsid w:val="0096561B"/>
    <w:rsid w:val="00965C91"/>
    <w:rsid w:val="00965ECB"/>
    <w:rsid w:val="00966359"/>
    <w:rsid w:val="009664CF"/>
    <w:rsid w:val="00967D29"/>
    <w:rsid w:val="00970B6B"/>
    <w:rsid w:val="00971EBE"/>
    <w:rsid w:val="00974E11"/>
    <w:rsid w:val="00975534"/>
    <w:rsid w:val="00975D14"/>
    <w:rsid w:val="0097675C"/>
    <w:rsid w:val="009773D8"/>
    <w:rsid w:val="0098014C"/>
    <w:rsid w:val="00983791"/>
    <w:rsid w:val="00984631"/>
    <w:rsid w:val="009846BA"/>
    <w:rsid w:val="00985A6C"/>
    <w:rsid w:val="00985D94"/>
    <w:rsid w:val="00986BB0"/>
    <w:rsid w:val="00986CD0"/>
    <w:rsid w:val="00986EE3"/>
    <w:rsid w:val="009878EA"/>
    <w:rsid w:val="00987D21"/>
    <w:rsid w:val="00987EEA"/>
    <w:rsid w:val="00991556"/>
    <w:rsid w:val="00991570"/>
    <w:rsid w:val="0099217D"/>
    <w:rsid w:val="00993CD1"/>
    <w:rsid w:val="0099406D"/>
    <w:rsid w:val="0099467F"/>
    <w:rsid w:val="00994DC8"/>
    <w:rsid w:val="009952FA"/>
    <w:rsid w:val="0099614A"/>
    <w:rsid w:val="0099767E"/>
    <w:rsid w:val="00997C3E"/>
    <w:rsid w:val="009A0A25"/>
    <w:rsid w:val="009A1C71"/>
    <w:rsid w:val="009A2851"/>
    <w:rsid w:val="009A3A79"/>
    <w:rsid w:val="009A5359"/>
    <w:rsid w:val="009A5D57"/>
    <w:rsid w:val="009A628C"/>
    <w:rsid w:val="009A65EC"/>
    <w:rsid w:val="009B255D"/>
    <w:rsid w:val="009B4004"/>
    <w:rsid w:val="009B5A0B"/>
    <w:rsid w:val="009B6868"/>
    <w:rsid w:val="009B6F3D"/>
    <w:rsid w:val="009B7A73"/>
    <w:rsid w:val="009B7C04"/>
    <w:rsid w:val="009C040C"/>
    <w:rsid w:val="009C1F3F"/>
    <w:rsid w:val="009C1F7C"/>
    <w:rsid w:val="009C52E5"/>
    <w:rsid w:val="009C5B12"/>
    <w:rsid w:val="009C5B41"/>
    <w:rsid w:val="009C679C"/>
    <w:rsid w:val="009D05C3"/>
    <w:rsid w:val="009D0BB8"/>
    <w:rsid w:val="009D12BD"/>
    <w:rsid w:val="009D2398"/>
    <w:rsid w:val="009D2712"/>
    <w:rsid w:val="009D2EB1"/>
    <w:rsid w:val="009D373B"/>
    <w:rsid w:val="009D47BF"/>
    <w:rsid w:val="009D4D71"/>
    <w:rsid w:val="009D56CD"/>
    <w:rsid w:val="009D7DAF"/>
    <w:rsid w:val="009E15E2"/>
    <w:rsid w:val="009E3473"/>
    <w:rsid w:val="009E58D5"/>
    <w:rsid w:val="009E655D"/>
    <w:rsid w:val="009E6956"/>
    <w:rsid w:val="009E7AC4"/>
    <w:rsid w:val="009F1100"/>
    <w:rsid w:val="009F25F0"/>
    <w:rsid w:val="009F3FBA"/>
    <w:rsid w:val="009F6583"/>
    <w:rsid w:val="009F73AE"/>
    <w:rsid w:val="00A0190C"/>
    <w:rsid w:val="00A02CCD"/>
    <w:rsid w:val="00A02E50"/>
    <w:rsid w:val="00A02EFC"/>
    <w:rsid w:val="00A030F1"/>
    <w:rsid w:val="00A0400C"/>
    <w:rsid w:val="00A0454F"/>
    <w:rsid w:val="00A04F72"/>
    <w:rsid w:val="00A055E8"/>
    <w:rsid w:val="00A06694"/>
    <w:rsid w:val="00A070CB"/>
    <w:rsid w:val="00A132B9"/>
    <w:rsid w:val="00A152B4"/>
    <w:rsid w:val="00A20342"/>
    <w:rsid w:val="00A2075B"/>
    <w:rsid w:val="00A21B54"/>
    <w:rsid w:val="00A21F1D"/>
    <w:rsid w:val="00A21F80"/>
    <w:rsid w:val="00A23A54"/>
    <w:rsid w:val="00A23BE2"/>
    <w:rsid w:val="00A249FE"/>
    <w:rsid w:val="00A24BAA"/>
    <w:rsid w:val="00A24EC7"/>
    <w:rsid w:val="00A25CEA"/>
    <w:rsid w:val="00A26142"/>
    <w:rsid w:val="00A261D3"/>
    <w:rsid w:val="00A26C1C"/>
    <w:rsid w:val="00A27FDB"/>
    <w:rsid w:val="00A30D95"/>
    <w:rsid w:val="00A310B5"/>
    <w:rsid w:val="00A319DE"/>
    <w:rsid w:val="00A32152"/>
    <w:rsid w:val="00A32CC3"/>
    <w:rsid w:val="00A33162"/>
    <w:rsid w:val="00A33930"/>
    <w:rsid w:val="00A339BC"/>
    <w:rsid w:val="00A3600A"/>
    <w:rsid w:val="00A3603A"/>
    <w:rsid w:val="00A367D9"/>
    <w:rsid w:val="00A3723B"/>
    <w:rsid w:val="00A37CE1"/>
    <w:rsid w:val="00A40A57"/>
    <w:rsid w:val="00A40B47"/>
    <w:rsid w:val="00A41416"/>
    <w:rsid w:val="00A42DD8"/>
    <w:rsid w:val="00A42F21"/>
    <w:rsid w:val="00A43353"/>
    <w:rsid w:val="00A4446E"/>
    <w:rsid w:val="00A44E2D"/>
    <w:rsid w:val="00A455FF"/>
    <w:rsid w:val="00A4589F"/>
    <w:rsid w:val="00A461D6"/>
    <w:rsid w:val="00A46AF1"/>
    <w:rsid w:val="00A47B2F"/>
    <w:rsid w:val="00A47E73"/>
    <w:rsid w:val="00A500E6"/>
    <w:rsid w:val="00A51CD4"/>
    <w:rsid w:val="00A52763"/>
    <w:rsid w:val="00A5345B"/>
    <w:rsid w:val="00A537F2"/>
    <w:rsid w:val="00A54B3C"/>
    <w:rsid w:val="00A5659C"/>
    <w:rsid w:val="00A57589"/>
    <w:rsid w:val="00A604E6"/>
    <w:rsid w:val="00A610EF"/>
    <w:rsid w:val="00A61486"/>
    <w:rsid w:val="00A61929"/>
    <w:rsid w:val="00A61B00"/>
    <w:rsid w:val="00A629DA"/>
    <w:rsid w:val="00A62D55"/>
    <w:rsid w:val="00A66101"/>
    <w:rsid w:val="00A6641E"/>
    <w:rsid w:val="00A667A6"/>
    <w:rsid w:val="00A6732B"/>
    <w:rsid w:val="00A6750D"/>
    <w:rsid w:val="00A67BF5"/>
    <w:rsid w:val="00A67D1E"/>
    <w:rsid w:val="00A702FD"/>
    <w:rsid w:val="00A71D30"/>
    <w:rsid w:val="00A74CA7"/>
    <w:rsid w:val="00A7606D"/>
    <w:rsid w:val="00A773F4"/>
    <w:rsid w:val="00A82127"/>
    <w:rsid w:val="00A832DD"/>
    <w:rsid w:val="00A84274"/>
    <w:rsid w:val="00A87114"/>
    <w:rsid w:val="00A878ED"/>
    <w:rsid w:val="00A8794B"/>
    <w:rsid w:val="00A92179"/>
    <w:rsid w:val="00A93284"/>
    <w:rsid w:val="00A94FDA"/>
    <w:rsid w:val="00A9547A"/>
    <w:rsid w:val="00A96CD5"/>
    <w:rsid w:val="00A97A46"/>
    <w:rsid w:val="00AA044B"/>
    <w:rsid w:val="00AA0839"/>
    <w:rsid w:val="00AA0D8B"/>
    <w:rsid w:val="00AA0DD2"/>
    <w:rsid w:val="00AA12C0"/>
    <w:rsid w:val="00AA1374"/>
    <w:rsid w:val="00AA18F2"/>
    <w:rsid w:val="00AA359C"/>
    <w:rsid w:val="00AA38B4"/>
    <w:rsid w:val="00AA38E6"/>
    <w:rsid w:val="00AA4566"/>
    <w:rsid w:val="00AA4B80"/>
    <w:rsid w:val="00AA52E9"/>
    <w:rsid w:val="00AA5315"/>
    <w:rsid w:val="00AA5C3F"/>
    <w:rsid w:val="00AA6DB2"/>
    <w:rsid w:val="00AA7231"/>
    <w:rsid w:val="00AB1816"/>
    <w:rsid w:val="00AB2391"/>
    <w:rsid w:val="00AB367B"/>
    <w:rsid w:val="00AB3A1A"/>
    <w:rsid w:val="00AB4844"/>
    <w:rsid w:val="00AB613E"/>
    <w:rsid w:val="00AB7EF3"/>
    <w:rsid w:val="00AC0212"/>
    <w:rsid w:val="00AC1338"/>
    <w:rsid w:val="00AC144F"/>
    <w:rsid w:val="00AC3E75"/>
    <w:rsid w:val="00AC4F63"/>
    <w:rsid w:val="00AC61AD"/>
    <w:rsid w:val="00AD0857"/>
    <w:rsid w:val="00AD10BB"/>
    <w:rsid w:val="00AD1E20"/>
    <w:rsid w:val="00AD42D8"/>
    <w:rsid w:val="00AD4352"/>
    <w:rsid w:val="00AD44CE"/>
    <w:rsid w:val="00AD47C7"/>
    <w:rsid w:val="00AD4C80"/>
    <w:rsid w:val="00AD5297"/>
    <w:rsid w:val="00AD53D6"/>
    <w:rsid w:val="00AD5A81"/>
    <w:rsid w:val="00AD6937"/>
    <w:rsid w:val="00AD7F50"/>
    <w:rsid w:val="00AE0A66"/>
    <w:rsid w:val="00AE15F2"/>
    <w:rsid w:val="00AE2100"/>
    <w:rsid w:val="00AE459D"/>
    <w:rsid w:val="00AE4960"/>
    <w:rsid w:val="00AE535D"/>
    <w:rsid w:val="00AE703A"/>
    <w:rsid w:val="00AE7320"/>
    <w:rsid w:val="00AF08FB"/>
    <w:rsid w:val="00AF17AD"/>
    <w:rsid w:val="00AF1DC0"/>
    <w:rsid w:val="00AF5AB4"/>
    <w:rsid w:val="00AF5E08"/>
    <w:rsid w:val="00AF6307"/>
    <w:rsid w:val="00AF7824"/>
    <w:rsid w:val="00B0159E"/>
    <w:rsid w:val="00B016BF"/>
    <w:rsid w:val="00B017B7"/>
    <w:rsid w:val="00B01DC4"/>
    <w:rsid w:val="00B02957"/>
    <w:rsid w:val="00B02F94"/>
    <w:rsid w:val="00B05161"/>
    <w:rsid w:val="00B07A93"/>
    <w:rsid w:val="00B1016F"/>
    <w:rsid w:val="00B11841"/>
    <w:rsid w:val="00B11AB1"/>
    <w:rsid w:val="00B12343"/>
    <w:rsid w:val="00B12FEA"/>
    <w:rsid w:val="00B13951"/>
    <w:rsid w:val="00B13EEC"/>
    <w:rsid w:val="00B140D5"/>
    <w:rsid w:val="00B14C49"/>
    <w:rsid w:val="00B15E6B"/>
    <w:rsid w:val="00B16F23"/>
    <w:rsid w:val="00B210FA"/>
    <w:rsid w:val="00B215C1"/>
    <w:rsid w:val="00B240F9"/>
    <w:rsid w:val="00B24B31"/>
    <w:rsid w:val="00B2548B"/>
    <w:rsid w:val="00B27A37"/>
    <w:rsid w:val="00B33C0C"/>
    <w:rsid w:val="00B33DCF"/>
    <w:rsid w:val="00B33E7E"/>
    <w:rsid w:val="00B35A6F"/>
    <w:rsid w:val="00B36ACF"/>
    <w:rsid w:val="00B40D7D"/>
    <w:rsid w:val="00B40E18"/>
    <w:rsid w:val="00B40F9D"/>
    <w:rsid w:val="00B41D43"/>
    <w:rsid w:val="00B4228F"/>
    <w:rsid w:val="00B43C7D"/>
    <w:rsid w:val="00B43F2D"/>
    <w:rsid w:val="00B457A1"/>
    <w:rsid w:val="00B45F7F"/>
    <w:rsid w:val="00B4776F"/>
    <w:rsid w:val="00B47FA6"/>
    <w:rsid w:val="00B508D0"/>
    <w:rsid w:val="00B50D80"/>
    <w:rsid w:val="00B51684"/>
    <w:rsid w:val="00B5189F"/>
    <w:rsid w:val="00B52A2B"/>
    <w:rsid w:val="00B53FB5"/>
    <w:rsid w:val="00B53FD0"/>
    <w:rsid w:val="00B54EE5"/>
    <w:rsid w:val="00B55FB7"/>
    <w:rsid w:val="00B5767E"/>
    <w:rsid w:val="00B57BB7"/>
    <w:rsid w:val="00B57F30"/>
    <w:rsid w:val="00B61B27"/>
    <w:rsid w:val="00B61FBA"/>
    <w:rsid w:val="00B6200B"/>
    <w:rsid w:val="00B63470"/>
    <w:rsid w:val="00B63D66"/>
    <w:rsid w:val="00B64358"/>
    <w:rsid w:val="00B64EB7"/>
    <w:rsid w:val="00B650ED"/>
    <w:rsid w:val="00B65AB6"/>
    <w:rsid w:val="00B6631F"/>
    <w:rsid w:val="00B67526"/>
    <w:rsid w:val="00B710F7"/>
    <w:rsid w:val="00B712EF"/>
    <w:rsid w:val="00B71C0A"/>
    <w:rsid w:val="00B71C3F"/>
    <w:rsid w:val="00B72038"/>
    <w:rsid w:val="00B72077"/>
    <w:rsid w:val="00B744FE"/>
    <w:rsid w:val="00B765B9"/>
    <w:rsid w:val="00B76C8C"/>
    <w:rsid w:val="00B8030F"/>
    <w:rsid w:val="00B82880"/>
    <w:rsid w:val="00B83448"/>
    <w:rsid w:val="00B83D01"/>
    <w:rsid w:val="00B8557C"/>
    <w:rsid w:val="00B85850"/>
    <w:rsid w:val="00B87DC3"/>
    <w:rsid w:val="00B92538"/>
    <w:rsid w:val="00B92D6F"/>
    <w:rsid w:val="00B92DD3"/>
    <w:rsid w:val="00B933C4"/>
    <w:rsid w:val="00B934B2"/>
    <w:rsid w:val="00B937B9"/>
    <w:rsid w:val="00B95580"/>
    <w:rsid w:val="00B97E19"/>
    <w:rsid w:val="00BA07B0"/>
    <w:rsid w:val="00BA172E"/>
    <w:rsid w:val="00BA1D6E"/>
    <w:rsid w:val="00BA4972"/>
    <w:rsid w:val="00BA52A0"/>
    <w:rsid w:val="00BA62C5"/>
    <w:rsid w:val="00BB1149"/>
    <w:rsid w:val="00BB1FD7"/>
    <w:rsid w:val="00BB219C"/>
    <w:rsid w:val="00BB276A"/>
    <w:rsid w:val="00BB29BE"/>
    <w:rsid w:val="00BB2D5A"/>
    <w:rsid w:val="00BB3285"/>
    <w:rsid w:val="00BB406E"/>
    <w:rsid w:val="00BB4F68"/>
    <w:rsid w:val="00BB51C7"/>
    <w:rsid w:val="00BB6A6B"/>
    <w:rsid w:val="00BC010A"/>
    <w:rsid w:val="00BC02CA"/>
    <w:rsid w:val="00BC04D0"/>
    <w:rsid w:val="00BC106C"/>
    <w:rsid w:val="00BC25C1"/>
    <w:rsid w:val="00BC4436"/>
    <w:rsid w:val="00BC4947"/>
    <w:rsid w:val="00BC50B2"/>
    <w:rsid w:val="00BC7822"/>
    <w:rsid w:val="00BC79D7"/>
    <w:rsid w:val="00BD0397"/>
    <w:rsid w:val="00BD12AC"/>
    <w:rsid w:val="00BD1573"/>
    <w:rsid w:val="00BD1CFE"/>
    <w:rsid w:val="00BD2636"/>
    <w:rsid w:val="00BD44E0"/>
    <w:rsid w:val="00BD4647"/>
    <w:rsid w:val="00BD48D9"/>
    <w:rsid w:val="00BD4D89"/>
    <w:rsid w:val="00BD516F"/>
    <w:rsid w:val="00BD5A9C"/>
    <w:rsid w:val="00BD7634"/>
    <w:rsid w:val="00BE1182"/>
    <w:rsid w:val="00BE2207"/>
    <w:rsid w:val="00BE3AC7"/>
    <w:rsid w:val="00BE4AEA"/>
    <w:rsid w:val="00BE506F"/>
    <w:rsid w:val="00BE5589"/>
    <w:rsid w:val="00BE58D6"/>
    <w:rsid w:val="00BE764C"/>
    <w:rsid w:val="00BE7789"/>
    <w:rsid w:val="00BF0C70"/>
    <w:rsid w:val="00BF13D5"/>
    <w:rsid w:val="00BF1D62"/>
    <w:rsid w:val="00BF2B22"/>
    <w:rsid w:val="00BF517C"/>
    <w:rsid w:val="00BF54EA"/>
    <w:rsid w:val="00BF668F"/>
    <w:rsid w:val="00BF7814"/>
    <w:rsid w:val="00BF7F7F"/>
    <w:rsid w:val="00C036D3"/>
    <w:rsid w:val="00C046D1"/>
    <w:rsid w:val="00C05458"/>
    <w:rsid w:val="00C0784F"/>
    <w:rsid w:val="00C10BA0"/>
    <w:rsid w:val="00C11CB4"/>
    <w:rsid w:val="00C11E3D"/>
    <w:rsid w:val="00C138BB"/>
    <w:rsid w:val="00C1516E"/>
    <w:rsid w:val="00C15EF6"/>
    <w:rsid w:val="00C164A2"/>
    <w:rsid w:val="00C16C2D"/>
    <w:rsid w:val="00C1751C"/>
    <w:rsid w:val="00C17A21"/>
    <w:rsid w:val="00C21651"/>
    <w:rsid w:val="00C21FA8"/>
    <w:rsid w:val="00C22633"/>
    <w:rsid w:val="00C24707"/>
    <w:rsid w:val="00C24DF0"/>
    <w:rsid w:val="00C259E9"/>
    <w:rsid w:val="00C26062"/>
    <w:rsid w:val="00C30B15"/>
    <w:rsid w:val="00C31158"/>
    <w:rsid w:val="00C317C8"/>
    <w:rsid w:val="00C32431"/>
    <w:rsid w:val="00C32E68"/>
    <w:rsid w:val="00C33A33"/>
    <w:rsid w:val="00C33D02"/>
    <w:rsid w:val="00C35328"/>
    <w:rsid w:val="00C35EFE"/>
    <w:rsid w:val="00C37EF8"/>
    <w:rsid w:val="00C4046D"/>
    <w:rsid w:val="00C43DCD"/>
    <w:rsid w:val="00C444E3"/>
    <w:rsid w:val="00C46114"/>
    <w:rsid w:val="00C47FA3"/>
    <w:rsid w:val="00C50C68"/>
    <w:rsid w:val="00C52257"/>
    <w:rsid w:val="00C538BA"/>
    <w:rsid w:val="00C53953"/>
    <w:rsid w:val="00C54FF6"/>
    <w:rsid w:val="00C55211"/>
    <w:rsid w:val="00C55AFD"/>
    <w:rsid w:val="00C56C88"/>
    <w:rsid w:val="00C56D72"/>
    <w:rsid w:val="00C571D0"/>
    <w:rsid w:val="00C60241"/>
    <w:rsid w:val="00C6167C"/>
    <w:rsid w:val="00C61E68"/>
    <w:rsid w:val="00C6343F"/>
    <w:rsid w:val="00C64396"/>
    <w:rsid w:val="00C64708"/>
    <w:rsid w:val="00C6525D"/>
    <w:rsid w:val="00C66560"/>
    <w:rsid w:val="00C66C77"/>
    <w:rsid w:val="00C6745A"/>
    <w:rsid w:val="00C70AA7"/>
    <w:rsid w:val="00C7310A"/>
    <w:rsid w:val="00C7357E"/>
    <w:rsid w:val="00C73D49"/>
    <w:rsid w:val="00C741E2"/>
    <w:rsid w:val="00C7421A"/>
    <w:rsid w:val="00C75A26"/>
    <w:rsid w:val="00C75C00"/>
    <w:rsid w:val="00C75C87"/>
    <w:rsid w:val="00C80556"/>
    <w:rsid w:val="00C80AEE"/>
    <w:rsid w:val="00C80D5B"/>
    <w:rsid w:val="00C825E4"/>
    <w:rsid w:val="00C82BE0"/>
    <w:rsid w:val="00C839C0"/>
    <w:rsid w:val="00C83EAC"/>
    <w:rsid w:val="00C855DD"/>
    <w:rsid w:val="00C85796"/>
    <w:rsid w:val="00C857B4"/>
    <w:rsid w:val="00C87A05"/>
    <w:rsid w:val="00C907D0"/>
    <w:rsid w:val="00C90C74"/>
    <w:rsid w:val="00C92C89"/>
    <w:rsid w:val="00C9309F"/>
    <w:rsid w:val="00C93A96"/>
    <w:rsid w:val="00C93BC8"/>
    <w:rsid w:val="00C94241"/>
    <w:rsid w:val="00C942E7"/>
    <w:rsid w:val="00C94431"/>
    <w:rsid w:val="00C96EE3"/>
    <w:rsid w:val="00C976BF"/>
    <w:rsid w:val="00CA025F"/>
    <w:rsid w:val="00CA1AF4"/>
    <w:rsid w:val="00CA26C4"/>
    <w:rsid w:val="00CA2923"/>
    <w:rsid w:val="00CA3581"/>
    <w:rsid w:val="00CA4558"/>
    <w:rsid w:val="00CA485C"/>
    <w:rsid w:val="00CA4EF5"/>
    <w:rsid w:val="00CA507D"/>
    <w:rsid w:val="00CA61FA"/>
    <w:rsid w:val="00CA68B7"/>
    <w:rsid w:val="00CA7592"/>
    <w:rsid w:val="00CB0BC5"/>
    <w:rsid w:val="00CB1A0D"/>
    <w:rsid w:val="00CB1ECE"/>
    <w:rsid w:val="00CB643D"/>
    <w:rsid w:val="00CB6954"/>
    <w:rsid w:val="00CB6D35"/>
    <w:rsid w:val="00CB6E2E"/>
    <w:rsid w:val="00CB7EE2"/>
    <w:rsid w:val="00CB7F5D"/>
    <w:rsid w:val="00CC03ED"/>
    <w:rsid w:val="00CC142C"/>
    <w:rsid w:val="00CC1A1A"/>
    <w:rsid w:val="00CC1C17"/>
    <w:rsid w:val="00CC2085"/>
    <w:rsid w:val="00CC3700"/>
    <w:rsid w:val="00CC456E"/>
    <w:rsid w:val="00CC4CF5"/>
    <w:rsid w:val="00CC5176"/>
    <w:rsid w:val="00CC5816"/>
    <w:rsid w:val="00CC6869"/>
    <w:rsid w:val="00CD05B8"/>
    <w:rsid w:val="00CD0981"/>
    <w:rsid w:val="00CD2891"/>
    <w:rsid w:val="00CD411D"/>
    <w:rsid w:val="00CD4C90"/>
    <w:rsid w:val="00CD4D1E"/>
    <w:rsid w:val="00CD567E"/>
    <w:rsid w:val="00CE1453"/>
    <w:rsid w:val="00CE188F"/>
    <w:rsid w:val="00CE2786"/>
    <w:rsid w:val="00CE2A83"/>
    <w:rsid w:val="00CE2D86"/>
    <w:rsid w:val="00CE2FEF"/>
    <w:rsid w:val="00CE50B5"/>
    <w:rsid w:val="00CE539E"/>
    <w:rsid w:val="00CE5FD6"/>
    <w:rsid w:val="00CF0B81"/>
    <w:rsid w:val="00CF0E2C"/>
    <w:rsid w:val="00CF136F"/>
    <w:rsid w:val="00CF1D05"/>
    <w:rsid w:val="00CF3261"/>
    <w:rsid w:val="00CF595E"/>
    <w:rsid w:val="00CF5D17"/>
    <w:rsid w:val="00CF6186"/>
    <w:rsid w:val="00CF6EF7"/>
    <w:rsid w:val="00CF7097"/>
    <w:rsid w:val="00D01D0B"/>
    <w:rsid w:val="00D03472"/>
    <w:rsid w:val="00D05473"/>
    <w:rsid w:val="00D058DA"/>
    <w:rsid w:val="00D11DA9"/>
    <w:rsid w:val="00D1251D"/>
    <w:rsid w:val="00D12AD2"/>
    <w:rsid w:val="00D13160"/>
    <w:rsid w:val="00D13AC1"/>
    <w:rsid w:val="00D13E54"/>
    <w:rsid w:val="00D14144"/>
    <w:rsid w:val="00D1486B"/>
    <w:rsid w:val="00D20D94"/>
    <w:rsid w:val="00D20FB7"/>
    <w:rsid w:val="00D218DD"/>
    <w:rsid w:val="00D21CF2"/>
    <w:rsid w:val="00D227DD"/>
    <w:rsid w:val="00D238BA"/>
    <w:rsid w:val="00D249F8"/>
    <w:rsid w:val="00D255AD"/>
    <w:rsid w:val="00D25A73"/>
    <w:rsid w:val="00D26123"/>
    <w:rsid w:val="00D27316"/>
    <w:rsid w:val="00D27F23"/>
    <w:rsid w:val="00D30601"/>
    <w:rsid w:val="00D30ABD"/>
    <w:rsid w:val="00D31BDB"/>
    <w:rsid w:val="00D3256F"/>
    <w:rsid w:val="00D33B29"/>
    <w:rsid w:val="00D34B88"/>
    <w:rsid w:val="00D365E0"/>
    <w:rsid w:val="00D37CBA"/>
    <w:rsid w:val="00D400A5"/>
    <w:rsid w:val="00D40808"/>
    <w:rsid w:val="00D40C59"/>
    <w:rsid w:val="00D419D9"/>
    <w:rsid w:val="00D42526"/>
    <w:rsid w:val="00D4262D"/>
    <w:rsid w:val="00D431E9"/>
    <w:rsid w:val="00D432D3"/>
    <w:rsid w:val="00D43B4E"/>
    <w:rsid w:val="00D45E50"/>
    <w:rsid w:val="00D46A7D"/>
    <w:rsid w:val="00D46F17"/>
    <w:rsid w:val="00D47B97"/>
    <w:rsid w:val="00D47D4B"/>
    <w:rsid w:val="00D503EE"/>
    <w:rsid w:val="00D504DB"/>
    <w:rsid w:val="00D511CA"/>
    <w:rsid w:val="00D511EE"/>
    <w:rsid w:val="00D51D73"/>
    <w:rsid w:val="00D526C6"/>
    <w:rsid w:val="00D53663"/>
    <w:rsid w:val="00D5383A"/>
    <w:rsid w:val="00D53B58"/>
    <w:rsid w:val="00D552C5"/>
    <w:rsid w:val="00D5642E"/>
    <w:rsid w:val="00D570D1"/>
    <w:rsid w:val="00D57F0B"/>
    <w:rsid w:val="00D601B6"/>
    <w:rsid w:val="00D60593"/>
    <w:rsid w:val="00D613CF"/>
    <w:rsid w:val="00D64AAD"/>
    <w:rsid w:val="00D65741"/>
    <w:rsid w:val="00D65CC6"/>
    <w:rsid w:val="00D65D1F"/>
    <w:rsid w:val="00D67C7A"/>
    <w:rsid w:val="00D67F5B"/>
    <w:rsid w:val="00D71E0A"/>
    <w:rsid w:val="00D74906"/>
    <w:rsid w:val="00D74D5B"/>
    <w:rsid w:val="00D7718E"/>
    <w:rsid w:val="00D77A8A"/>
    <w:rsid w:val="00D77AF3"/>
    <w:rsid w:val="00D805E2"/>
    <w:rsid w:val="00D83D23"/>
    <w:rsid w:val="00D858DC"/>
    <w:rsid w:val="00D85BB0"/>
    <w:rsid w:val="00D86964"/>
    <w:rsid w:val="00D86FDE"/>
    <w:rsid w:val="00D90565"/>
    <w:rsid w:val="00D91C4F"/>
    <w:rsid w:val="00D91FB4"/>
    <w:rsid w:val="00D933EC"/>
    <w:rsid w:val="00D93925"/>
    <w:rsid w:val="00D949D2"/>
    <w:rsid w:val="00D94B31"/>
    <w:rsid w:val="00D94DB8"/>
    <w:rsid w:val="00D955B7"/>
    <w:rsid w:val="00D95658"/>
    <w:rsid w:val="00DA0E60"/>
    <w:rsid w:val="00DA0EB6"/>
    <w:rsid w:val="00DA2885"/>
    <w:rsid w:val="00DA2BC8"/>
    <w:rsid w:val="00DA35D6"/>
    <w:rsid w:val="00DA53AD"/>
    <w:rsid w:val="00DA65F9"/>
    <w:rsid w:val="00DA7EB9"/>
    <w:rsid w:val="00DA7ECF"/>
    <w:rsid w:val="00DB0613"/>
    <w:rsid w:val="00DB2E70"/>
    <w:rsid w:val="00DB494F"/>
    <w:rsid w:val="00DB4ECC"/>
    <w:rsid w:val="00DB66B8"/>
    <w:rsid w:val="00DB6709"/>
    <w:rsid w:val="00DC0190"/>
    <w:rsid w:val="00DC1B1E"/>
    <w:rsid w:val="00DC5657"/>
    <w:rsid w:val="00DC58A5"/>
    <w:rsid w:val="00DC5A47"/>
    <w:rsid w:val="00DC73F9"/>
    <w:rsid w:val="00DD07F2"/>
    <w:rsid w:val="00DD2AB4"/>
    <w:rsid w:val="00DD587D"/>
    <w:rsid w:val="00DD668F"/>
    <w:rsid w:val="00DD681B"/>
    <w:rsid w:val="00DD76E8"/>
    <w:rsid w:val="00DE047D"/>
    <w:rsid w:val="00DE0AFA"/>
    <w:rsid w:val="00DE19BB"/>
    <w:rsid w:val="00DE1AB9"/>
    <w:rsid w:val="00DE28C6"/>
    <w:rsid w:val="00DE3430"/>
    <w:rsid w:val="00DE5CDC"/>
    <w:rsid w:val="00DE613E"/>
    <w:rsid w:val="00DE6209"/>
    <w:rsid w:val="00DE6886"/>
    <w:rsid w:val="00DF0B8C"/>
    <w:rsid w:val="00DF13B0"/>
    <w:rsid w:val="00DF19E6"/>
    <w:rsid w:val="00DF1A82"/>
    <w:rsid w:val="00DF29EB"/>
    <w:rsid w:val="00DF419D"/>
    <w:rsid w:val="00DF5876"/>
    <w:rsid w:val="00DF5E67"/>
    <w:rsid w:val="00DF6C2D"/>
    <w:rsid w:val="00DF6F89"/>
    <w:rsid w:val="00E00915"/>
    <w:rsid w:val="00E022D8"/>
    <w:rsid w:val="00E03D21"/>
    <w:rsid w:val="00E052C4"/>
    <w:rsid w:val="00E054F8"/>
    <w:rsid w:val="00E0559D"/>
    <w:rsid w:val="00E064E3"/>
    <w:rsid w:val="00E07B1A"/>
    <w:rsid w:val="00E10380"/>
    <w:rsid w:val="00E115C7"/>
    <w:rsid w:val="00E13B18"/>
    <w:rsid w:val="00E14811"/>
    <w:rsid w:val="00E15024"/>
    <w:rsid w:val="00E15378"/>
    <w:rsid w:val="00E17AD9"/>
    <w:rsid w:val="00E17D02"/>
    <w:rsid w:val="00E202F9"/>
    <w:rsid w:val="00E2150B"/>
    <w:rsid w:val="00E226F1"/>
    <w:rsid w:val="00E228BE"/>
    <w:rsid w:val="00E22B38"/>
    <w:rsid w:val="00E237B7"/>
    <w:rsid w:val="00E237EB"/>
    <w:rsid w:val="00E23ED6"/>
    <w:rsid w:val="00E24320"/>
    <w:rsid w:val="00E25E61"/>
    <w:rsid w:val="00E25F97"/>
    <w:rsid w:val="00E26CB0"/>
    <w:rsid w:val="00E2747F"/>
    <w:rsid w:val="00E27C25"/>
    <w:rsid w:val="00E3061A"/>
    <w:rsid w:val="00E31C53"/>
    <w:rsid w:val="00E31F0C"/>
    <w:rsid w:val="00E332E9"/>
    <w:rsid w:val="00E33C5A"/>
    <w:rsid w:val="00E3529F"/>
    <w:rsid w:val="00E36F0D"/>
    <w:rsid w:val="00E42039"/>
    <w:rsid w:val="00E42A2A"/>
    <w:rsid w:val="00E42C25"/>
    <w:rsid w:val="00E45F41"/>
    <w:rsid w:val="00E464E5"/>
    <w:rsid w:val="00E50AC5"/>
    <w:rsid w:val="00E51089"/>
    <w:rsid w:val="00E517FD"/>
    <w:rsid w:val="00E5343A"/>
    <w:rsid w:val="00E5440F"/>
    <w:rsid w:val="00E556E7"/>
    <w:rsid w:val="00E5783D"/>
    <w:rsid w:val="00E57BB1"/>
    <w:rsid w:val="00E63ED5"/>
    <w:rsid w:val="00E64251"/>
    <w:rsid w:val="00E64974"/>
    <w:rsid w:val="00E6610B"/>
    <w:rsid w:val="00E667D7"/>
    <w:rsid w:val="00E66E5E"/>
    <w:rsid w:val="00E678E1"/>
    <w:rsid w:val="00E71545"/>
    <w:rsid w:val="00E71804"/>
    <w:rsid w:val="00E73443"/>
    <w:rsid w:val="00E74190"/>
    <w:rsid w:val="00E749B5"/>
    <w:rsid w:val="00E75150"/>
    <w:rsid w:val="00E75D26"/>
    <w:rsid w:val="00E7739C"/>
    <w:rsid w:val="00E81D63"/>
    <w:rsid w:val="00E8787E"/>
    <w:rsid w:val="00E901B4"/>
    <w:rsid w:val="00E902FB"/>
    <w:rsid w:val="00E905BE"/>
    <w:rsid w:val="00E92955"/>
    <w:rsid w:val="00E92D47"/>
    <w:rsid w:val="00E933E2"/>
    <w:rsid w:val="00E94439"/>
    <w:rsid w:val="00E94F32"/>
    <w:rsid w:val="00E95CE1"/>
    <w:rsid w:val="00E967DA"/>
    <w:rsid w:val="00E96B92"/>
    <w:rsid w:val="00E96BEB"/>
    <w:rsid w:val="00E96F90"/>
    <w:rsid w:val="00E9720D"/>
    <w:rsid w:val="00EA0569"/>
    <w:rsid w:val="00EA0BD0"/>
    <w:rsid w:val="00EA0EDE"/>
    <w:rsid w:val="00EA1A58"/>
    <w:rsid w:val="00EA1FE0"/>
    <w:rsid w:val="00EA584F"/>
    <w:rsid w:val="00EA6E6B"/>
    <w:rsid w:val="00EA7870"/>
    <w:rsid w:val="00EA7BCF"/>
    <w:rsid w:val="00EB1330"/>
    <w:rsid w:val="00EB1F5F"/>
    <w:rsid w:val="00EB1FDF"/>
    <w:rsid w:val="00EB20A9"/>
    <w:rsid w:val="00EB26DE"/>
    <w:rsid w:val="00EB3518"/>
    <w:rsid w:val="00EB4CF8"/>
    <w:rsid w:val="00EB4FC0"/>
    <w:rsid w:val="00EB5268"/>
    <w:rsid w:val="00EB624F"/>
    <w:rsid w:val="00EB636E"/>
    <w:rsid w:val="00EB673C"/>
    <w:rsid w:val="00EB6F13"/>
    <w:rsid w:val="00EC40FE"/>
    <w:rsid w:val="00EC5742"/>
    <w:rsid w:val="00EC6B78"/>
    <w:rsid w:val="00EC7A14"/>
    <w:rsid w:val="00ED0A9C"/>
    <w:rsid w:val="00ED1479"/>
    <w:rsid w:val="00ED1D59"/>
    <w:rsid w:val="00ED1F90"/>
    <w:rsid w:val="00ED366A"/>
    <w:rsid w:val="00ED37D3"/>
    <w:rsid w:val="00ED4AA1"/>
    <w:rsid w:val="00ED52B7"/>
    <w:rsid w:val="00EE119E"/>
    <w:rsid w:val="00EE1499"/>
    <w:rsid w:val="00EE1C0E"/>
    <w:rsid w:val="00EE2F20"/>
    <w:rsid w:val="00EE31BA"/>
    <w:rsid w:val="00EE353E"/>
    <w:rsid w:val="00EE3741"/>
    <w:rsid w:val="00EE439F"/>
    <w:rsid w:val="00EE5E66"/>
    <w:rsid w:val="00EE7F02"/>
    <w:rsid w:val="00EF0F53"/>
    <w:rsid w:val="00EF1810"/>
    <w:rsid w:val="00EF2015"/>
    <w:rsid w:val="00EF2CF3"/>
    <w:rsid w:val="00EF4158"/>
    <w:rsid w:val="00EF4654"/>
    <w:rsid w:val="00EF4C56"/>
    <w:rsid w:val="00EF552D"/>
    <w:rsid w:val="00EF59B3"/>
    <w:rsid w:val="00EF6A33"/>
    <w:rsid w:val="00F017DD"/>
    <w:rsid w:val="00F02B90"/>
    <w:rsid w:val="00F02FBE"/>
    <w:rsid w:val="00F03C99"/>
    <w:rsid w:val="00F03FD7"/>
    <w:rsid w:val="00F044DF"/>
    <w:rsid w:val="00F051B2"/>
    <w:rsid w:val="00F0676A"/>
    <w:rsid w:val="00F074CE"/>
    <w:rsid w:val="00F07F00"/>
    <w:rsid w:val="00F110C3"/>
    <w:rsid w:val="00F11543"/>
    <w:rsid w:val="00F13B54"/>
    <w:rsid w:val="00F14B37"/>
    <w:rsid w:val="00F15139"/>
    <w:rsid w:val="00F15B50"/>
    <w:rsid w:val="00F1656A"/>
    <w:rsid w:val="00F17645"/>
    <w:rsid w:val="00F205EC"/>
    <w:rsid w:val="00F20791"/>
    <w:rsid w:val="00F20FBA"/>
    <w:rsid w:val="00F23176"/>
    <w:rsid w:val="00F25DD2"/>
    <w:rsid w:val="00F25E6F"/>
    <w:rsid w:val="00F2648C"/>
    <w:rsid w:val="00F30D03"/>
    <w:rsid w:val="00F30F17"/>
    <w:rsid w:val="00F31667"/>
    <w:rsid w:val="00F32C54"/>
    <w:rsid w:val="00F33D52"/>
    <w:rsid w:val="00F34BF8"/>
    <w:rsid w:val="00F405A1"/>
    <w:rsid w:val="00F412C0"/>
    <w:rsid w:val="00F418F4"/>
    <w:rsid w:val="00F41E5F"/>
    <w:rsid w:val="00F42A68"/>
    <w:rsid w:val="00F42D28"/>
    <w:rsid w:val="00F446C0"/>
    <w:rsid w:val="00F44D34"/>
    <w:rsid w:val="00F44D9D"/>
    <w:rsid w:val="00F458A2"/>
    <w:rsid w:val="00F46265"/>
    <w:rsid w:val="00F46F89"/>
    <w:rsid w:val="00F4740E"/>
    <w:rsid w:val="00F47458"/>
    <w:rsid w:val="00F47992"/>
    <w:rsid w:val="00F51DB5"/>
    <w:rsid w:val="00F528F7"/>
    <w:rsid w:val="00F531D2"/>
    <w:rsid w:val="00F532AE"/>
    <w:rsid w:val="00F55301"/>
    <w:rsid w:val="00F55A6B"/>
    <w:rsid w:val="00F5670C"/>
    <w:rsid w:val="00F601BD"/>
    <w:rsid w:val="00F60A9E"/>
    <w:rsid w:val="00F625F5"/>
    <w:rsid w:val="00F62686"/>
    <w:rsid w:val="00F62ACB"/>
    <w:rsid w:val="00F63E0A"/>
    <w:rsid w:val="00F640D8"/>
    <w:rsid w:val="00F65A1D"/>
    <w:rsid w:val="00F66813"/>
    <w:rsid w:val="00F6769F"/>
    <w:rsid w:val="00F67E40"/>
    <w:rsid w:val="00F70A1A"/>
    <w:rsid w:val="00F70D64"/>
    <w:rsid w:val="00F718AB"/>
    <w:rsid w:val="00F723AB"/>
    <w:rsid w:val="00F75AF1"/>
    <w:rsid w:val="00F75CFE"/>
    <w:rsid w:val="00F76558"/>
    <w:rsid w:val="00F77202"/>
    <w:rsid w:val="00F80CA9"/>
    <w:rsid w:val="00F82418"/>
    <w:rsid w:val="00F83DE0"/>
    <w:rsid w:val="00F83F6A"/>
    <w:rsid w:val="00F8498C"/>
    <w:rsid w:val="00F86753"/>
    <w:rsid w:val="00F86A96"/>
    <w:rsid w:val="00F91533"/>
    <w:rsid w:val="00F91F2E"/>
    <w:rsid w:val="00F9261F"/>
    <w:rsid w:val="00F93BA6"/>
    <w:rsid w:val="00F9462B"/>
    <w:rsid w:val="00F94EC7"/>
    <w:rsid w:val="00F9593C"/>
    <w:rsid w:val="00F95C40"/>
    <w:rsid w:val="00F95E5C"/>
    <w:rsid w:val="00F96327"/>
    <w:rsid w:val="00FA0117"/>
    <w:rsid w:val="00FA4CEB"/>
    <w:rsid w:val="00FA51DD"/>
    <w:rsid w:val="00FA7EA3"/>
    <w:rsid w:val="00FB11A3"/>
    <w:rsid w:val="00FB18E7"/>
    <w:rsid w:val="00FB1BD6"/>
    <w:rsid w:val="00FB1EAC"/>
    <w:rsid w:val="00FB2AFF"/>
    <w:rsid w:val="00FB43D2"/>
    <w:rsid w:val="00FB4BEF"/>
    <w:rsid w:val="00FB4CD7"/>
    <w:rsid w:val="00FB4DB1"/>
    <w:rsid w:val="00FB50E0"/>
    <w:rsid w:val="00FB581E"/>
    <w:rsid w:val="00FC051A"/>
    <w:rsid w:val="00FC12E4"/>
    <w:rsid w:val="00FC13AD"/>
    <w:rsid w:val="00FC32A3"/>
    <w:rsid w:val="00FC32D3"/>
    <w:rsid w:val="00FC3766"/>
    <w:rsid w:val="00FC3B98"/>
    <w:rsid w:val="00FC4098"/>
    <w:rsid w:val="00FC4A44"/>
    <w:rsid w:val="00FC5A10"/>
    <w:rsid w:val="00FC63EA"/>
    <w:rsid w:val="00FC6BB2"/>
    <w:rsid w:val="00FC77B5"/>
    <w:rsid w:val="00FC7AD2"/>
    <w:rsid w:val="00FD0C92"/>
    <w:rsid w:val="00FD43B0"/>
    <w:rsid w:val="00FD4676"/>
    <w:rsid w:val="00FD6126"/>
    <w:rsid w:val="00FD73EE"/>
    <w:rsid w:val="00FD7738"/>
    <w:rsid w:val="00FD7AD1"/>
    <w:rsid w:val="00FE1E08"/>
    <w:rsid w:val="00FE2128"/>
    <w:rsid w:val="00FE2353"/>
    <w:rsid w:val="00FE2641"/>
    <w:rsid w:val="00FE2B18"/>
    <w:rsid w:val="00FE4F02"/>
    <w:rsid w:val="00FE6C34"/>
    <w:rsid w:val="00FE6F70"/>
    <w:rsid w:val="00FE703F"/>
    <w:rsid w:val="00FE72DD"/>
    <w:rsid w:val="00FE76E7"/>
    <w:rsid w:val="00FE7DEB"/>
    <w:rsid w:val="00FF00EC"/>
    <w:rsid w:val="00FF03D3"/>
    <w:rsid w:val="00FF040A"/>
    <w:rsid w:val="00FF0E86"/>
    <w:rsid w:val="00FF126E"/>
    <w:rsid w:val="00FF2695"/>
    <w:rsid w:val="00FF306C"/>
    <w:rsid w:val="00FF3F48"/>
    <w:rsid w:val="00FF4030"/>
    <w:rsid w:val="00FF443A"/>
    <w:rsid w:val="00FF6455"/>
    <w:rsid w:val="00FF6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First Indent"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E95"/>
    <w:rPr>
      <w:rFonts w:ascii="Times" w:eastAsia="Times New Roman" w:hAnsi="Times" w:cs="Times New Roman"/>
      <w:sz w:val="24"/>
    </w:rPr>
  </w:style>
  <w:style w:type="paragraph" w:styleId="Heading1">
    <w:name w:val="heading 1"/>
    <w:basedOn w:val="Normal"/>
    <w:next w:val="Normal"/>
    <w:link w:val="Heading1Char"/>
    <w:uiPriority w:val="9"/>
    <w:unhideWhenUsed/>
    <w:qFormat/>
    <w:rsid w:val="00850E9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50E95"/>
    <w:pPr>
      <w:keepNext/>
      <w:outlineLvl w:val="1"/>
    </w:pPr>
    <w:rPr>
      <w:rFonts w:ascii="Arial" w:hAnsi="Arial"/>
      <w:b/>
      <w:color w:val="000000"/>
      <w:sz w:val="28"/>
    </w:rPr>
  </w:style>
  <w:style w:type="paragraph" w:styleId="Heading3">
    <w:name w:val="heading 3"/>
    <w:basedOn w:val="Normal"/>
    <w:next w:val="Normal"/>
    <w:link w:val="Heading3Char"/>
    <w:uiPriority w:val="9"/>
    <w:qFormat/>
    <w:rsid w:val="00850E95"/>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850E95"/>
    <w:pPr>
      <w:keepNext/>
      <w:tabs>
        <w:tab w:val="right" w:pos="9180"/>
      </w:tabs>
      <w:outlineLvl w:val="3"/>
    </w:pPr>
    <w:rPr>
      <w:sz w:val="28"/>
      <w:szCs w:val="28"/>
    </w:rPr>
  </w:style>
  <w:style w:type="paragraph" w:styleId="Heading5">
    <w:name w:val="heading 5"/>
    <w:basedOn w:val="Normal"/>
    <w:next w:val="Normal"/>
    <w:link w:val="Heading5Char"/>
    <w:uiPriority w:val="99"/>
    <w:qFormat/>
    <w:rsid w:val="00850E95"/>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9"/>
    <w:qFormat/>
    <w:rsid w:val="00850E95"/>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9"/>
    <w:qFormat/>
    <w:rsid w:val="00850E95"/>
    <w:pPr>
      <w:keepNext/>
      <w:tabs>
        <w:tab w:val="left" w:pos="5400"/>
      </w:tabs>
      <w:ind w:left="2160"/>
      <w:outlineLvl w:val="6"/>
    </w:pPr>
    <w:rPr>
      <w:b/>
      <w:sz w:val="28"/>
    </w:rPr>
  </w:style>
  <w:style w:type="paragraph" w:styleId="Heading8">
    <w:name w:val="heading 8"/>
    <w:basedOn w:val="Normal"/>
    <w:next w:val="Normal"/>
    <w:link w:val="Heading8Char"/>
    <w:uiPriority w:val="99"/>
    <w:qFormat/>
    <w:rsid w:val="00850E95"/>
    <w:pPr>
      <w:keepNext/>
      <w:jc w:val="center"/>
      <w:outlineLvl w:val="7"/>
    </w:pPr>
    <w:rPr>
      <w:b/>
      <w:sz w:val="36"/>
    </w:rPr>
  </w:style>
  <w:style w:type="paragraph" w:styleId="Heading9">
    <w:name w:val="heading 9"/>
    <w:basedOn w:val="Normal"/>
    <w:next w:val="Normal"/>
    <w:link w:val="Heading9Char"/>
    <w:uiPriority w:val="99"/>
    <w:qFormat/>
    <w:rsid w:val="00850E95"/>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9">
    <w:name w:val="A9"/>
    <w:uiPriority w:val="99"/>
    <w:rsid w:val="00850E95"/>
    <w:rPr>
      <w:rFonts w:cs="Garamond BE Regular"/>
      <w:color w:val="000000"/>
      <w:sz w:val="19"/>
      <w:szCs w:val="19"/>
    </w:rPr>
  </w:style>
  <w:style w:type="table" w:styleId="TableGrid">
    <w:name w:val="Table Grid"/>
    <w:basedOn w:val="TableNormal"/>
    <w:uiPriority w:val="59"/>
    <w:rsid w:val="00850E9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850E9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850E95"/>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850E95"/>
    <w:rPr>
      <w:rFonts w:ascii="Arial" w:eastAsia="Times New Roman" w:hAnsi="Arial" w:cs="Times New Roman"/>
      <w:sz w:val="19"/>
      <w:shd w:val="clear" w:color="auto" w:fill="FFFFFF"/>
    </w:rPr>
  </w:style>
  <w:style w:type="paragraph" w:customStyle="1" w:styleId="background">
    <w:name w:val="background"/>
    <w:basedOn w:val="KQstem"/>
    <w:link w:val="backgroundChar"/>
    <w:rsid w:val="00850E95"/>
    <w:pPr>
      <w:ind w:left="0" w:firstLine="360"/>
    </w:pPr>
  </w:style>
  <w:style w:type="character" w:customStyle="1" w:styleId="backgroundChar">
    <w:name w:val="background Char"/>
    <w:basedOn w:val="KQstemChar"/>
    <w:link w:val="background"/>
    <w:locked/>
    <w:rsid w:val="00850E95"/>
    <w:rPr>
      <w:rFonts w:ascii="Arial" w:eastAsia="Times New Roman" w:hAnsi="Arial" w:cs="Times New Roman"/>
      <w:sz w:val="19"/>
      <w:shd w:val="clear" w:color="auto" w:fill="FFFFFF"/>
    </w:rPr>
  </w:style>
  <w:style w:type="paragraph" w:styleId="BalloonText">
    <w:name w:val="Balloon Text"/>
    <w:basedOn w:val="Normal"/>
    <w:link w:val="BalloonTextChar"/>
    <w:uiPriority w:val="99"/>
    <w:semiHidden/>
    <w:unhideWhenUsed/>
    <w:rsid w:val="00850E95"/>
    <w:rPr>
      <w:rFonts w:ascii="Tahoma" w:hAnsi="Tahoma" w:cs="Tahoma"/>
      <w:sz w:val="16"/>
      <w:szCs w:val="16"/>
    </w:rPr>
  </w:style>
  <w:style w:type="character" w:customStyle="1" w:styleId="BalloonTextChar">
    <w:name w:val="Balloon Text Char"/>
    <w:basedOn w:val="DefaultParagraphFont"/>
    <w:link w:val="BalloonText"/>
    <w:uiPriority w:val="99"/>
    <w:semiHidden/>
    <w:rsid w:val="00850E95"/>
    <w:rPr>
      <w:rFonts w:ascii="Tahoma" w:eastAsia="Times New Roman" w:hAnsi="Tahoma" w:cs="Tahoma"/>
      <w:sz w:val="16"/>
      <w:szCs w:val="16"/>
    </w:rPr>
  </w:style>
  <w:style w:type="paragraph" w:styleId="BodyText">
    <w:name w:val="Body Text"/>
    <w:basedOn w:val="Normal"/>
    <w:link w:val="BodyTextChar"/>
    <w:uiPriority w:val="99"/>
    <w:semiHidden/>
    <w:unhideWhenUsed/>
    <w:rsid w:val="00850E95"/>
    <w:pPr>
      <w:spacing w:after="120"/>
    </w:pPr>
  </w:style>
  <w:style w:type="character" w:customStyle="1" w:styleId="BodyTextChar">
    <w:name w:val="Body Text Char"/>
    <w:link w:val="BodyText"/>
    <w:uiPriority w:val="99"/>
    <w:semiHidden/>
    <w:rsid w:val="00850E95"/>
    <w:rPr>
      <w:rFonts w:ascii="Times" w:eastAsia="Times New Roman" w:hAnsi="Times" w:cs="Times New Roman"/>
      <w:sz w:val="24"/>
    </w:rPr>
  </w:style>
  <w:style w:type="paragraph" w:styleId="BodyTextFirstIndent">
    <w:name w:val="Body Text First Indent"/>
    <w:basedOn w:val="BodyText"/>
    <w:link w:val="BodyTextFirstIndentChar"/>
    <w:rsid w:val="00850E95"/>
    <w:pPr>
      <w:ind w:firstLine="360"/>
    </w:pPr>
    <w:rPr>
      <w:rFonts w:eastAsia="Times"/>
    </w:rPr>
  </w:style>
  <w:style w:type="character" w:customStyle="1" w:styleId="BodyTextFirstIndentChar">
    <w:name w:val="Body Text First Indent Char"/>
    <w:link w:val="BodyTextFirstIndent"/>
    <w:rsid w:val="00850E95"/>
    <w:rPr>
      <w:rFonts w:ascii="Times" w:eastAsia="Times" w:hAnsi="Times" w:cs="Times New Roman"/>
      <w:sz w:val="24"/>
    </w:rPr>
  </w:style>
  <w:style w:type="paragraph" w:customStyle="1" w:styleId="BodyText0">
    <w:name w:val="BodyText"/>
    <w:basedOn w:val="Normal"/>
    <w:link w:val="BodyTextChar0"/>
    <w:rsid w:val="00850E95"/>
    <w:pPr>
      <w:spacing w:after="120"/>
    </w:pPr>
    <w:rPr>
      <w:rFonts w:ascii="Times New Roman" w:hAnsi="Times New Roman"/>
      <w:szCs w:val="24"/>
    </w:rPr>
  </w:style>
  <w:style w:type="character" w:customStyle="1" w:styleId="BodyTextChar0">
    <w:name w:val="BodyText Char"/>
    <w:link w:val="BodyText0"/>
    <w:rsid w:val="00850E95"/>
    <w:rPr>
      <w:rFonts w:ascii="Times New Roman" w:eastAsia="Times New Roman" w:hAnsi="Times New Roman" w:cs="Times New Roman"/>
      <w:sz w:val="24"/>
      <w:szCs w:val="24"/>
    </w:rPr>
  </w:style>
  <w:style w:type="paragraph" w:customStyle="1" w:styleId="Bullet1">
    <w:name w:val="Bullet1"/>
    <w:qFormat/>
    <w:rsid w:val="00850E95"/>
    <w:pPr>
      <w:numPr>
        <w:numId w:val="6"/>
      </w:numPr>
    </w:pPr>
    <w:rPr>
      <w:rFonts w:ascii="Times New Roman" w:eastAsia="Times New Roman" w:hAnsi="Times New Roman" w:cs="Times New Roman"/>
      <w:bCs/>
      <w:sz w:val="24"/>
      <w:szCs w:val="24"/>
    </w:rPr>
  </w:style>
  <w:style w:type="paragraph" w:customStyle="1" w:styleId="Bullet2">
    <w:name w:val="Bullet2"/>
    <w:qFormat/>
    <w:rsid w:val="00850E95"/>
    <w:pPr>
      <w:numPr>
        <w:ilvl w:val="1"/>
        <w:numId w:val="6"/>
      </w:numPr>
    </w:pPr>
    <w:rPr>
      <w:rFonts w:ascii="Times New Roman" w:eastAsia="Times New Roman" w:hAnsi="Times New Roman" w:cs="Times New Roman"/>
      <w:bCs/>
      <w:sz w:val="24"/>
      <w:szCs w:val="24"/>
    </w:rPr>
  </w:style>
  <w:style w:type="paragraph" w:styleId="Caption">
    <w:name w:val="caption"/>
    <w:basedOn w:val="Normal"/>
    <w:next w:val="Normal"/>
    <w:uiPriority w:val="35"/>
    <w:qFormat/>
    <w:rsid w:val="00850E95"/>
    <w:rPr>
      <w:b/>
      <w:bCs/>
      <w:sz w:val="20"/>
    </w:rPr>
  </w:style>
  <w:style w:type="paragraph" w:customStyle="1" w:styleId="CERParagraphIndent">
    <w:name w:val="CER ParagraphIndent"/>
    <w:link w:val="CERParagraphIndentChar"/>
    <w:rsid w:val="00850E95"/>
    <w:pPr>
      <w:ind w:firstLine="360"/>
    </w:pPr>
    <w:rPr>
      <w:rFonts w:ascii="Times New Roman" w:eastAsia="Times New Roman" w:hAnsi="Times New Roman" w:cs="Times New Roman"/>
      <w:color w:val="000000"/>
      <w:sz w:val="24"/>
      <w:szCs w:val="24"/>
    </w:rPr>
  </w:style>
  <w:style w:type="character" w:customStyle="1" w:styleId="CERParagraphIndentChar">
    <w:name w:val="CER ParagraphIndent Char"/>
    <w:link w:val="CERParagraphIndent"/>
    <w:locked/>
    <w:rsid w:val="00850E95"/>
    <w:rPr>
      <w:rFonts w:ascii="Times New Roman" w:eastAsia="Times New Roman" w:hAnsi="Times New Roman" w:cs="Times New Roman"/>
      <w:color w:val="000000"/>
      <w:sz w:val="24"/>
      <w:szCs w:val="24"/>
    </w:rPr>
  </w:style>
  <w:style w:type="paragraph" w:customStyle="1" w:styleId="CERParagraphNoIndent">
    <w:name w:val="CER ParagraphNoIndent"/>
    <w:link w:val="CERParagraphNoIndentCharChar"/>
    <w:qFormat/>
    <w:rsid w:val="00850E95"/>
    <w:rPr>
      <w:rFonts w:ascii="Times New Roman" w:eastAsia="Times New Roman" w:hAnsi="Times New Roman" w:cs="Times New Roman"/>
      <w:bCs/>
      <w:sz w:val="24"/>
      <w:szCs w:val="24"/>
      <w:lang w:val="en-CA"/>
    </w:rPr>
  </w:style>
  <w:style w:type="character" w:customStyle="1" w:styleId="CERParagraphNoIndentCharChar">
    <w:name w:val="CER ParagraphNoIndent Char Char"/>
    <w:basedOn w:val="DefaultParagraphFont"/>
    <w:link w:val="CERParagraphNoIndent"/>
    <w:rsid w:val="00850E95"/>
    <w:rPr>
      <w:rFonts w:ascii="Times New Roman" w:eastAsia="Times New Roman" w:hAnsi="Times New Roman" w:cs="Times New Roman"/>
      <w:bCs/>
      <w:sz w:val="24"/>
      <w:szCs w:val="24"/>
      <w:lang w:val="en-CA"/>
    </w:rPr>
  </w:style>
  <w:style w:type="paragraph" w:customStyle="1" w:styleId="CERTableColumnHeading9pt">
    <w:name w:val="CER TableColumnHeading9pt"/>
    <w:link w:val="CERTableColumnHeading9ptChar"/>
    <w:uiPriority w:val="99"/>
    <w:rsid w:val="00850E95"/>
    <w:rPr>
      <w:rFonts w:ascii="Arial" w:hAnsi="Arial" w:cs="Times New Roman"/>
      <w:b/>
      <w:bCs/>
      <w:sz w:val="18"/>
      <w:szCs w:val="22"/>
    </w:rPr>
  </w:style>
  <w:style w:type="character" w:customStyle="1" w:styleId="CERTableColumnHeading9ptChar">
    <w:name w:val="CER TableColumnHeading9pt Char"/>
    <w:link w:val="CERTableColumnHeading9pt"/>
    <w:uiPriority w:val="99"/>
    <w:locked/>
    <w:rsid w:val="00850E95"/>
    <w:rPr>
      <w:rFonts w:ascii="Arial" w:hAnsi="Arial" w:cs="Times New Roman"/>
      <w:b/>
      <w:bCs/>
      <w:sz w:val="18"/>
      <w:szCs w:val="22"/>
    </w:rPr>
  </w:style>
  <w:style w:type="paragraph" w:customStyle="1" w:styleId="CERTableText9pt">
    <w:name w:val="CER TableText9pt"/>
    <w:uiPriority w:val="99"/>
    <w:rsid w:val="00850E95"/>
    <w:pPr>
      <w:spacing w:after="60"/>
    </w:pPr>
    <w:rPr>
      <w:rFonts w:ascii="Arial" w:eastAsia="Times New Roman" w:hAnsi="Arial" w:cs="Times New Roman"/>
      <w:sz w:val="18"/>
    </w:rPr>
  </w:style>
  <w:style w:type="paragraph" w:customStyle="1" w:styleId="ChapterHeading">
    <w:name w:val="ChapterHeading"/>
    <w:qFormat/>
    <w:rsid w:val="00850E95"/>
    <w:pPr>
      <w:keepNext/>
      <w:spacing w:after="60"/>
      <w:jc w:val="center"/>
      <w:outlineLvl w:val="0"/>
    </w:pPr>
    <w:rPr>
      <w:rFonts w:ascii="Arial" w:eastAsia="Times New Roman" w:hAnsi="Arial" w:cs="Times New Roman"/>
      <w:b/>
      <w:bCs/>
      <w:sz w:val="36"/>
      <w:szCs w:val="24"/>
    </w:rPr>
  </w:style>
  <w:style w:type="character" w:styleId="CommentReference">
    <w:name w:val="annotation reference"/>
    <w:basedOn w:val="DefaultParagraphFont"/>
    <w:semiHidden/>
    <w:rsid w:val="00850E95"/>
    <w:rPr>
      <w:sz w:val="16"/>
      <w:szCs w:val="16"/>
    </w:rPr>
  </w:style>
  <w:style w:type="paragraph" w:styleId="CommentText">
    <w:name w:val="annotation text"/>
    <w:basedOn w:val="Normal"/>
    <w:link w:val="CommentTextChar"/>
    <w:uiPriority w:val="99"/>
    <w:semiHidden/>
    <w:rsid w:val="00850E95"/>
    <w:pPr>
      <w:spacing w:before="240" w:after="60"/>
    </w:pPr>
    <w:rPr>
      <w:rFonts w:ascii="Calibri" w:eastAsia="Calibri" w:hAnsi="Calibri"/>
      <w:sz w:val="20"/>
    </w:rPr>
  </w:style>
  <w:style w:type="character" w:customStyle="1" w:styleId="CommentTextChar">
    <w:name w:val="Comment Text Char"/>
    <w:link w:val="CommentText"/>
    <w:uiPriority w:val="99"/>
    <w:semiHidden/>
    <w:rsid w:val="00850E95"/>
    <w:rPr>
      <w:rFonts w:cs="Times New Roman"/>
    </w:rPr>
  </w:style>
  <w:style w:type="paragraph" w:styleId="CommentSubject">
    <w:name w:val="annotation subject"/>
    <w:basedOn w:val="CommentText"/>
    <w:next w:val="CommentText"/>
    <w:link w:val="CommentSubjectChar"/>
    <w:uiPriority w:val="99"/>
    <w:semiHidden/>
    <w:rsid w:val="00850E95"/>
    <w:rPr>
      <w:b/>
      <w:bCs/>
    </w:rPr>
  </w:style>
  <w:style w:type="character" w:customStyle="1" w:styleId="CommentSubjectChar">
    <w:name w:val="Comment Subject Char"/>
    <w:link w:val="CommentSubject"/>
    <w:uiPriority w:val="99"/>
    <w:semiHidden/>
    <w:rsid w:val="00850E95"/>
    <w:rPr>
      <w:rFonts w:cs="Times New Roman"/>
      <w:b/>
      <w:bCs/>
    </w:rPr>
  </w:style>
  <w:style w:type="paragraph" w:customStyle="1" w:styleId="Contents">
    <w:name w:val="Contents"/>
    <w:qFormat/>
    <w:rsid w:val="00850E95"/>
    <w:pPr>
      <w:keepNext/>
      <w:jc w:val="center"/>
    </w:pPr>
    <w:rPr>
      <w:rFonts w:ascii="Arial" w:hAnsi="Arial"/>
      <w:b/>
      <w:sz w:val="36"/>
      <w:szCs w:val="32"/>
    </w:rPr>
  </w:style>
  <w:style w:type="paragraph" w:customStyle="1" w:styleId="ContentsSubhead">
    <w:name w:val="ContentsSubhead"/>
    <w:qFormat/>
    <w:rsid w:val="00850E95"/>
    <w:pPr>
      <w:keepNext/>
      <w:spacing w:before="240"/>
    </w:pPr>
    <w:rPr>
      <w:rFonts w:ascii="Times New Roman" w:eastAsia="Times New Roman" w:hAnsi="Times New Roman" w:cs="Times New Roman"/>
      <w:b/>
      <w:bCs/>
      <w:sz w:val="24"/>
      <w:szCs w:val="28"/>
    </w:rPr>
  </w:style>
  <w:style w:type="paragraph" w:customStyle="1" w:styleId="ContractNumber">
    <w:name w:val="ContractNumber"/>
    <w:next w:val="Normal"/>
    <w:qFormat/>
    <w:rsid w:val="00850E95"/>
    <w:rPr>
      <w:rFonts w:ascii="Times New Roman" w:eastAsia="Times New Roman" w:hAnsi="Times New Roman" w:cs="Times New Roman"/>
      <w:b/>
      <w:bCs/>
      <w:sz w:val="24"/>
      <w:szCs w:val="24"/>
    </w:rPr>
  </w:style>
  <w:style w:type="paragraph" w:customStyle="1" w:styleId="Default">
    <w:name w:val="Default"/>
    <w:rsid w:val="00850E95"/>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50E95"/>
    <w:rPr>
      <w:color w:val="800080" w:themeColor="followedHyperlink"/>
      <w:u w:val="single"/>
    </w:rPr>
  </w:style>
  <w:style w:type="paragraph" w:customStyle="1" w:styleId="ColorfulShading-Accent11">
    <w:name w:val="Colorful Shading - Accent 11"/>
    <w:hidden/>
    <w:uiPriority w:val="99"/>
    <w:semiHidden/>
    <w:rsid w:val="004D6CE1"/>
    <w:rPr>
      <w:sz w:val="22"/>
      <w:szCs w:val="22"/>
    </w:rPr>
  </w:style>
  <w:style w:type="character" w:customStyle="1" w:styleId="Heading3Char">
    <w:name w:val="Heading 3 Char"/>
    <w:basedOn w:val="DefaultParagraphFont"/>
    <w:link w:val="Heading3"/>
    <w:uiPriority w:val="9"/>
    <w:rsid w:val="00850E95"/>
    <w:rPr>
      <w:rFonts w:ascii="Times New Roman" w:eastAsia="Times New Roman" w:hAnsi="Times New Roman"/>
      <w:b/>
      <w:bCs/>
      <w:sz w:val="24"/>
      <w:szCs w:val="26"/>
    </w:rPr>
  </w:style>
  <w:style w:type="paragraph" w:styleId="Revision">
    <w:name w:val="Revision"/>
    <w:hidden/>
    <w:uiPriority w:val="99"/>
    <w:semiHidden/>
    <w:rsid w:val="004D4BF7"/>
    <w:rPr>
      <w:sz w:val="22"/>
      <w:szCs w:val="22"/>
    </w:rPr>
  </w:style>
  <w:style w:type="paragraph" w:styleId="Footer">
    <w:name w:val="footer"/>
    <w:basedOn w:val="Normal"/>
    <w:link w:val="FooterChar"/>
    <w:uiPriority w:val="99"/>
    <w:unhideWhenUsed/>
    <w:rsid w:val="00850E95"/>
    <w:pPr>
      <w:tabs>
        <w:tab w:val="center" w:pos="4680"/>
        <w:tab w:val="right" w:pos="9360"/>
      </w:tabs>
    </w:pPr>
  </w:style>
  <w:style w:type="character" w:customStyle="1" w:styleId="FooterChar">
    <w:name w:val="Footer Char"/>
    <w:basedOn w:val="DefaultParagraphFont"/>
    <w:link w:val="Footer"/>
    <w:uiPriority w:val="99"/>
    <w:rsid w:val="00850E95"/>
    <w:rPr>
      <w:rFonts w:ascii="Times" w:eastAsia="Times New Roman" w:hAnsi="Times" w:cs="Times New Roman"/>
      <w:sz w:val="24"/>
    </w:rPr>
  </w:style>
  <w:style w:type="paragraph" w:customStyle="1" w:styleId="FrontMatterHead">
    <w:name w:val="FrontMatterHead"/>
    <w:qFormat/>
    <w:rsid w:val="00850E95"/>
    <w:pPr>
      <w:keepNext/>
      <w:spacing w:before="240" w:after="60"/>
    </w:pPr>
    <w:rPr>
      <w:rFonts w:ascii="Arial" w:hAnsi="Arial"/>
      <w:b/>
      <w:sz w:val="32"/>
      <w:szCs w:val="32"/>
    </w:rPr>
  </w:style>
  <w:style w:type="paragraph" w:customStyle="1" w:styleId="FrontMatterSubhead">
    <w:name w:val="FrontMatterSubhead"/>
    <w:qFormat/>
    <w:rsid w:val="00850E95"/>
    <w:pPr>
      <w:keepNext/>
      <w:spacing w:before="120"/>
    </w:pPr>
    <w:rPr>
      <w:rFonts w:ascii="Arial" w:hAnsi="Arial"/>
      <w:b/>
      <w:sz w:val="24"/>
      <w:szCs w:val="32"/>
    </w:rPr>
  </w:style>
  <w:style w:type="paragraph" w:styleId="Header">
    <w:name w:val="header"/>
    <w:basedOn w:val="Normal"/>
    <w:link w:val="HeaderChar"/>
    <w:uiPriority w:val="99"/>
    <w:unhideWhenUsed/>
    <w:rsid w:val="00850E9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850E95"/>
    <w:rPr>
      <w:rFonts w:cs="Times New Roman"/>
      <w:sz w:val="22"/>
      <w:szCs w:val="22"/>
    </w:rPr>
  </w:style>
  <w:style w:type="character" w:customStyle="1" w:styleId="Heading1Char1">
    <w:name w:val="Heading 1 Char1"/>
    <w:aliases w:val="Heading 1 Char Char"/>
    <w:basedOn w:val="DefaultParagraphFont"/>
    <w:uiPriority w:val="99"/>
    <w:locked/>
    <w:rsid w:val="00850E95"/>
    <w:rPr>
      <w:rFonts w:ascii="Cambria" w:hAnsi="Cambria" w:cs="Times New Roman"/>
      <w:b/>
      <w:bCs/>
      <w:kern w:val="32"/>
      <w:sz w:val="32"/>
      <w:szCs w:val="32"/>
    </w:rPr>
  </w:style>
  <w:style w:type="character" w:customStyle="1" w:styleId="Heading2Char">
    <w:name w:val="Heading 2 Char"/>
    <w:basedOn w:val="DefaultParagraphFont"/>
    <w:link w:val="Heading2"/>
    <w:uiPriority w:val="9"/>
    <w:rsid w:val="00850E95"/>
    <w:rPr>
      <w:rFonts w:ascii="Arial" w:eastAsia="Times New Roman" w:hAnsi="Arial" w:cs="Times New Roman"/>
      <w:b/>
      <w:color w:val="000000"/>
      <w:sz w:val="28"/>
    </w:rPr>
  </w:style>
  <w:style w:type="character" w:customStyle="1" w:styleId="Heading5Char">
    <w:name w:val="Heading 5 Char"/>
    <w:basedOn w:val="DefaultParagraphFont"/>
    <w:link w:val="Heading5"/>
    <w:uiPriority w:val="99"/>
    <w:rsid w:val="00850E95"/>
    <w:rPr>
      <w:rFonts w:ascii="Arial" w:eastAsia="Times New Roman" w:hAnsi="Arial" w:cs="Times New Roman"/>
      <w:b/>
      <w:bCs/>
      <w:sz w:val="24"/>
      <w:szCs w:val="40"/>
    </w:rPr>
  </w:style>
  <w:style w:type="character" w:customStyle="1" w:styleId="Heading6Char">
    <w:name w:val="Heading 6 Char"/>
    <w:basedOn w:val="DefaultParagraphFont"/>
    <w:link w:val="Heading6"/>
    <w:uiPriority w:val="99"/>
    <w:rsid w:val="00850E95"/>
    <w:rPr>
      <w:rFonts w:ascii="Times" w:eastAsia="Times New Roman" w:hAnsi="Times" w:cs="Times New Roman"/>
      <w:b/>
      <w:sz w:val="28"/>
    </w:rPr>
  </w:style>
  <w:style w:type="character" w:customStyle="1" w:styleId="Heading7Char">
    <w:name w:val="Heading 7 Char"/>
    <w:basedOn w:val="DefaultParagraphFont"/>
    <w:link w:val="Heading7"/>
    <w:uiPriority w:val="99"/>
    <w:rsid w:val="00850E95"/>
    <w:rPr>
      <w:rFonts w:ascii="Times" w:eastAsia="Times New Roman" w:hAnsi="Times" w:cs="Times New Roman"/>
      <w:b/>
      <w:sz w:val="28"/>
    </w:rPr>
  </w:style>
  <w:style w:type="character" w:customStyle="1" w:styleId="Heading8Char">
    <w:name w:val="Heading 8 Char"/>
    <w:basedOn w:val="DefaultParagraphFont"/>
    <w:link w:val="Heading8"/>
    <w:uiPriority w:val="99"/>
    <w:rsid w:val="00850E95"/>
    <w:rPr>
      <w:rFonts w:ascii="Times" w:eastAsia="Times New Roman" w:hAnsi="Times" w:cs="Times New Roman"/>
      <w:b/>
      <w:sz w:val="36"/>
    </w:rPr>
  </w:style>
  <w:style w:type="character" w:customStyle="1" w:styleId="Heading9Char">
    <w:name w:val="Heading 9 Char"/>
    <w:basedOn w:val="DefaultParagraphFont"/>
    <w:link w:val="Heading9"/>
    <w:uiPriority w:val="99"/>
    <w:rsid w:val="00850E95"/>
    <w:rPr>
      <w:rFonts w:ascii="Times" w:eastAsia="Times New Roman" w:hAnsi="Times" w:cs="Times New Roman"/>
      <w:b/>
      <w:sz w:val="28"/>
    </w:rPr>
  </w:style>
  <w:style w:type="paragraph" w:customStyle="1" w:styleId="HeadingA">
    <w:name w:val="Heading A"/>
    <w:basedOn w:val="Normal"/>
    <w:rsid w:val="00850E95"/>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850E95"/>
    <w:rPr>
      <w:color w:val="0000FF" w:themeColor="hyperlink"/>
      <w:u w:val="single"/>
    </w:rPr>
  </w:style>
  <w:style w:type="paragraph" w:customStyle="1" w:styleId="Investigators">
    <w:name w:val="Investigators"/>
    <w:qFormat/>
    <w:rsid w:val="00850E95"/>
    <w:rPr>
      <w:rFonts w:ascii="Times New Roman" w:eastAsia="Times New Roman" w:hAnsi="Times New Roman" w:cs="Times New Roman"/>
      <w:bCs/>
      <w:sz w:val="24"/>
      <w:szCs w:val="24"/>
    </w:rPr>
  </w:style>
  <w:style w:type="character" w:customStyle="1" w:styleId="Heading1Char">
    <w:name w:val="Heading 1 Char"/>
    <w:basedOn w:val="DefaultParagraphFont"/>
    <w:link w:val="Heading1"/>
    <w:uiPriority w:val="9"/>
    <w:rsid w:val="00850E95"/>
    <w:rPr>
      <w:rFonts w:ascii="Cambria" w:eastAsia="Times New Roman" w:hAnsi="Cambria" w:cs="Times New Roman"/>
      <w:b/>
      <w:bCs/>
      <w:kern w:val="32"/>
      <w:sz w:val="32"/>
      <w:szCs w:val="32"/>
    </w:rPr>
  </w:style>
  <w:style w:type="paragraph" w:customStyle="1" w:styleId="KeyQuestion">
    <w:name w:val="KeyQuestion"/>
    <w:rsid w:val="00850E95"/>
    <w:pPr>
      <w:keepLines/>
      <w:spacing w:before="240" w:after="60"/>
    </w:pPr>
    <w:rPr>
      <w:rFonts w:ascii="Arial" w:eastAsia="Times New Roman" w:hAnsi="Arial"/>
      <w:iCs/>
      <w:sz w:val="28"/>
      <w:szCs w:val="28"/>
    </w:rPr>
  </w:style>
  <w:style w:type="paragraph" w:customStyle="1" w:styleId="Level1Heading">
    <w:name w:val="Level1Heading"/>
    <w:link w:val="Level1HeadingChar"/>
    <w:qFormat/>
    <w:rsid w:val="00850E95"/>
    <w:pPr>
      <w:keepNext/>
      <w:spacing w:before="240" w:after="60"/>
      <w:outlineLvl w:val="1"/>
    </w:pPr>
    <w:rPr>
      <w:rFonts w:ascii="Arial" w:eastAsia="Times New Roman" w:hAnsi="Arial" w:cs="Times New Roman"/>
      <w:b/>
      <w:bCs/>
      <w:sz w:val="32"/>
      <w:szCs w:val="24"/>
    </w:rPr>
  </w:style>
  <w:style w:type="character" w:customStyle="1" w:styleId="Level1HeadingChar">
    <w:name w:val="Level1Heading Char"/>
    <w:link w:val="Level1Heading"/>
    <w:rsid w:val="00850E95"/>
    <w:rPr>
      <w:rFonts w:ascii="Arial" w:eastAsia="Times New Roman" w:hAnsi="Arial" w:cs="Times New Roman"/>
      <w:b/>
      <w:bCs/>
      <w:sz w:val="32"/>
      <w:szCs w:val="24"/>
    </w:rPr>
  </w:style>
  <w:style w:type="paragraph" w:customStyle="1" w:styleId="Level2Heading">
    <w:name w:val="Level2Heading"/>
    <w:qFormat/>
    <w:rsid w:val="00850E95"/>
    <w:pPr>
      <w:keepNext/>
      <w:spacing w:before="240" w:after="60"/>
      <w:outlineLvl w:val="2"/>
    </w:pPr>
    <w:rPr>
      <w:rFonts w:ascii="Times New Roman" w:eastAsia="Times New Roman" w:hAnsi="Times New Roman" w:cs="Times New Roman"/>
      <w:b/>
      <w:bCs/>
      <w:sz w:val="32"/>
      <w:szCs w:val="24"/>
    </w:rPr>
  </w:style>
  <w:style w:type="paragraph" w:customStyle="1" w:styleId="Level3Heading">
    <w:name w:val="Level3Heading"/>
    <w:qFormat/>
    <w:rsid w:val="00850E95"/>
    <w:pPr>
      <w:keepNext/>
      <w:spacing w:before="240"/>
      <w:outlineLvl w:val="3"/>
    </w:pPr>
    <w:rPr>
      <w:rFonts w:ascii="Arial" w:eastAsia="Times New Roman" w:hAnsi="Arial" w:cs="Times New Roman"/>
      <w:b/>
      <w:bCs/>
      <w:sz w:val="28"/>
      <w:szCs w:val="24"/>
    </w:rPr>
  </w:style>
  <w:style w:type="paragraph" w:customStyle="1" w:styleId="Level4Heading">
    <w:name w:val="Level4Heading"/>
    <w:qFormat/>
    <w:rsid w:val="00850E95"/>
    <w:pPr>
      <w:keepNext/>
      <w:spacing w:before="240"/>
      <w:outlineLvl w:val="4"/>
    </w:pPr>
    <w:rPr>
      <w:rFonts w:ascii="Times New Roman" w:eastAsia="Times New Roman" w:hAnsi="Times New Roman" w:cs="Times New Roman"/>
      <w:b/>
      <w:bCs/>
      <w:sz w:val="28"/>
      <w:szCs w:val="24"/>
    </w:rPr>
  </w:style>
  <w:style w:type="paragraph" w:customStyle="1" w:styleId="Level5Heading">
    <w:name w:val="Level5Heading"/>
    <w:qFormat/>
    <w:rsid w:val="00850E95"/>
    <w:pPr>
      <w:keepNext/>
      <w:spacing w:before="240"/>
      <w:outlineLvl w:val="5"/>
    </w:pPr>
    <w:rPr>
      <w:rFonts w:ascii="Arial" w:eastAsia="Times New Roman" w:hAnsi="Arial" w:cs="Times New Roman"/>
      <w:b/>
      <w:bCs/>
      <w:sz w:val="24"/>
      <w:szCs w:val="24"/>
    </w:rPr>
  </w:style>
  <w:style w:type="paragraph" w:customStyle="1" w:styleId="Level6Heading">
    <w:name w:val="Level6Heading"/>
    <w:qFormat/>
    <w:rsid w:val="00850E95"/>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850E95"/>
    <w:pPr>
      <w:keepNext/>
    </w:pPr>
    <w:rPr>
      <w:rFonts w:ascii="Times New Roman" w:hAnsi="Times New Roman" w:cs="Times New Roman"/>
      <w:b/>
      <w:color w:val="000000"/>
      <w:sz w:val="24"/>
      <w:szCs w:val="24"/>
    </w:rPr>
  </w:style>
  <w:style w:type="paragraph" w:customStyle="1" w:styleId="Level8Heading">
    <w:name w:val="Level8Heading"/>
    <w:qFormat/>
    <w:rsid w:val="00850E95"/>
    <w:pPr>
      <w:keepNext/>
    </w:pPr>
    <w:rPr>
      <w:rFonts w:ascii="Times New Roman" w:eastAsia="Times New Roman" w:hAnsi="Times New Roman" w:cs="Times New Roman"/>
      <w:bCs/>
      <w:i/>
      <w:sz w:val="24"/>
      <w:szCs w:val="24"/>
    </w:rPr>
  </w:style>
  <w:style w:type="paragraph" w:styleId="ListParagraph">
    <w:name w:val="List Paragraph"/>
    <w:basedOn w:val="Normal"/>
    <w:uiPriority w:val="34"/>
    <w:qFormat/>
    <w:rsid w:val="00850E95"/>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850E95"/>
    <w:rPr>
      <w:rFonts w:ascii="Times" w:eastAsia="Times New Roman" w:hAnsi="Times" w:cs="Times New Roman"/>
      <w:sz w:val="24"/>
    </w:rPr>
  </w:style>
  <w:style w:type="paragraph" w:styleId="NormalWeb">
    <w:name w:val="Normal (Web)"/>
    <w:basedOn w:val="Normal"/>
    <w:uiPriority w:val="99"/>
    <w:semiHidden/>
    <w:rsid w:val="00850E95"/>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850E95"/>
    <w:pPr>
      <w:numPr>
        <w:numId w:val="7"/>
      </w:numPr>
    </w:pPr>
  </w:style>
  <w:style w:type="paragraph" w:customStyle="1" w:styleId="NumberLine">
    <w:name w:val="NumberLine"/>
    <w:qFormat/>
    <w:rsid w:val="00850E95"/>
    <w:rPr>
      <w:rFonts w:ascii="Arial" w:eastAsia="Times New Roman" w:hAnsi="Arial" w:cs="Times New Roman"/>
      <w:b/>
      <w:bCs/>
      <w:sz w:val="28"/>
      <w:szCs w:val="28"/>
    </w:rPr>
  </w:style>
  <w:style w:type="paragraph" w:customStyle="1" w:styleId="NumberLineCover">
    <w:name w:val="NumberLineCover"/>
    <w:qFormat/>
    <w:rsid w:val="00850E95"/>
    <w:rPr>
      <w:rFonts w:ascii="Times New Roman" w:eastAsia="Times New Roman" w:hAnsi="Times New Roman" w:cs="Times New Roman"/>
      <w:bCs/>
      <w:sz w:val="28"/>
      <w:szCs w:val="28"/>
    </w:rPr>
  </w:style>
  <w:style w:type="character" w:styleId="PageNumber">
    <w:name w:val="page number"/>
    <w:basedOn w:val="DefaultParagraphFont"/>
    <w:rsid w:val="00850E95"/>
  </w:style>
  <w:style w:type="paragraph" w:customStyle="1" w:styleId="PageNumber0">
    <w:name w:val="PageNumber"/>
    <w:qFormat/>
    <w:rsid w:val="00850E95"/>
    <w:pPr>
      <w:jc w:val="center"/>
    </w:pPr>
    <w:rPr>
      <w:rFonts w:ascii="Times New Roman" w:hAnsi="Times New Roman" w:cs="Times New Roman"/>
      <w:sz w:val="24"/>
      <w:szCs w:val="24"/>
    </w:rPr>
  </w:style>
  <w:style w:type="paragraph" w:customStyle="1" w:styleId="ParagraphIndent">
    <w:name w:val="ParagraphIndent"/>
    <w:qFormat/>
    <w:rsid w:val="00850E95"/>
    <w:pPr>
      <w:ind w:firstLine="360"/>
    </w:pPr>
    <w:rPr>
      <w:rFonts w:ascii="Times New Roman" w:hAnsi="Times New Roman" w:cs="Times New Roman"/>
      <w:color w:val="000000"/>
      <w:sz w:val="24"/>
      <w:szCs w:val="24"/>
    </w:rPr>
  </w:style>
  <w:style w:type="paragraph" w:customStyle="1" w:styleId="ParagraphNoIndent">
    <w:name w:val="ParagraphNoIndent"/>
    <w:qFormat/>
    <w:rsid w:val="00850E95"/>
    <w:rPr>
      <w:rFonts w:ascii="Times New Roman" w:eastAsia="Times New Roman" w:hAnsi="Times New Roman" w:cs="Times New Roman"/>
      <w:bCs/>
      <w:sz w:val="24"/>
      <w:szCs w:val="24"/>
    </w:rPr>
  </w:style>
  <w:style w:type="paragraph" w:customStyle="1" w:styleId="ParagraphNoIndentBold">
    <w:name w:val="ParagraphNoIndentBold"/>
    <w:qFormat/>
    <w:rsid w:val="00850E95"/>
    <w:rPr>
      <w:rFonts w:ascii="Times New Roman" w:eastAsia="Times New Roman" w:hAnsi="Times New Roman" w:cs="Times New Roman"/>
      <w:b/>
      <w:bCs/>
      <w:sz w:val="24"/>
      <w:szCs w:val="24"/>
    </w:rPr>
  </w:style>
  <w:style w:type="paragraph" w:customStyle="1" w:styleId="PreparedByText">
    <w:name w:val="PreparedByText"/>
    <w:qFormat/>
    <w:rsid w:val="00850E95"/>
    <w:rPr>
      <w:rFonts w:ascii="Times New Roman" w:eastAsia="Times New Roman" w:hAnsi="Times New Roman" w:cs="Times New Roman"/>
      <w:bCs/>
      <w:sz w:val="24"/>
      <w:szCs w:val="24"/>
    </w:rPr>
  </w:style>
  <w:style w:type="paragraph" w:customStyle="1" w:styleId="PreparedForText">
    <w:name w:val="PreparedForText"/>
    <w:qFormat/>
    <w:rsid w:val="00850E95"/>
    <w:rPr>
      <w:rFonts w:ascii="Times New Roman" w:eastAsia="Times New Roman" w:hAnsi="Times New Roman" w:cs="Times New Roman"/>
      <w:bCs/>
      <w:sz w:val="24"/>
      <w:szCs w:val="24"/>
    </w:rPr>
  </w:style>
  <w:style w:type="paragraph" w:customStyle="1" w:styleId="PublicationNumberDate">
    <w:name w:val="PublicationNumberDate"/>
    <w:qFormat/>
    <w:rsid w:val="00850E95"/>
    <w:rPr>
      <w:rFonts w:ascii="Times New Roman" w:eastAsia="Times New Roman" w:hAnsi="Times New Roman" w:cs="Times New Roman"/>
      <w:b/>
      <w:bCs/>
      <w:sz w:val="24"/>
      <w:szCs w:val="24"/>
    </w:rPr>
  </w:style>
  <w:style w:type="paragraph" w:customStyle="1" w:styleId="Reference">
    <w:name w:val="Reference"/>
    <w:qFormat/>
    <w:rsid w:val="00850E95"/>
    <w:pPr>
      <w:keepLines/>
      <w:spacing w:before="120" w:after="120"/>
      <w:ind w:left="720" w:hanging="720"/>
    </w:pPr>
    <w:rPr>
      <w:rFonts w:ascii="Times New Roman" w:eastAsia="Times New Roman" w:hAnsi="Times New Roman" w:cs="Times New Roman"/>
      <w:bCs/>
      <w:szCs w:val="24"/>
    </w:rPr>
  </w:style>
  <w:style w:type="paragraph" w:customStyle="1" w:styleId="ReportSubtitle">
    <w:name w:val="ReportSubtitle"/>
    <w:qFormat/>
    <w:rsid w:val="00850E95"/>
    <w:rPr>
      <w:rFonts w:ascii="Arial" w:eastAsia="Times New Roman" w:hAnsi="Arial" w:cs="Times New Roman"/>
      <w:b/>
      <w:bCs/>
      <w:sz w:val="24"/>
      <w:szCs w:val="24"/>
    </w:rPr>
  </w:style>
  <w:style w:type="paragraph" w:customStyle="1" w:styleId="ReportTitle">
    <w:name w:val="ReportTitle"/>
    <w:uiPriority w:val="99"/>
    <w:qFormat/>
    <w:rsid w:val="00850E95"/>
    <w:rPr>
      <w:rFonts w:ascii="Arial" w:eastAsia="Times New Roman" w:hAnsi="Arial" w:cs="Times New Roman"/>
      <w:b/>
      <w:bCs/>
      <w:sz w:val="36"/>
      <w:szCs w:val="36"/>
    </w:rPr>
  </w:style>
  <w:style w:type="paragraph" w:customStyle="1" w:styleId="ReportType">
    <w:name w:val="ReportType"/>
    <w:qFormat/>
    <w:rsid w:val="00850E95"/>
    <w:pPr>
      <w:pBdr>
        <w:bottom w:val="single" w:sz="12" w:space="1" w:color="auto"/>
      </w:pBdr>
    </w:pPr>
    <w:rPr>
      <w:rFonts w:ascii="Times New Roman" w:eastAsia="Times New Roman" w:hAnsi="Times New Roman" w:cs="Times New Roman"/>
      <w:b/>
      <w:bCs/>
      <w:i/>
      <w:sz w:val="36"/>
      <w:szCs w:val="36"/>
    </w:rPr>
  </w:style>
  <w:style w:type="paragraph" w:customStyle="1" w:styleId="ReportTypeCover">
    <w:name w:val="ReportTypeCover"/>
    <w:qFormat/>
    <w:rsid w:val="00850E95"/>
    <w:pPr>
      <w:pBdr>
        <w:bottom w:val="single" w:sz="12" w:space="1" w:color="auto"/>
      </w:pBdr>
    </w:pPr>
    <w:rPr>
      <w:rFonts w:ascii="Times New Roman" w:eastAsia="Times New Roman" w:hAnsi="Times New Roman" w:cs="Times New Roman"/>
      <w:bCs/>
      <w:i/>
      <w:sz w:val="36"/>
      <w:szCs w:val="36"/>
    </w:rPr>
  </w:style>
  <w:style w:type="paragraph" w:customStyle="1" w:styleId="Studies1">
    <w:name w:val="Studies1"/>
    <w:qFormat/>
    <w:rsid w:val="00850E95"/>
    <w:pPr>
      <w:keepLines/>
      <w:spacing w:before="120" w:after="120"/>
    </w:pPr>
    <w:rPr>
      <w:rFonts w:ascii="Times New Roman" w:hAnsi="Times New Roman"/>
      <w:color w:val="000000"/>
      <w:sz w:val="24"/>
      <w:szCs w:val="32"/>
    </w:rPr>
  </w:style>
  <w:style w:type="paragraph" w:customStyle="1" w:styleId="Studies2">
    <w:name w:val="Studies2"/>
    <w:qFormat/>
    <w:rsid w:val="00850E95"/>
    <w:pPr>
      <w:keepLines/>
      <w:numPr>
        <w:numId w:val="8"/>
      </w:numPr>
      <w:spacing w:before="120" w:after="120"/>
    </w:pPr>
    <w:rPr>
      <w:rFonts w:ascii="Times New Roman" w:eastAsia="Times" w:hAnsi="Times New Roman" w:cs="Times New Roman"/>
      <w:color w:val="000000"/>
      <w:sz w:val="24"/>
      <w:szCs w:val="24"/>
    </w:rPr>
  </w:style>
  <w:style w:type="paragraph" w:customStyle="1" w:styleId="SuggestedCitation">
    <w:name w:val="SuggestedCitation"/>
    <w:qFormat/>
    <w:rsid w:val="00850E95"/>
    <w:rPr>
      <w:rFonts w:ascii="Times New Roman" w:eastAsia="Times New Roman" w:hAnsi="Times New Roman" w:cs="Times New Roman"/>
      <w:bCs/>
      <w:sz w:val="24"/>
      <w:szCs w:val="24"/>
    </w:rPr>
  </w:style>
  <w:style w:type="paragraph" w:styleId="TableofFigures">
    <w:name w:val="table of figures"/>
    <w:basedOn w:val="Normal"/>
    <w:next w:val="Normal"/>
    <w:uiPriority w:val="99"/>
    <w:unhideWhenUsed/>
    <w:rsid w:val="00850E95"/>
  </w:style>
  <w:style w:type="paragraph" w:customStyle="1" w:styleId="TableBoldText">
    <w:name w:val="TableBoldText"/>
    <w:qFormat/>
    <w:rsid w:val="00850E95"/>
    <w:rPr>
      <w:rFonts w:ascii="Arial" w:hAnsi="Arial"/>
      <w:b/>
      <w:sz w:val="18"/>
      <w:szCs w:val="18"/>
    </w:rPr>
  </w:style>
  <w:style w:type="paragraph" w:customStyle="1" w:styleId="TableCenteredText">
    <w:name w:val="TableCenteredText"/>
    <w:qFormat/>
    <w:rsid w:val="00850E95"/>
    <w:pPr>
      <w:jc w:val="center"/>
    </w:pPr>
    <w:rPr>
      <w:rFonts w:ascii="Arial" w:hAnsi="Arial"/>
      <w:sz w:val="18"/>
      <w:szCs w:val="18"/>
    </w:rPr>
  </w:style>
  <w:style w:type="paragraph" w:customStyle="1" w:styleId="TableColumnHead">
    <w:name w:val="TableColumnHead"/>
    <w:qFormat/>
    <w:rsid w:val="00850E95"/>
    <w:pPr>
      <w:jc w:val="center"/>
    </w:pPr>
    <w:rPr>
      <w:rFonts w:ascii="Arial" w:hAnsi="Arial"/>
      <w:b/>
      <w:bCs/>
      <w:sz w:val="18"/>
      <w:szCs w:val="18"/>
    </w:rPr>
  </w:style>
  <w:style w:type="paragraph" w:customStyle="1" w:styleId="TableLeftText">
    <w:name w:val="TableLeftText"/>
    <w:qFormat/>
    <w:rsid w:val="00850E95"/>
    <w:rPr>
      <w:rFonts w:ascii="Arial" w:hAnsi="Arial"/>
      <w:sz w:val="18"/>
      <w:szCs w:val="18"/>
    </w:rPr>
  </w:style>
  <w:style w:type="paragraph" w:customStyle="1" w:styleId="TableNote">
    <w:name w:val="TableNote"/>
    <w:qFormat/>
    <w:rsid w:val="00850E95"/>
    <w:pPr>
      <w:spacing w:after="240"/>
    </w:pPr>
    <w:rPr>
      <w:rFonts w:ascii="Times New Roman" w:eastAsia="Times New Roman" w:hAnsi="Times New Roman" w:cs="Times New Roman"/>
      <w:bCs/>
      <w:sz w:val="18"/>
      <w:szCs w:val="24"/>
    </w:rPr>
  </w:style>
  <w:style w:type="paragraph" w:customStyle="1" w:styleId="TableSubhead">
    <w:name w:val="TableSubhead"/>
    <w:qFormat/>
    <w:rsid w:val="00850E95"/>
    <w:rPr>
      <w:rFonts w:ascii="Arial" w:hAnsi="Arial"/>
      <w:b/>
      <w:i/>
      <w:sz w:val="18"/>
      <w:szCs w:val="18"/>
    </w:rPr>
  </w:style>
  <w:style w:type="paragraph" w:customStyle="1" w:styleId="TableText">
    <w:name w:val="TableText"/>
    <w:qFormat/>
    <w:rsid w:val="00850E95"/>
    <w:rPr>
      <w:rFonts w:ascii="Arial" w:hAnsi="Arial"/>
      <w:sz w:val="18"/>
      <w:szCs w:val="18"/>
    </w:rPr>
  </w:style>
  <w:style w:type="paragraph" w:customStyle="1" w:styleId="TableTitle">
    <w:name w:val="TableTitle"/>
    <w:link w:val="TableTitleChar"/>
    <w:qFormat/>
    <w:rsid w:val="00850E95"/>
    <w:pPr>
      <w:keepNext/>
      <w:spacing w:before="240"/>
    </w:pPr>
    <w:rPr>
      <w:rFonts w:ascii="Arial" w:hAnsi="Arial" w:cs="Times New Roman"/>
      <w:b/>
      <w:color w:val="000000"/>
      <w:szCs w:val="24"/>
    </w:rPr>
  </w:style>
  <w:style w:type="character" w:customStyle="1" w:styleId="TableTitleChar">
    <w:name w:val="TableTitle Char"/>
    <w:link w:val="TableTitle"/>
    <w:rsid w:val="00850E95"/>
    <w:rPr>
      <w:rFonts w:ascii="Arial" w:hAnsi="Arial" w:cs="Times New Roman"/>
      <w:b/>
      <w:color w:val="000000"/>
      <w:szCs w:val="24"/>
    </w:rPr>
  </w:style>
  <w:style w:type="paragraph" w:customStyle="1" w:styleId="TitlePageReportNumber">
    <w:name w:val="Title Page Report Number"/>
    <w:basedOn w:val="Normal"/>
    <w:rsid w:val="00850E95"/>
    <w:rPr>
      <w:rFonts w:ascii="Arial" w:eastAsia="Times" w:hAnsi="Arial"/>
      <w:b/>
      <w:sz w:val="28"/>
    </w:rPr>
  </w:style>
  <w:style w:type="paragraph" w:styleId="TOC1">
    <w:name w:val="toc 1"/>
    <w:basedOn w:val="Normal"/>
    <w:next w:val="Normal"/>
    <w:autoRedefine/>
    <w:rsid w:val="00850E95"/>
    <w:rPr>
      <w:rFonts w:ascii="Times New Roman" w:hAnsi="Times New Roman"/>
      <w:szCs w:val="24"/>
      <w:lang w:val="en-CA"/>
    </w:rPr>
  </w:style>
  <w:style w:type="paragraph" w:styleId="TOC2">
    <w:name w:val="toc 2"/>
    <w:basedOn w:val="Normal"/>
    <w:next w:val="Normal"/>
    <w:autoRedefine/>
    <w:rsid w:val="00850E95"/>
    <w:pPr>
      <w:ind w:left="240"/>
    </w:pPr>
    <w:rPr>
      <w:rFonts w:ascii="Times New Roman" w:hAnsi="Times New Roman"/>
      <w:szCs w:val="24"/>
      <w:lang w:val="en-CA"/>
    </w:rPr>
  </w:style>
  <w:style w:type="paragraph" w:styleId="TOC3">
    <w:name w:val="toc 3"/>
    <w:basedOn w:val="Normal"/>
    <w:next w:val="Normal"/>
    <w:autoRedefine/>
    <w:uiPriority w:val="39"/>
    <w:unhideWhenUsed/>
    <w:rsid w:val="00850E95"/>
    <w:pPr>
      <w:ind w:left="480"/>
    </w:pPr>
  </w:style>
  <w:style w:type="paragraph" w:styleId="TOCHeading">
    <w:name w:val="TOC Heading"/>
    <w:basedOn w:val="Heading1"/>
    <w:next w:val="Normal"/>
    <w:uiPriority w:val="39"/>
    <w:semiHidden/>
    <w:unhideWhenUsed/>
    <w:qFormat/>
    <w:rsid w:val="00850E95"/>
    <w:pPr>
      <w:keepLines/>
      <w:spacing w:before="480" w:after="0" w:line="276" w:lineRule="auto"/>
      <w:outlineLvl w:val="9"/>
    </w:pPr>
    <w:rPr>
      <w:rFonts w:eastAsia="MS Gothic"/>
      <w:color w:val="365F91"/>
      <w:kern w:val="0"/>
      <w:sz w:val="28"/>
      <w:szCs w:val="28"/>
      <w:lang w:eastAsia="ja-JP"/>
    </w:rPr>
  </w:style>
  <w:style w:type="character" w:customStyle="1" w:styleId="Heading4Char">
    <w:name w:val="Heading 4 Char"/>
    <w:basedOn w:val="DefaultParagraphFont"/>
    <w:link w:val="Heading4"/>
    <w:uiPriority w:val="9"/>
    <w:rsid w:val="00850E95"/>
    <w:rPr>
      <w:rFonts w:ascii="Times" w:eastAsia="Times New Roman" w:hAnsi="Times" w:cs="Times New Roman"/>
      <w:sz w:val="28"/>
      <w:szCs w:val="28"/>
    </w:rPr>
  </w:style>
  <w:style w:type="paragraph" w:customStyle="1" w:styleId="TableText0">
    <w:name w:val="Table Text"/>
    <w:qFormat/>
    <w:rsid w:val="00751115"/>
    <w:pPr>
      <w:spacing w:before="60" w:after="60"/>
    </w:pPr>
    <w:rPr>
      <w:rFonts w:ascii="Verdana" w:eastAsia="Times New Roman" w:hAnsi="Verdana" w:cs="Times New Roman"/>
      <w:sz w:val="18"/>
    </w:rPr>
  </w:style>
  <w:style w:type="character" w:customStyle="1" w:styleId="medium-bold">
    <w:name w:val="medium-bold"/>
    <w:basedOn w:val="DefaultParagraphFont"/>
    <w:rsid w:val="00F13B54"/>
  </w:style>
  <w:style w:type="character" w:customStyle="1" w:styleId="medium-normal">
    <w:name w:val="medium-normal"/>
    <w:basedOn w:val="DefaultParagraphFont"/>
    <w:rsid w:val="00F13B54"/>
  </w:style>
  <w:style w:type="paragraph" w:styleId="z-BottomofForm">
    <w:name w:val="HTML Bottom of Form"/>
    <w:basedOn w:val="Normal"/>
    <w:next w:val="Normal"/>
    <w:link w:val="z-BottomofFormChar"/>
    <w:hidden/>
    <w:uiPriority w:val="99"/>
    <w:semiHidden/>
    <w:unhideWhenUsed/>
    <w:rsid w:val="00F13B54"/>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F13B54"/>
    <w:rPr>
      <w:rFonts w:ascii="Arial" w:eastAsia="Times New Roman" w:hAnsi="Arial" w:cs="Times New Roman"/>
      <w:vanish/>
      <w:sz w:val="16"/>
      <w:szCs w:val="16"/>
    </w:rPr>
  </w:style>
  <w:style w:type="character" w:customStyle="1" w:styleId="term">
    <w:name w:val="term"/>
    <w:basedOn w:val="DefaultParagraphFont"/>
    <w:rsid w:val="00F13B54"/>
  </w:style>
  <w:style w:type="character" w:customStyle="1" w:styleId="st">
    <w:name w:val="st"/>
    <w:rsid w:val="00F13B54"/>
  </w:style>
  <w:style w:type="paragraph" w:customStyle="1" w:styleId="reference0">
    <w:name w:val="reference"/>
    <w:basedOn w:val="Normal"/>
    <w:qFormat/>
    <w:rsid w:val="00F13B54"/>
    <w:pPr>
      <w:spacing w:after="120"/>
    </w:pPr>
    <w:rPr>
      <w:rFonts w:ascii="Times New Roman" w:eastAsia="Calibri" w:hAnsi="Times New Roman"/>
      <w:sz w:val="20"/>
    </w:rPr>
  </w:style>
  <w:style w:type="paragraph" w:styleId="FootnoteText">
    <w:name w:val="footnote text"/>
    <w:basedOn w:val="Normal"/>
    <w:link w:val="FootnoteTextChar"/>
    <w:uiPriority w:val="99"/>
    <w:semiHidden/>
    <w:unhideWhenUsed/>
    <w:rsid w:val="00F13B54"/>
    <w:rPr>
      <w:sz w:val="20"/>
    </w:rPr>
  </w:style>
  <w:style w:type="character" w:customStyle="1" w:styleId="FootnoteTextChar">
    <w:name w:val="Footnote Text Char"/>
    <w:basedOn w:val="DefaultParagraphFont"/>
    <w:link w:val="FootnoteText"/>
    <w:uiPriority w:val="99"/>
    <w:semiHidden/>
    <w:rsid w:val="00F13B54"/>
    <w:rPr>
      <w:rFonts w:ascii="Times" w:eastAsia="Times New Roman" w:hAnsi="Times" w:cs="Times New Roman"/>
    </w:rPr>
  </w:style>
  <w:style w:type="character" w:styleId="FootnoteReference">
    <w:name w:val="footnote reference"/>
    <w:uiPriority w:val="99"/>
    <w:semiHidden/>
    <w:unhideWhenUsed/>
    <w:rsid w:val="00F13B54"/>
    <w:rPr>
      <w:vertAlign w:val="superscript"/>
    </w:rPr>
  </w:style>
  <w:style w:type="paragraph" w:customStyle="1" w:styleId="TableHeaderRow">
    <w:name w:val="TableHeaderRow"/>
    <w:basedOn w:val="Normal"/>
    <w:qFormat/>
    <w:rsid w:val="00F13B54"/>
    <w:rPr>
      <w:rFonts w:ascii="Arial Bold" w:eastAsia="Calibri" w:hAnsi="Arial Bold"/>
      <w:b/>
      <w:color w:val="000000"/>
      <w:sz w:val="18"/>
      <w:szCs w:val="18"/>
    </w:rPr>
  </w:style>
  <w:style w:type="paragraph" w:customStyle="1" w:styleId="Text">
    <w:name w:val="Text"/>
    <w:basedOn w:val="Normal"/>
    <w:link w:val="TextChar"/>
    <w:rsid w:val="00F13B54"/>
    <w:pPr>
      <w:shd w:val="clear" w:color="auto" w:fill="FFFFFF"/>
      <w:spacing w:before="120"/>
    </w:pPr>
    <w:rPr>
      <w:rFonts w:cs="Arial"/>
      <w:sz w:val="20"/>
      <w:lang w:bidi="en-US"/>
    </w:rPr>
  </w:style>
  <w:style w:type="character" w:customStyle="1" w:styleId="TextChar">
    <w:name w:val="Text Char"/>
    <w:link w:val="Text"/>
    <w:locked/>
    <w:rsid w:val="00F13B54"/>
    <w:rPr>
      <w:rFonts w:ascii="Times" w:eastAsia="Times New Roman" w:hAnsi="Times"/>
      <w:shd w:val="clear" w:color="auto" w:fill="FFFFFF"/>
      <w:lang w:bidi="en-US"/>
    </w:rPr>
  </w:style>
  <w:style w:type="paragraph" w:customStyle="1" w:styleId="Bullettext">
    <w:name w:val="Bullet text"/>
    <w:basedOn w:val="Normal"/>
    <w:rsid w:val="00F13B54"/>
    <w:pPr>
      <w:numPr>
        <w:numId w:val="18"/>
      </w:numPr>
    </w:pPr>
    <w:rPr>
      <w:rFonts w:eastAsia="Calibri"/>
    </w:rPr>
  </w:style>
  <w:style w:type="paragraph" w:customStyle="1" w:styleId="TableBullet">
    <w:name w:val="TableBullet"/>
    <w:basedOn w:val="TableText"/>
    <w:qFormat/>
    <w:rsid w:val="00F13B54"/>
    <w:pPr>
      <w:numPr>
        <w:numId w:val="21"/>
      </w:numPr>
    </w:pPr>
    <w:rPr>
      <w:rFonts w:eastAsia="Times New Roman" w:cs="Times New Roman"/>
      <w:noProof/>
    </w:rPr>
  </w:style>
  <w:style w:type="paragraph" w:customStyle="1" w:styleId="TableBulletBlank">
    <w:name w:val="TableBulletBlank"/>
    <w:basedOn w:val="TableText"/>
    <w:qFormat/>
    <w:rsid w:val="00F13B54"/>
    <w:pPr>
      <w:ind w:left="216" w:hanging="216"/>
    </w:pPr>
    <w:rPr>
      <w:rFonts w:eastAsia="Times New Roman" w:cs="Times New Roman"/>
      <w:noProof/>
    </w:rPr>
  </w:style>
  <w:style w:type="table" w:customStyle="1" w:styleId="EPCTableStyle">
    <w:name w:val="EPC Table Style"/>
    <w:basedOn w:val="TableNormal"/>
    <w:uiPriority w:val="99"/>
    <w:rsid w:val="00F13B54"/>
    <w:rPr>
      <w:rFonts w:ascii="Arial" w:hAnsi="Arial"/>
      <w:sz w:val="18"/>
    </w:rPr>
    <w:tblPr>
      <w:tblInd w:w="0" w:type="dxa"/>
      <w:tblBorders>
        <w:insideH w:val="single" w:sz="4" w:space="0" w:color="auto"/>
      </w:tblBorders>
      <w:tblCellMar>
        <w:top w:w="0" w:type="dxa"/>
        <w:left w:w="108" w:type="dxa"/>
        <w:bottom w:w="0" w:type="dxa"/>
        <w:right w:w="108" w:type="dxa"/>
      </w:tblCellMar>
    </w:tblPr>
    <w:tblStylePr w:type="firstRow">
      <w:pPr>
        <w:jc w:val="left"/>
      </w:pPr>
      <w:rPr>
        <w:rFonts w:ascii="Arial" w:eastAsia="Arial" w:hAnsi="Arial" w:cs="Arial"/>
        <w:b/>
        <w:bCs/>
        <w:color w:val="000000"/>
        <w:sz w:val="18"/>
        <w:szCs w:val="18"/>
      </w:rPr>
      <w:tblPr/>
      <w:tcPr>
        <w:tcBorders>
          <w:top w:val="single" w:sz="12" w:space="0" w:color="auto"/>
        </w:tcBorders>
        <w:vAlign w:val="bottom"/>
      </w:tcPr>
    </w:tblStylePr>
    <w:tblStylePr w:type="lastRow">
      <w:tblPr/>
      <w:tcPr>
        <w:tcBorders>
          <w:bottom w:val="single" w:sz="12" w:space="0" w:color="auto"/>
        </w:tcBorders>
      </w:tcPr>
    </w:tblStylePr>
  </w:style>
  <w:style w:type="paragraph" w:customStyle="1" w:styleId="TableText-ParaSpace">
    <w:name w:val="TableText-ParaSpace"/>
    <w:basedOn w:val="TableBoldText"/>
    <w:qFormat/>
    <w:rsid w:val="00F13B54"/>
    <w:pPr>
      <w:spacing w:after="120"/>
    </w:pPr>
    <w:rPr>
      <w:b w:val="0"/>
    </w:rPr>
  </w:style>
  <w:style w:type="paragraph" w:customStyle="1" w:styleId="WW-HTMLPreformatted">
    <w:name w:val="WW-HTML Preformatted"/>
    <w:basedOn w:val="Normal"/>
    <w:rsid w:val="00F1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numbering" w:customStyle="1" w:styleId="NoList1">
    <w:name w:val="No List1"/>
    <w:next w:val="NoList"/>
    <w:uiPriority w:val="99"/>
    <w:semiHidden/>
    <w:unhideWhenUsed/>
    <w:rsid w:val="00F13B54"/>
  </w:style>
  <w:style w:type="character" w:customStyle="1" w:styleId="st1">
    <w:name w:val="st1"/>
    <w:rsid w:val="00F13B54"/>
  </w:style>
  <w:style w:type="paragraph" w:styleId="HTMLPreformatted">
    <w:name w:val="HTML Preformatted"/>
    <w:basedOn w:val="Normal"/>
    <w:link w:val="HTMLPreformattedChar"/>
    <w:rsid w:val="00F1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rsid w:val="00F13B54"/>
    <w:rPr>
      <w:rFonts w:ascii="Courier New" w:eastAsia="Times New Roman" w:hAnsi="Courier New" w:cs="Times New Roman"/>
    </w:rPr>
  </w:style>
  <w:style w:type="character" w:customStyle="1" w:styleId="z-BottomofFormChar1">
    <w:name w:val="z-Bottom of Form Char1"/>
    <w:uiPriority w:val="99"/>
    <w:semiHidden/>
    <w:rsid w:val="00F13B54"/>
    <w:rPr>
      <w:rFonts w:ascii="Arial" w:hAnsi="Arial" w:cs="Arial"/>
      <w:vanish/>
      <w:sz w:val="16"/>
      <w:szCs w:val="16"/>
    </w:rPr>
  </w:style>
  <w:style w:type="character" w:customStyle="1" w:styleId="BalloonTextChar1">
    <w:name w:val="Balloon Text Char1"/>
    <w:uiPriority w:val="99"/>
    <w:semiHidden/>
    <w:rsid w:val="00F13B54"/>
    <w:rPr>
      <w:rFonts w:ascii="Tahoma" w:hAnsi="Tahoma" w:cs="Tahoma"/>
      <w:sz w:val="16"/>
      <w:szCs w:val="16"/>
    </w:rPr>
  </w:style>
  <w:style w:type="character" w:customStyle="1" w:styleId="HeaderChar1">
    <w:name w:val="Header Char1"/>
    <w:uiPriority w:val="99"/>
    <w:semiHidden/>
    <w:rsid w:val="00F13B54"/>
    <w:rPr>
      <w:sz w:val="22"/>
      <w:szCs w:val="22"/>
    </w:rPr>
  </w:style>
  <w:style w:type="character" w:customStyle="1" w:styleId="FooterChar1">
    <w:name w:val="Footer Char1"/>
    <w:uiPriority w:val="99"/>
    <w:semiHidden/>
    <w:rsid w:val="00F13B54"/>
    <w:rPr>
      <w:sz w:val="22"/>
      <w:szCs w:val="22"/>
    </w:rPr>
  </w:style>
  <w:style w:type="character" w:customStyle="1" w:styleId="CommentTextChar1">
    <w:name w:val="Comment Text Char1"/>
    <w:uiPriority w:val="99"/>
    <w:semiHidden/>
    <w:rsid w:val="00F13B54"/>
  </w:style>
  <w:style w:type="character" w:customStyle="1" w:styleId="CommentSubjectChar1">
    <w:name w:val="Comment Subject Char1"/>
    <w:uiPriority w:val="99"/>
    <w:semiHidden/>
    <w:rsid w:val="00F13B54"/>
    <w:rPr>
      <w:b/>
      <w:bCs/>
    </w:rPr>
  </w:style>
  <w:style w:type="character" w:customStyle="1" w:styleId="FootnoteTextChar1">
    <w:name w:val="Footnote Text Char1"/>
    <w:uiPriority w:val="99"/>
    <w:semiHidden/>
    <w:rsid w:val="00F13B54"/>
  </w:style>
  <w:style w:type="character" w:customStyle="1" w:styleId="ui-ncbitoggler-master-text">
    <w:name w:val="ui-ncbitoggler-master-text"/>
    <w:rsid w:val="00F13B54"/>
  </w:style>
  <w:style w:type="character" w:customStyle="1" w:styleId="z-TopofFormChar">
    <w:name w:val="z-Top of Form Char"/>
    <w:link w:val="z-TopofForm"/>
    <w:uiPriority w:val="99"/>
    <w:semiHidden/>
    <w:rsid w:val="00F13B54"/>
    <w:rPr>
      <w:rFonts w:ascii="Arial" w:eastAsia="Times New Roman" w:hAnsi="Arial"/>
      <w:vanish/>
      <w:sz w:val="16"/>
      <w:szCs w:val="16"/>
    </w:rPr>
  </w:style>
  <w:style w:type="paragraph" w:styleId="z-TopofForm">
    <w:name w:val="HTML Top of Form"/>
    <w:basedOn w:val="Normal"/>
    <w:next w:val="Normal"/>
    <w:link w:val="z-TopofFormChar"/>
    <w:hidden/>
    <w:uiPriority w:val="99"/>
    <w:semiHidden/>
    <w:unhideWhenUsed/>
    <w:rsid w:val="00F13B54"/>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F13B54"/>
    <w:rPr>
      <w:rFonts w:ascii="Arial" w:eastAsia="Times New Roman" w:hAnsi="Arial"/>
      <w:vanish/>
      <w:sz w:val="16"/>
      <w:szCs w:val="16"/>
    </w:rPr>
  </w:style>
  <w:style w:type="character" w:customStyle="1" w:styleId="shadow">
    <w:name w:val="shadow"/>
    <w:rsid w:val="00F13B54"/>
  </w:style>
  <w:style w:type="character" w:customStyle="1" w:styleId="text0">
    <w:name w:val="text"/>
    <w:rsid w:val="00F13B54"/>
  </w:style>
  <w:style w:type="character" w:customStyle="1" w:styleId="search-number">
    <w:name w:val="search-number"/>
    <w:rsid w:val="00F13B54"/>
  </w:style>
  <w:style w:type="character" w:customStyle="1" w:styleId="hidden">
    <w:name w:val="hidden"/>
    <w:rsid w:val="00F13B54"/>
  </w:style>
  <w:style w:type="character" w:styleId="Emphasis">
    <w:name w:val="Emphasis"/>
    <w:uiPriority w:val="20"/>
    <w:qFormat/>
    <w:rsid w:val="00F13B54"/>
    <w:rPr>
      <w:i/>
      <w:iCs/>
    </w:rPr>
  </w:style>
  <w:style w:type="character" w:customStyle="1" w:styleId="callback">
    <w:name w:val="callback"/>
    <w:rsid w:val="00F13B54"/>
  </w:style>
  <w:style w:type="character" w:styleId="Strong">
    <w:name w:val="Strong"/>
    <w:uiPriority w:val="22"/>
    <w:qFormat/>
    <w:rsid w:val="00F13B54"/>
    <w:rPr>
      <w:b/>
      <w:bCs/>
    </w:rPr>
  </w:style>
  <w:style w:type="paragraph" w:customStyle="1" w:styleId="source">
    <w:name w:val="source"/>
    <w:basedOn w:val="Normal"/>
    <w:rsid w:val="00F13B54"/>
    <w:pPr>
      <w:spacing w:before="100" w:beforeAutospacing="1" w:after="100" w:afterAutospacing="1"/>
    </w:pPr>
    <w:rPr>
      <w:rFonts w:ascii="Times New Roman" w:hAnsi="Times New Roman"/>
      <w:szCs w:val="24"/>
    </w:rPr>
  </w:style>
  <w:style w:type="character" w:styleId="HTMLCite">
    <w:name w:val="HTML Cite"/>
    <w:uiPriority w:val="99"/>
    <w:semiHidden/>
    <w:unhideWhenUsed/>
    <w:rsid w:val="00F13B54"/>
    <w:rPr>
      <w:i/>
      <w:iCs/>
    </w:rPr>
  </w:style>
  <w:style w:type="character" w:customStyle="1" w:styleId="tiny-normal">
    <w:name w:val="tiny-normal"/>
    <w:rsid w:val="00F13B54"/>
  </w:style>
  <w:style w:type="character" w:customStyle="1" w:styleId="label">
    <w:name w:val="label"/>
    <w:rsid w:val="00F13B54"/>
  </w:style>
  <w:style w:type="character" w:customStyle="1" w:styleId="icon">
    <w:name w:val="icon"/>
    <w:rsid w:val="00F13B54"/>
  </w:style>
  <w:style w:type="paragraph" w:customStyle="1" w:styleId="References">
    <w:name w:val="References"/>
    <w:basedOn w:val="Normal"/>
    <w:qFormat/>
    <w:rsid w:val="00F13B54"/>
    <w:pPr>
      <w:keepLines/>
      <w:autoSpaceDE w:val="0"/>
      <w:autoSpaceDN w:val="0"/>
      <w:adjustRightInd w:val="0"/>
      <w:spacing w:after="240"/>
      <w:ind w:left="720" w:hanging="720"/>
    </w:pPr>
    <w:rPr>
      <w:rFonts w:ascii="Times New Roman" w:hAnsi="Times New Roman" w:cs="Arial"/>
      <w:sz w:val="20"/>
      <w:szCs w:val="18"/>
    </w:rPr>
  </w:style>
</w:styles>
</file>

<file path=word/webSettings.xml><?xml version="1.0" encoding="utf-8"?>
<w:webSettings xmlns:r="http://schemas.openxmlformats.org/officeDocument/2006/relationships" xmlns:w="http://schemas.openxmlformats.org/wordprocessingml/2006/main">
  <w:divs>
    <w:div w:id="138228583">
      <w:bodyDiv w:val="1"/>
      <w:marLeft w:val="0"/>
      <w:marRight w:val="0"/>
      <w:marTop w:val="0"/>
      <w:marBottom w:val="0"/>
      <w:divBdr>
        <w:top w:val="none" w:sz="0" w:space="0" w:color="auto"/>
        <w:left w:val="none" w:sz="0" w:space="0" w:color="auto"/>
        <w:bottom w:val="none" w:sz="0" w:space="0" w:color="auto"/>
        <w:right w:val="none" w:sz="0" w:space="0" w:color="auto"/>
      </w:divBdr>
    </w:div>
    <w:div w:id="281040321">
      <w:bodyDiv w:val="1"/>
      <w:marLeft w:val="-480"/>
      <w:marRight w:val="0"/>
      <w:marTop w:val="0"/>
      <w:marBottom w:val="0"/>
      <w:divBdr>
        <w:top w:val="none" w:sz="0" w:space="0" w:color="auto"/>
        <w:left w:val="none" w:sz="0" w:space="0" w:color="auto"/>
        <w:bottom w:val="none" w:sz="0" w:space="0" w:color="auto"/>
        <w:right w:val="none" w:sz="0" w:space="0" w:color="auto"/>
      </w:divBdr>
      <w:divsChild>
        <w:div w:id="894583586">
          <w:marLeft w:val="0"/>
          <w:marRight w:val="0"/>
          <w:marTop w:val="0"/>
          <w:marBottom w:val="0"/>
          <w:divBdr>
            <w:top w:val="none" w:sz="0" w:space="0" w:color="auto"/>
            <w:left w:val="none" w:sz="0" w:space="0" w:color="auto"/>
            <w:bottom w:val="none" w:sz="0" w:space="0" w:color="auto"/>
            <w:right w:val="none" w:sz="0" w:space="0" w:color="auto"/>
          </w:divBdr>
          <w:divsChild>
            <w:div w:id="442919004">
              <w:marLeft w:val="0"/>
              <w:marRight w:val="0"/>
              <w:marTop w:val="0"/>
              <w:marBottom w:val="0"/>
              <w:divBdr>
                <w:top w:val="none" w:sz="0" w:space="0" w:color="auto"/>
                <w:left w:val="none" w:sz="0" w:space="0" w:color="auto"/>
                <w:bottom w:val="none" w:sz="0" w:space="0" w:color="auto"/>
                <w:right w:val="none" w:sz="0" w:space="0" w:color="auto"/>
              </w:divBdr>
              <w:divsChild>
                <w:div w:id="195434488">
                  <w:marLeft w:val="0"/>
                  <w:marRight w:val="0"/>
                  <w:marTop w:val="0"/>
                  <w:marBottom w:val="240"/>
                  <w:divBdr>
                    <w:top w:val="none" w:sz="0" w:space="0" w:color="auto"/>
                    <w:left w:val="none" w:sz="0" w:space="0" w:color="auto"/>
                    <w:bottom w:val="none" w:sz="0" w:space="0" w:color="auto"/>
                    <w:right w:val="none" w:sz="0" w:space="0" w:color="auto"/>
                  </w:divBdr>
                  <w:divsChild>
                    <w:div w:id="1770465743">
                      <w:marLeft w:val="0"/>
                      <w:marRight w:val="0"/>
                      <w:marTop w:val="0"/>
                      <w:marBottom w:val="0"/>
                      <w:divBdr>
                        <w:top w:val="none" w:sz="0" w:space="0" w:color="auto"/>
                        <w:left w:val="none" w:sz="0" w:space="0" w:color="auto"/>
                        <w:bottom w:val="none" w:sz="0" w:space="0" w:color="auto"/>
                        <w:right w:val="none" w:sz="0" w:space="0" w:color="auto"/>
                      </w:divBdr>
                      <w:divsChild>
                        <w:div w:id="1944065582">
                          <w:marLeft w:val="0"/>
                          <w:marRight w:val="0"/>
                          <w:marTop w:val="0"/>
                          <w:marBottom w:val="0"/>
                          <w:divBdr>
                            <w:top w:val="none" w:sz="0" w:space="0" w:color="auto"/>
                            <w:left w:val="single" w:sz="8" w:space="12" w:color="E1E9EB"/>
                            <w:bottom w:val="single" w:sz="8" w:space="12" w:color="E1E9EB"/>
                            <w:right w:val="none" w:sz="0" w:space="0" w:color="auto"/>
                          </w:divBdr>
                          <w:divsChild>
                            <w:div w:id="1463575465">
                              <w:marLeft w:val="0"/>
                              <w:marRight w:val="0"/>
                              <w:marTop w:val="0"/>
                              <w:marBottom w:val="0"/>
                              <w:divBdr>
                                <w:top w:val="none" w:sz="0" w:space="0" w:color="auto"/>
                                <w:left w:val="none" w:sz="0" w:space="0" w:color="auto"/>
                                <w:bottom w:val="none" w:sz="0" w:space="0" w:color="auto"/>
                                <w:right w:val="none" w:sz="0" w:space="0" w:color="auto"/>
                              </w:divBdr>
                              <w:divsChild>
                                <w:div w:id="2107529341">
                                  <w:marLeft w:val="0"/>
                                  <w:marRight w:val="0"/>
                                  <w:marTop w:val="0"/>
                                  <w:marBottom w:val="0"/>
                                  <w:divBdr>
                                    <w:top w:val="none" w:sz="0" w:space="0" w:color="auto"/>
                                    <w:left w:val="none" w:sz="0" w:space="0" w:color="auto"/>
                                    <w:bottom w:val="none" w:sz="0" w:space="0" w:color="auto"/>
                                    <w:right w:val="none" w:sz="0" w:space="0" w:color="auto"/>
                                  </w:divBdr>
                                </w:div>
                                <w:div w:id="21423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280856">
      <w:bodyDiv w:val="1"/>
      <w:marLeft w:val="0"/>
      <w:marRight w:val="0"/>
      <w:marTop w:val="0"/>
      <w:marBottom w:val="0"/>
      <w:divBdr>
        <w:top w:val="none" w:sz="0" w:space="0" w:color="auto"/>
        <w:left w:val="none" w:sz="0" w:space="0" w:color="auto"/>
        <w:bottom w:val="none" w:sz="0" w:space="0" w:color="auto"/>
        <w:right w:val="none" w:sz="0" w:space="0" w:color="auto"/>
      </w:divBdr>
      <w:divsChild>
        <w:div w:id="1560632454">
          <w:marLeft w:val="0"/>
          <w:marRight w:val="0"/>
          <w:marTop w:val="0"/>
          <w:marBottom w:val="0"/>
          <w:divBdr>
            <w:top w:val="none" w:sz="0" w:space="0" w:color="auto"/>
            <w:left w:val="none" w:sz="0" w:space="0" w:color="auto"/>
            <w:bottom w:val="none" w:sz="0" w:space="0" w:color="auto"/>
            <w:right w:val="none" w:sz="0" w:space="0" w:color="auto"/>
          </w:divBdr>
          <w:divsChild>
            <w:div w:id="271061693">
              <w:marLeft w:val="0"/>
              <w:marRight w:val="0"/>
              <w:marTop w:val="0"/>
              <w:marBottom w:val="0"/>
              <w:divBdr>
                <w:top w:val="none" w:sz="0" w:space="0" w:color="auto"/>
                <w:left w:val="double" w:sz="2" w:space="0" w:color="CCCCCC"/>
                <w:bottom w:val="double" w:sz="2" w:space="0" w:color="CCCCCC"/>
                <w:right w:val="double" w:sz="2" w:space="0" w:color="CCCCCC"/>
              </w:divBdr>
              <w:divsChild>
                <w:div w:id="459961683">
                  <w:marLeft w:val="0"/>
                  <w:marRight w:val="0"/>
                  <w:marTop w:val="0"/>
                  <w:marBottom w:val="0"/>
                  <w:divBdr>
                    <w:top w:val="none" w:sz="0" w:space="0" w:color="auto"/>
                    <w:left w:val="none" w:sz="0" w:space="0" w:color="auto"/>
                    <w:bottom w:val="none" w:sz="0" w:space="0" w:color="auto"/>
                    <w:right w:val="none" w:sz="0" w:space="0" w:color="auto"/>
                  </w:divBdr>
                  <w:divsChild>
                    <w:div w:id="997078964">
                      <w:marLeft w:val="289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73361">
      <w:bodyDiv w:val="1"/>
      <w:marLeft w:val="0"/>
      <w:marRight w:val="0"/>
      <w:marTop w:val="0"/>
      <w:marBottom w:val="0"/>
      <w:divBdr>
        <w:top w:val="none" w:sz="0" w:space="0" w:color="auto"/>
        <w:left w:val="none" w:sz="0" w:space="0" w:color="auto"/>
        <w:bottom w:val="none" w:sz="0" w:space="0" w:color="auto"/>
        <w:right w:val="none" w:sz="0" w:space="0" w:color="auto"/>
      </w:divBdr>
    </w:div>
    <w:div w:id="663898435">
      <w:bodyDiv w:val="1"/>
      <w:marLeft w:val="0"/>
      <w:marRight w:val="0"/>
      <w:marTop w:val="0"/>
      <w:marBottom w:val="0"/>
      <w:divBdr>
        <w:top w:val="none" w:sz="0" w:space="0" w:color="auto"/>
        <w:left w:val="none" w:sz="0" w:space="0" w:color="auto"/>
        <w:bottom w:val="none" w:sz="0" w:space="0" w:color="auto"/>
        <w:right w:val="none" w:sz="0" w:space="0" w:color="auto"/>
      </w:divBdr>
    </w:div>
    <w:div w:id="725109195">
      <w:bodyDiv w:val="1"/>
      <w:marLeft w:val="0"/>
      <w:marRight w:val="0"/>
      <w:marTop w:val="0"/>
      <w:marBottom w:val="0"/>
      <w:divBdr>
        <w:top w:val="none" w:sz="0" w:space="0" w:color="auto"/>
        <w:left w:val="none" w:sz="0" w:space="0" w:color="auto"/>
        <w:bottom w:val="none" w:sz="0" w:space="0" w:color="auto"/>
        <w:right w:val="none" w:sz="0" w:space="0" w:color="auto"/>
      </w:divBdr>
      <w:divsChild>
        <w:div w:id="195388614">
          <w:marLeft w:val="0"/>
          <w:marRight w:val="0"/>
          <w:marTop w:val="0"/>
          <w:marBottom w:val="0"/>
          <w:divBdr>
            <w:top w:val="none" w:sz="0" w:space="0" w:color="auto"/>
            <w:left w:val="none" w:sz="0" w:space="0" w:color="auto"/>
            <w:bottom w:val="none" w:sz="0" w:space="0" w:color="auto"/>
            <w:right w:val="none" w:sz="0" w:space="0" w:color="auto"/>
          </w:divBdr>
          <w:divsChild>
            <w:div w:id="2138717739">
              <w:marLeft w:val="0"/>
              <w:marRight w:val="0"/>
              <w:marTop w:val="0"/>
              <w:marBottom w:val="0"/>
              <w:divBdr>
                <w:top w:val="none" w:sz="0" w:space="0" w:color="auto"/>
                <w:left w:val="none" w:sz="0" w:space="0" w:color="auto"/>
                <w:bottom w:val="none" w:sz="0" w:space="0" w:color="auto"/>
                <w:right w:val="none" w:sz="0" w:space="0" w:color="auto"/>
              </w:divBdr>
              <w:divsChild>
                <w:div w:id="55516035">
                  <w:marLeft w:val="-170"/>
                  <w:marRight w:val="204"/>
                  <w:marTop w:val="0"/>
                  <w:marBottom w:val="0"/>
                  <w:divBdr>
                    <w:top w:val="none" w:sz="0" w:space="0" w:color="auto"/>
                    <w:left w:val="none" w:sz="0" w:space="0" w:color="auto"/>
                    <w:bottom w:val="none" w:sz="0" w:space="0" w:color="auto"/>
                    <w:right w:val="none" w:sz="0" w:space="0" w:color="auto"/>
                  </w:divBdr>
                  <w:divsChild>
                    <w:div w:id="824516093">
                      <w:marLeft w:val="0"/>
                      <w:marRight w:val="0"/>
                      <w:marTop w:val="0"/>
                      <w:marBottom w:val="0"/>
                      <w:divBdr>
                        <w:top w:val="none" w:sz="0" w:space="0" w:color="auto"/>
                        <w:left w:val="none" w:sz="0" w:space="0" w:color="auto"/>
                        <w:bottom w:val="none" w:sz="0" w:space="0" w:color="auto"/>
                        <w:right w:val="none" w:sz="0" w:space="0" w:color="auto"/>
                      </w:divBdr>
                      <w:divsChild>
                        <w:div w:id="893809370">
                          <w:marLeft w:val="272"/>
                          <w:marRight w:val="0"/>
                          <w:marTop w:val="0"/>
                          <w:marBottom w:val="100"/>
                          <w:divBdr>
                            <w:top w:val="none" w:sz="0" w:space="0" w:color="auto"/>
                            <w:left w:val="none" w:sz="0" w:space="0" w:color="auto"/>
                            <w:bottom w:val="none" w:sz="0" w:space="0" w:color="auto"/>
                            <w:right w:val="none" w:sz="0" w:space="0" w:color="auto"/>
                          </w:divBdr>
                          <w:divsChild>
                            <w:div w:id="120736728">
                              <w:marLeft w:val="91"/>
                              <w:marRight w:val="91"/>
                              <w:marTop w:val="91"/>
                              <w:marBottom w:val="272"/>
                              <w:divBdr>
                                <w:top w:val="none" w:sz="0" w:space="0" w:color="auto"/>
                                <w:left w:val="none" w:sz="0" w:space="0" w:color="auto"/>
                                <w:bottom w:val="none" w:sz="0" w:space="0" w:color="auto"/>
                                <w:right w:val="none" w:sz="0" w:space="0" w:color="auto"/>
                              </w:divBdr>
                              <w:divsChild>
                                <w:div w:id="165096868">
                                  <w:marLeft w:val="-227"/>
                                  <w:marRight w:val="0"/>
                                  <w:marTop w:val="0"/>
                                  <w:marBottom w:val="0"/>
                                  <w:divBdr>
                                    <w:top w:val="none" w:sz="0" w:space="0" w:color="auto"/>
                                    <w:left w:val="none" w:sz="0" w:space="0" w:color="auto"/>
                                    <w:bottom w:val="dotted" w:sz="4" w:space="3" w:color="AEAF8F"/>
                                    <w:right w:val="none" w:sz="0" w:space="0" w:color="auto"/>
                                  </w:divBdr>
                                  <w:divsChild>
                                    <w:div w:id="310526053">
                                      <w:marLeft w:val="0"/>
                                      <w:marRight w:val="0"/>
                                      <w:marTop w:val="0"/>
                                      <w:marBottom w:val="0"/>
                                      <w:divBdr>
                                        <w:top w:val="none" w:sz="0" w:space="0" w:color="auto"/>
                                        <w:left w:val="none" w:sz="0" w:space="0" w:color="auto"/>
                                        <w:bottom w:val="none" w:sz="0" w:space="0" w:color="auto"/>
                                        <w:right w:val="none" w:sz="0" w:space="0" w:color="auto"/>
                                      </w:divBdr>
                                      <w:divsChild>
                                        <w:div w:id="2057512142">
                                          <w:marLeft w:val="0"/>
                                          <w:marRight w:val="0"/>
                                          <w:marTop w:val="14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982641">
      <w:bodyDiv w:val="1"/>
      <w:marLeft w:val="0"/>
      <w:marRight w:val="0"/>
      <w:marTop w:val="0"/>
      <w:marBottom w:val="0"/>
      <w:divBdr>
        <w:top w:val="none" w:sz="0" w:space="0" w:color="auto"/>
        <w:left w:val="none" w:sz="0" w:space="0" w:color="auto"/>
        <w:bottom w:val="none" w:sz="0" w:space="0" w:color="auto"/>
        <w:right w:val="none" w:sz="0" w:space="0" w:color="auto"/>
      </w:divBdr>
    </w:div>
    <w:div w:id="824278183">
      <w:bodyDiv w:val="1"/>
      <w:marLeft w:val="0"/>
      <w:marRight w:val="0"/>
      <w:marTop w:val="0"/>
      <w:marBottom w:val="0"/>
      <w:divBdr>
        <w:top w:val="none" w:sz="0" w:space="0" w:color="auto"/>
        <w:left w:val="none" w:sz="0" w:space="0" w:color="auto"/>
        <w:bottom w:val="none" w:sz="0" w:space="0" w:color="auto"/>
        <w:right w:val="none" w:sz="0" w:space="0" w:color="auto"/>
      </w:divBdr>
    </w:div>
    <w:div w:id="852500063">
      <w:bodyDiv w:val="1"/>
      <w:marLeft w:val="0"/>
      <w:marRight w:val="0"/>
      <w:marTop w:val="0"/>
      <w:marBottom w:val="0"/>
      <w:divBdr>
        <w:top w:val="none" w:sz="0" w:space="0" w:color="auto"/>
        <w:left w:val="none" w:sz="0" w:space="0" w:color="auto"/>
        <w:bottom w:val="none" w:sz="0" w:space="0" w:color="auto"/>
        <w:right w:val="none" w:sz="0" w:space="0" w:color="auto"/>
      </w:divBdr>
    </w:div>
    <w:div w:id="858473737">
      <w:bodyDiv w:val="1"/>
      <w:marLeft w:val="0"/>
      <w:marRight w:val="0"/>
      <w:marTop w:val="0"/>
      <w:marBottom w:val="0"/>
      <w:divBdr>
        <w:top w:val="none" w:sz="0" w:space="0" w:color="auto"/>
        <w:left w:val="none" w:sz="0" w:space="0" w:color="auto"/>
        <w:bottom w:val="none" w:sz="0" w:space="0" w:color="auto"/>
        <w:right w:val="none" w:sz="0" w:space="0" w:color="auto"/>
      </w:divBdr>
    </w:div>
    <w:div w:id="905527651">
      <w:bodyDiv w:val="1"/>
      <w:marLeft w:val="0"/>
      <w:marRight w:val="0"/>
      <w:marTop w:val="0"/>
      <w:marBottom w:val="0"/>
      <w:divBdr>
        <w:top w:val="none" w:sz="0" w:space="0" w:color="auto"/>
        <w:left w:val="none" w:sz="0" w:space="0" w:color="auto"/>
        <w:bottom w:val="none" w:sz="0" w:space="0" w:color="auto"/>
        <w:right w:val="none" w:sz="0" w:space="0" w:color="auto"/>
      </w:divBdr>
    </w:div>
    <w:div w:id="1114983537">
      <w:bodyDiv w:val="1"/>
      <w:marLeft w:val="0"/>
      <w:marRight w:val="0"/>
      <w:marTop w:val="0"/>
      <w:marBottom w:val="0"/>
      <w:divBdr>
        <w:top w:val="none" w:sz="0" w:space="0" w:color="auto"/>
        <w:left w:val="none" w:sz="0" w:space="0" w:color="auto"/>
        <w:bottom w:val="none" w:sz="0" w:space="0" w:color="auto"/>
        <w:right w:val="none" w:sz="0" w:space="0" w:color="auto"/>
      </w:divBdr>
    </w:div>
    <w:div w:id="1227759505">
      <w:bodyDiv w:val="1"/>
      <w:marLeft w:val="0"/>
      <w:marRight w:val="0"/>
      <w:marTop w:val="0"/>
      <w:marBottom w:val="0"/>
      <w:divBdr>
        <w:top w:val="none" w:sz="0" w:space="0" w:color="auto"/>
        <w:left w:val="none" w:sz="0" w:space="0" w:color="auto"/>
        <w:bottom w:val="none" w:sz="0" w:space="0" w:color="auto"/>
        <w:right w:val="none" w:sz="0" w:space="0" w:color="auto"/>
      </w:divBdr>
    </w:div>
    <w:div w:id="1407335579">
      <w:bodyDiv w:val="1"/>
      <w:marLeft w:val="0"/>
      <w:marRight w:val="0"/>
      <w:marTop w:val="0"/>
      <w:marBottom w:val="0"/>
      <w:divBdr>
        <w:top w:val="none" w:sz="0" w:space="0" w:color="auto"/>
        <w:left w:val="none" w:sz="0" w:space="0" w:color="auto"/>
        <w:bottom w:val="none" w:sz="0" w:space="0" w:color="auto"/>
        <w:right w:val="none" w:sz="0" w:space="0" w:color="auto"/>
      </w:divBdr>
    </w:div>
    <w:div w:id="1996251677">
      <w:bodyDiv w:val="1"/>
      <w:marLeft w:val="0"/>
      <w:marRight w:val="0"/>
      <w:marTop w:val="0"/>
      <w:marBottom w:val="0"/>
      <w:divBdr>
        <w:top w:val="none" w:sz="0" w:space="0" w:color="auto"/>
        <w:left w:val="none" w:sz="0" w:space="0" w:color="auto"/>
        <w:bottom w:val="none" w:sz="0" w:space="0" w:color="auto"/>
        <w:right w:val="none" w:sz="0" w:space="0" w:color="auto"/>
      </w:divBdr>
    </w:div>
    <w:div w:id="2015299420">
      <w:bodyDiv w:val="1"/>
      <w:marLeft w:val="0"/>
      <w:marRight w:val="0"/>
      <w:marTop w:val="0"/>
      <w:marBottom w:val="0"/>
      <w:divBdr>
        <w:top w:val="none" w:sz="0" w:space="0" w:color="auto"/>
        <w:left w:val="none" w:sz="0" w:space="0" w:color="auto"/>
        <w:bottom w:val="none" w:sz="0" w:space="0" w:color="auto"/>
        <w:right w:val="none" w:sz="0" w:space="0" w:color="auto"/>
      </w:divBdr>
    </w:div>
    <w:div w:id="207134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1B065-8AE3-4D90-9AF9-91AB48BA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5660</Words>
  <Characters>32267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37852</CharactersWithSpaces>
  <SharedDoc>false</SharedDoc>
  <HLinks>
    <vt:vector size="30" baseType="variant">
      <vt:variant>
        <vt:i4>6225986</vt:i4>
      </vt:variant>
      <vt:variant>
        <vt:i4>491</vt:i4>
      </vt:variant>
      <vt:variant>
        <vt:i4>0</vt:i4>
      </vt:variant>
      <vt:variant>
        <vt:i4>5</vt:i4>
      </vt:variant>
      <vt:variant>
        <vt:lpwstr>http://effectivehealthcare.ahrq.gov/</vt:lpwstr>
      </vt:variant>
      <vt:variant>
        <vt:lpwstr/>
      </vt:variant>
      <vt:variant>
        <vt:i4>4587531</vt:i4>
      </vt:variant>
      <vt:variant>
        <vt:i4>486</vt:i4>
      </vt:variant>
      <vt:variant>
        <vt:i4>0</vt:i4>
      </vt:variant>
      <vt:variant>
        <vt:i4>5</vt:i4>
      </vt:variant>
      <vt:variant>
        <vt:lpwstr/>
      </vt:variant>
      <vt:variant>
        <vt:lpwstr>_ENREF_7</vt:lpwstr>
      </vt:variant>
      <vt:variant>
        <vt:i4>7340063</vt:i4>
      </vt:variant>
      <vt:variant>
        <vt:i4>6</vt:i4>
      </vt:variant>
      <vt:variant>
        <vt:i4>0</vt:i4>
      </vt:variant>
      <vt:variant>
        <vt:i4>5</vt:i4>
      </vt:variant>
      <vt:variant>
        <vt:lpwstr>mailto:epc@ahrq.hhs.gov</vt:lpwstr>
      </vt:variant>
      <vt:variant>
        <vt:lpwstr/>
      </vt:variant>
      <vt:variant>
        <vt:i4>6225947</vt:i4>
      </vt:variant>
      <vt:variant>
        <vt:i4>3</vt:i4>
      </vt:variant>
      <vt:variant>
        <vt:i4>0</vt:i4>
      </vt:variant>
      <vt:variant>
        <vt:i4>5</vt:i4>
      </vt:variant>
      <vt:variant>
        <vt:lpwstr>http://www.effectivehealthcare.ahrq.gov/</vt:lpwstr>
      </vt:variant>
      <vt:variant>
        <vt:lpwstr/>
      </vt:variant>
      <vt:variant>
        <vt:i4>4718621</vt:i4>
      </vt:variant>
      <vt:variant>
        <vt:i4>0</vt:i4>
      </vt:variant>
      <vt:variant>
        <vt:i4>0</vt:i4>
      </vt:variant>
      <vt:variant>
        <vt:i4>5</vt:i4>
      </vt:variant>
      <vt:variant>
        <vt:lpwstr>http://www.effectivehealthcare.ahrq.gov/reference/purpose.cfm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slloyd</dc:creator>
  <cp:lastModifiedBy>Venture</cp:lastModifiedBy>
  <cp:revision>3</cp:revision>
  <cp:lastPrinted>2013-04-25T15:12:00Z</cp:lastPrinted>
  <dcterms:created xsi:type="dcterms:W3CDTF">2013-05-17T09:06:00Z</dcterms:created>
  <dcterms:modified xsi:type="dcterms:W3CDTF">2013-05-17T09:31:00Z</dcterms:modified>
</cp:coreProperties>
</file>