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7C0BA" w14:textId="65C19DAD" w:rsidR="00B344BC" w:rsidRDefault="006A2E30" w:rsidP="00B344BC">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56</w:t>
      </w:r>
      <w:r w:rsidR="0024797A">
        <w:rPr>
          <w:noProof/>
        </w:rPr>
        <w:fldChar w:fldCharType="end"/>
      </w:r>
      <w:r>
        <w:t xml:space="preserve">: </w:t>
      </w:r>
      <w:r w:rsidR="00B344BC" w:rsidRPr="00C963EB">
        <w:t>Patient Identification Errors in the Operating Room</w:t>
      </w:r>
      <w:r w:rsidR="00B344BC">
        <w:rPr>
          <w:rFonts w:cs="Calibri"/>
        </w:rPr>
        <w:t>–</w:t>
      </w:r>
      <w:r w:rsidR="00B344BC" w:rsidRPr="00C963EB">
        <w:t>Systematic Review</w:t>
      </w:r>
      <w:r w:rsidR="00B344BC">
        <w:t>s</w:t>
      </w:r>
    </w:p>
    <w:p w14:paraId="7D09974D" w14:textId="39EDB531" w:rsidR="00B344BC" w:rsidRPr="00531093" w:rsidRDefault="00B344BC" w:rsidP="00B344BC">
      <w:pPr>
        <w:pStyle w:val="BodyText"/>
        <w:rPr>
          <w:lang w:val="en-US"/>
        </w:rPr>
      </w:pPr>
      <w:r>
        <w:rPr>
          <w:lang w:val="en-US"/>
        </w:rPr>
        <w:t xml:space="preserve">Note: Full references are located in the </w:t>
      </w:r>
      <w:hyperlink w:anchor="Section11point1refs" w:history="1">
        <w:r w:rsidRPr="003A5562">
          <w:rPr>
            <w:rStyle w:val="Hyperlink"/>
            <w:lang w:val="en-US"/>
          </w:rPr>
          <w:t>Section 11.1 reference list</w:t>
        </w:r>
      </w:hyperlink>
      <w:r>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174"/>
        <w:gridCol w:w="1723"/>
        <w:gridCol w:w="1269"/>
        <w:gridCol w:w="4530"/>
        <w:gridCol w:w="2451"/>
        <w:gridCol w:w="1899"/>
      </w:tblGrid>
      <w:tr w:rsidR="00B344BC" w:rsidRPr="000E5CA1" w14:paraId="2FFB4FF4" w14:textId="77777777" w:rsidTr="00372773">
        <w:trPr>
          <w:cantSplit/>
          <w:tblHeader/>
        </w:trPr>
        <w:tc>
          <w:tcPr>
            <w:tcW w:w="1165" w:type="dxa"/>
            <w:shd w:val="clear" w:color="auto" w:fill="auto"/>
            <w:vAlign w:val="center"/>
          </w:tcPr>
          <w:p w14:paraId="75E843B8"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Author, Year</w:t>
            </w:r>
          </w:p>
        </w:tc>
        <w:tc>
          <w:tcPr>
            <w:tcW w:w="1710" w:type="dxa"/>
            <w:shd w:val="clear" w:color="auto" w:fill="auto"/>
            <w:vAlign w:val="center"/>
          </w:tcPr>
          <w:p w14:paraId="6A7AD2D1"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 xml:space="preserve">Description </w:t>
            </w:r>
            <w:r>
              <w:rPr>
                <w:rFonts w:ascii="Arial" w:hAnsi="Arial" w:cs="Arial"/>
                <w:b/>
                <w:sz w:val="18"/>
                <w:szCs w:val="18"/>
              </w:rPr>
              <w:br/>
            </w:r>
            <w:r w:rsidRPr="000E5CA1">
              <w:rPr>
                <w:rFonts w:ascii="Arial" w:hAnsi="Arial" w:cs="Arial"/>
                <w:b/>
                <w:sz w:val="18"/>
                <w:szCs w:val="18"/>
              </w:rPr>
              <w:t>of P</w:t>
            </w:r>
            <w:r>
              <w:rPr>
                <w:rFonts w:ascii="Arial" w:hAnsi="Arial" w:cs="Arial"/>
                <w:b/>
                <w:sz w:val="18"/>
                <w:szCs w:val="18"/>
              </w:rPr>
              <w:t>atient Safety Practice</w:t>
            </w:r>
          </w:p>
        </w:tc>
        <w:tc>
          <w:tcPr>
            <w:tcW w:w="1260" w:type="dxa"/>
            <w:shd w:val="clear" w:color="auto" w:fill="auto"/>
            <w:vAlign w:val="center"/>
          </w:tcPr>
          <w:p w14:paraId="04F68833"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Setting</w:t>
            </w:r>
          </w:p>
        </w:tc>
        <w:tc>
          <w:tcPr>
            <w:tcW w:w="4497" w:type="dxa"/>
            <w:shd w:val="clear" w:color="auto" w:fill="auto"/>
            <w:vAlign w:val="center"/>
          </w:tcPr>
          <w:p w14:paraId="00D3D211"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 xml:space="preserve">Summary of </w:t>
            </w:r>
            <w:r>
              <w:rPr>
                <w:rFonts w:ascii="Arial" w:hAnsi="Arial" w:cs="Arial"/>
                <w:b/>
                <w:sz w:val="18"/>
                <w:szCs w:val="18"/>
              </w:rPr>
              <w:br/>
            </w:r>
            <w:r w:rsidRPr="000E5CA1">
              <w:rPr>
                <w:rFonts w:ascii="Arial" w:hAnsi="Arial" w:cs="Arial"/>
                <w:b/>
                <w:sz w:val="18"/>
                <w:szCs w:val="18"/>
              </w:rPr>
              <w:t>Systematic Review</w:t>
            </w:r>
          </w:p>
        </w:tc>
        <w:tc>
          <w:tcPr>
            <w:tcW w:w="2433" w:type="dxa"/>
            <w:shd w:val="clear" w:color="auto" w:fill="auto"/>
            <w:vAlign w:val="center"/>
          </w:tcPr>
          <w:p w14:paraId="592E78DE"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 xml:space="preserve">Implementation </w:t>
            </w:r>
            <w:r>
              <w:rPr>
                <w:rFonts w:ascii="Arial" w:hAnsi="Arial" w:cs="Arial"/>
                <w:b/>
                <w:sz w:val="18"/>
                <w:szCs w:val="18"/>
              </w:rPr>
              <w:br/>
            </w:r>
            <w:r w:rsidRPr="000E5CA1">
              <w:rPr>
                <w:rFonts w:ascii="Arial" w:hAnsi="Arial" w:cs="Arial"/>
                <w:b/>
                <w:sz w:val="18"/>
                <w:szCs w:val="18"/>
              </w:rPr>
              <w:t>Themes</w:t>
            </w:r>
          </w:p>
        </w:tc>
        <w:tc>
          <w:tcPr>
            <w:tcW w:w="1885" w:type="dxa"/>
            <w:shd w:val="clear" w:color="auto" w:fill="auto"/>
            <w:vAlign w:val="center"/>
          </w:tcPr>
          <w:p w14:paraId="66DFBA4F" w14:textId="77777777" w:rsidR="00B344BC" w:rsidRPr="000E5CA1" w:rsidRDefault="00B344BC" w:rsidP="008A7983">
            <w:pPr>
              <w:spacing w:after="0"/>
              <w:jc w:val="center"/>
              <w:rPr>
                <w:rFonts w:ascii="Arial" w:hAnsi="Arial" w:cs="Arial"/>
                <w:b/>
                <w:sz w:val="18"/>
                <w:szCs w:val="18"/>
              </w:rPr>
            </w:pPr>
            <w:r w:rsidRPr="000E5CA1">
              <w:rPr>
                <w:rFonts w:ascii="Arial" w:hAnsi="Arial" w:cs="Arial"/>
                <w:b/>
                <w:sz w:val="18"/>
                <w:szCs w:val="18"/>
              </w:rPr>
              <w:t>Notes</w:t>
            </w:r>
          </w:p>
        </w:tc>
      </w:tr>
      <w:tr w:rsidR="00B344BC" w:rsidRPr="000E5CA1" w14:paraId="23D3FE11" w14:textId="77777777" w:rsidTr="00372773">
        <w:trPr>
          <w:cantSplit/>
        </w:trPr>
        <w:tc>
          <w:tcPr>
            <w:tcW w:w="1165" w:type="dxa"/>
            <w:shd w:val="clear" w:color="auto" w:fill="auto"/>
          </w:tcPr>
          <w:p w14:paraId="573702A7" w14:textId="77777777" w:rsidR="00B344BC" w:rsidRPr="00854AAA" w:rsidRDefault="00B344BC" w:rsidP="008A7983">
            <w:pPr>
              <w:spacing w:after="0"/>
              <w:rPr>
                <w:rFonts w:ascii="Arial" w:hAnsi="Arial" w:cs="Arial"/>
                <w:b/>
                <w:sz w:val="18"/>
                <w:szCs w:val="18"/>
                <w:vertAlign w:val="superscript"/>
              </w:rPr>
            </w:pPr>
            <w:r w:rsidRPr="00A71DAE">
              <w:rPr>
                <w:rFonts w:ascii="Arial" w:hAnsi="Arial" w:cs="Arial"/>
                <w:b/>
                <w:sz w:val="18"/>
                <w:szCs w:val="18"/>
              </w:rPr>
              <w:t>Devine</w:t>
            </w:r>
            <w:r>
              <w:rPr>
                <w:rFonts w:ascii="Arial" w:hAnsi="Arial" w:cs="Arial"/>
                <w:b/>
                <w:sz w:val="18"/>
                <w:szCs w:val="18"/>
              </w:rPr>
              <w:t xml:space="preserve"> </w:t>
            </w:r>
            <w:r w:rsidRPr="00A71DAE">
              <w:rPr>
                <w:rFonts w:ascii="Arial" w:hAnsi="Arial" w:cs="Arial"/>
                <w:b/>
                <w:sz w:val="18"/>
                <w:szCs w:val="18"/>
              </w:rPr>
              <w:t>et al., 2010</w:t>
            </w:r>
            <w:r>
              <w:rPr>
                <w:rFonts w:ascii="Arial" w:hAnsi="Arial" w:cs="Arial"/>
                <w:b/>
                <w:sz w:val="18"/>
                <w:szCs w:val="18"/>
                <w:vertAlign w:val="superscript"/>
              </w:rPr>
              <w:t>1</w:t>
            </w:r>
          </w:p>
        </w:tc>
        <w:tc>
          <w:tcPr>
            <w:tcW w:w="1710" w:type="dxa"/>
            <w:shd w:val="clear" w:color="auto" w:fill="auto"/>
          </w:tcPr>
          <w:p w14:paraId="746DB7A7"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Joint Commission Checklist Universal Protocol for Preventing Wrong Site, Wrong Procedure, Wrong Person Surgery</w:t>
            </w:r>
          </w:p>
        </w:tc>
        <w:tc>
          <w:tcPr>
            <w:tcW w:w="1260" w:type="dxa"/>
            <w:shd w:val="clear" w:color="auto" w:fill="auto"/>
          </w:tcPr>
          <w:p w14:paraId="302B6C98"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Operating room</w:t>
            </w:r>
          </w:p>
        </w:tc>
        <w:tc>
          <w:tcPr>
            <w:tcW w:w="4497" w:type="dxa"/>
            <w:shd w:val="clear" w:color="auto" w:fill="auto"/>
          </w:tcPr>
          <w:p w14:paraId="0CF1BE7E"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The estimated rate of wrong-site surgery varies, ranging from 0.09 to 4.5 per 10,000 surgeries performed. Many studies do not allow for the calculation of an event rate.</w:t>
            </w:r>
          </w:p>
          <w:p w14:paraId="31258EE3"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 xml:space="preserve">Contributing factors to wrong-site surgery include incorrect patient positioning or preparation of operative site, patient or family providing incorrect information, incorrect or lack of patient consent, failure to use site-markings, surgeon fatigue, multiple surgeons, </w:t>
            </w:r>
            <w:proofErr w:type="gramStart"/>
            <w:r w:rsidRPr="000E5CA1">
              <w:rPr>
                <w:rFonts w:ascii="Arial" w:hAnsi="Arial" w:cs="Arial"/>
                <w:sz w:val="18"/>
                <w:szCs w:val="18"/>
              </w:rPr>
              <w:t>multiple</w:t>
            </w:r>
            <w:proofErr w:type="gramEnd"/>
            <w:r w:rsidRPr="000E5CA1">
              <w:rPr>
                <w:rFonts w:ascii="Arial" w:hAnsi="Arial" w:cs="Arial"/>
                <w:sz w:val="18"/>
                <w:szCs w:val="18"/>
              </w:rPr>
              <w:t xml:space="preserve"> procedures on same patient, unusual time pressures, emergent operations, unusual patient anatomy, and overall poor communication.</w:t>
            </w:r>
          </w:p>
          <w:p w14:paraId="08E76D44"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No evidence exists to support the Joint Commission checklist, North American Spine Society checklist, or other preventive measures and their effectiveness in preventing a wrong-site surgery.</w:t>
            </w:r>
          </w:p>
        </w:tc>
        <w:tc>
          <w:tcPr>
            <w:tcW w:w="2433" w:type="dxa"/>
            <w:shd w:val="clear" w:color="auto" w:fill="auto"/>
          </w:tcPr>
          <w:p w14:paraId="3157722A"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North American Spine Society and Joint Commission checklists are insufficient on their own to minimize wrong-site surgery.</w:t>
            </w:r>
          </w:p>
        </w:tc>
        <w:tc>
          <w:tcPr>
            <w:tcW w:w="1885" w:type="dxa"/>
            <w:shd w:val="clear" w:color="auto" w:fill="auto"/>
          </w:tcPr>
          <w:p w14:paraId="02C39266"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Strength of evidence for the questions is very low (incidence/frequency of wrong-site surgery and what preoperative measures are effective in preventing wrong-site surgery) and low (what are the causes of wrong-site surgery?).</w:t>
            </w:r>
          </w:p>
        </w:tc>
      </w:tr>
      <w:tr w:rsidR="00B344BC" w:rsidRPr="000E5CA1" w14:paraId="6356006B" w14:textId="77777777" w:rsidTr="00372773">
        <w:trPr>
          <w:cantSplit/>
        </w:trPr>
        <w:tc>
          <w:tcPr>
            <w:tcW w:w="1165" w:type="dxa"/>
            <w:shd w:val="clear" w:color="auto" w:fill="auto"/>
          </w:tcPr>
          <w:p w14:paraId="16C68FB2" w14:textId="77777777" w:rsidR="00B344BC" w:rsidRPr="00854AAA" w:rsidRDefault="00B344BC" w:rsidP="008A7983">
            <w:pPr>
              <w:spacing w:after="0"/>
              <w:rPr>
                <w:rFonts w:ascii="Arial" w:hAnsi="Arial" w:cs="Arial"/>
                <w:b/>
                <w:sz w:val="18"/>
                <w:szCs w:val="18"/>
                <w:vertAlign w:val="superscript"/>
              </w:rPr>
            </w:pPr>
            <w:proofErr w:type="spellStart"/>
            <w:r>
              <w:rPr>
                <w:rFonts w:ascii="Arial" w:hAnsi="Arial" w:cs="Arial"/>
                <w:b/>
                <w:sz w:val="18"/>
                <w:szCs w:val="18"/>
              </w:rPr>
              <w:t>Hempel</w:t>
            </w:r>
            <w:proofErr w:type="spellEnd"/>
            <w:r w:rsidRPr="00A71DAE">
              <w:rPr>
                <w:rFonts w:ascii="Arial" w:hAnsi="Arial" w:cs="Arial"/>
                <w:b/>
                <w:sz w:val="18"/>
                <w:szCs w:val="18"/>
              </w:rPr>
              <w:t xml:space="preserve"> et al.</w:t>
            </w:r>
            <w:r>
              <w:rPr>
                <w:rFonts w:ascii="Arial" w:hAnsi="Arial" w:cs="Arial"/>
                <w:b/>
                <w:sz w:val="18"/>
                <w:szCs w:val="18"/>
              </w:rPr>
              <w:t>,</w:t>
            </w:r>
            <w:r w:rsidRPr="00A71DAE">
              <w:rPr>
                <w:rFonts w:ascii="Arial" w:hAnsi="Arial" w:cs="Arial"/>
                <w:b/>
                <w:sz w:val="18"/>
                <w:szCs w:val="18"/>
              </w:rPr>
              <w:t xml:space="preserve"> 2015</w:t>
            </w:r>
            <w:r>
              <w:rPr>
                <w:rFonts w:ascii="Arial" w:hAnsi="Arial" w:cs="Arial"/>
                <w:b/>
                <w:sz w:val="18"/>
                <w:szCs w:val="18"/>
                <w:vertAlign w:val="superscript"/>
              </w:rPr>
              <w:t>3</w:t>
            </w:r>
          </w:p>
        </w:tc>
        <w:tc>
          <w:tcPr>
            <w:tcW w:w="1710" w:type="dxa"/>
            <w:shd w:val="clear" w:color="auto" w:fill="auto"/>
          </w:tcPr>
          <w:p w14:paraId="5A836F03" w14:textId="77777777" w:rsidR="00B344BC" w:rsidRPr="000E5CA1" w:rsidRDefault="00B344BC" w:rsidP="008A7983">
            <w:pPr>
              <w:spacing w:after="0"/>
              <w:rPr>
                <w:rFonts w:ascii="Arial" w:hAnsi="Arial" w:cs="Arial"/>
                <w:sz w:val="18"/>
                <w:szCs w:val="18"/>
              </w:rPr>
            </w:pPr>
            <w:r>
              <w:rPr>
                <w:rFonts w:ascii="Arial" w:hAnsi="Arial" w:cs="Arial"/>
                <w:sz w:val="18"/>
                <w:szCs w:val="18"/>
              </w:rPr>
              <w:t>Joint Commission Universal Protocol</w:t>
            </w:r>
          </w:p>
        </w:tc>
        <w:tc>
          <w:tcPr>
            <w:tcW w:w="1260" w:type="dxa"/>
            <w:shd w:val="clear" w:color="auto" w:fill="auto"/>
          </w:tcPr>
          <w:p w14:paraId="7F46ADA3" w14:textId="77777777" w:rsidR="00B344BC" w:rsidRPr="000E5CA1" w:rsidRDefault="00B344BC" w:rsidP="008A7983">
            <w:pPr>
              <w:spacing w:after="0"/>
              <w:rPr>
                <w:rFonts w:ascii="Arial" w:hAnsi="Arial" w:cs="Arial"/>
                <w:sz w:val="18"/>
                <w:szCs w:val="18"/>
              </w:rPr>
            </w:pPr>
            <w:r>
              <w:rPr>
                <w:rFonts w:ascii="Arial" w:hAnsi="Arial" w:cs="Arial"/>
                <w:sz w:val="18"/>
                <w:szCs w:val="18"/>
              </w:rPr>
              <w:t>Operating room</w:t>
            </w:r>
          </w:p>
        </w:tc>
        <w:tc>
          <w:tcPr>
            <w:tcW w:w="4497" w:type="dxa"/>
            <w:shd w:val="clear" w:color="auto" w:fill="auto"/>
          </w:tcPr>
          <w:p w14:paraId="55804777" w14:textId="77777777" w:rsidR="00B344BC" w:rsidRPr="000E5CA1" w:rsidRDefault="00B344BC" w:rsidP="008A7983">
            <w:pPr>
              <w:spacing w:after="0"/>
              <w:rPr>
                <w:rFonts w:ascii="Arial" w:hAnsi="Arial" w:cs="Arial"/>
                <w:sz w:val="18"/>
                <w:szCs w:val="18"/>
              </w:rPr>
            </w:pPr>
            <w:r>
              <w:rPr>
                <w:rFonts w:ascii="Arial" w:hAnsi="Arial" w:cs="Arial"/>
                <w:sz w:val="18"/>
                <w:szCs w:val="18"/>
              </w:rPr>
              <w:t xml:space="preserve">Review examined the incidence, root cause of. </w:t>
            </w:r>
            <w:proofErr w:type="gramStart"/>
            <w:r>
              <w:rPr>
                <w:rFonts w:ascii="Arial" w:hAnsi="Arial" w:cs="Arial"/>
                <w:sz w:val="18"/>
                <w:szCs w:val="18"/>
              </w:rPr>
              <w:t>and</w:t>
            </w:r>
            <w:proofErr w:type="gramEnd"/>
            <w:r>
              <w:rPr>
                <w:rFonts w:ascii="Arial" w:hAnsi="Arial" w:cs="Arial"/>
                <w:sz w:val="18"/>
                <w:szCs w:val="18"/>
              </w:rPr>
              <w:t xml:space="preserve"> interventions to prevent wrong-site surgery, surgical fires, and retained objects since the implementation of the Universal Protocol. Authors reviewed 138 studies. </w:t>
            </w:r>
            <w:proofErr w:type="gramStart"/>
            <w:r>
              <w:rPr>
                <w:rFonts w:ascii="Arial" w:hAnsi="Arial" w:cs="Arial"/>
                <w:sz w:val="18"/>
                <w:szCs w:val="18"/>
              </w:rPr>
              <w:t>and</w:t>
            </w:r>
            <w:proofErr w:type="gramEnd"/>
            <w:r>
              <w:rPr>
                <w:rFonts w:ascii="Arial" w:hAnsi="Arial" w:cs="Arial"/>
                <w:sz w:val="18"/>
                <w:szCs w:val="18"/>
              </w:rPr>
              <w:t xml:space="preserve"> the most common cause for wrong-site surgery was miscommunication. Five studies examined the effect of the Universal Protocol intervention and, although there was a downward trend in wrong-site surgery, it was statistically insignificant. </w:t>
            </w:r>
          </w:p>
        </w:tc>
        <w:tc>
          <w:tcPr>
            <w:tcW w:w="2433" w:type="dxa"/>
            <w:shd w:val="clear" w:color="auto" w:fill="auto"/>
          </w:tcPr>
          <w:p w14:paraId="354286CF" w14:textId="77777777" w:rsidR="00B344BC" w:rsidRPr="000E5CA1" w:rsidRDefault="00B344BC" w:rsidP="008A7983">
            <w:pPr>
              <w:spacing w:after="0"/>
              <w:rPr>
                <w:rFonts w:ascii="Arial" w:hAnsi="Arial" w:cs="Arial"/>
                <w:sz w:val="18"/>
                <w:szCs w:val="18"/>
              </w:rPr>
            </w:pPr>
            <w:r>
              <w:rPr>
                <w:rFonts w:ascii="Arial" w:hAnsi="Arial" w:cs="Arial"/>
                <w:sz w:val="18"/>
                <w:szCs w:val="18"/>
              </w:rPr>
              <w:t>Review identified 25 studies that evaluated operationalizing components of and alternatives to the Universal Protocol, but none of the studies reported a statistically significant effect on wrong-site surgery.</w:t>
            </w:r>
          </w:p>
        </w:tc>
        <w:tc>
          <w:tcPr>
            <w:tcW w:w="1885" w:type="dxa"/>
            <w:shd w:val="clear" w:color="auto" w:fill="auto"/>
          </w:tcPr>
          <w:p w14:paraId="543A8039" w14:textId="77777777" w:rsidR="00B344BC" w:rsidRPr="000E5CA1" w:rsidRDefault="00B344BC" w:rsidP="008A7983">
            <w:pPr>
              <w:spacing w:after="0"/>
              <w:rPr>
                <w:rFonts w:ascii="Arial" w:hAnsi="Arial" w:cs="Arial"/>
                <w:sz w:val="18"/>
                <w:szCs w:val="18"/>
              </w:rPr>
            </w:pPr>
            <w:r>
              <w:rPr>
                <w:rFonts w:ascii="Arial" w:hAnsi="Arial" w:cs="Arial"/>
                <w:sz w:val="18"/>
                <w:szCs w:val="18"/>
              </w:rPr>
              <w:t>None</w:t>
            </w:r>
          </w:p>
        </w:tc>
      </w:tr>
      <w:tr w:rsidR="00B344BC" w:rsidRPr="000E5CA1" w14:paraId="4CEB3FCE" w14:textId="77777777" w:rsidTr="00372773">
        <w:trPr>
          <w:cantSplit/>
        </w:trPr>
        <w:tc>
          <w:tcPr>
            <w:tcW w:w="1165" w:type="dxa"/>
            <w:shd w:val="clear" w:color="auto" w:fill="auto"/>
          </w:tcPr>
          <w:p w14:paraId="755AF06B" w14:textId="77777777" w:rsidR="00B344BC" w:rsidRPr="00854AAA" w:rsidRDefault="00B344BC" w:rsidP="008A7983">
            <w:pPr>
              <w:spacing w:after="0"/>
              <w:rPr>
                <w:rFonts w:ascii="Arial" w:hAnsi="Arial" w:cs="Arial"/>
                <w:b/>
                <w:sz w:val="18"/>
                <w:szCs w:val="18"/>
                <w:vertAlign w:val="superscript"/>
              </w:rPr>
            </w:pPr>
            <w:r>
              <w:rPr>
                <w:rFonts w:ascii="Arial" w:hAnsi="Arial" w:cs="Arial"/>
                <w:b/>
                <w:sz w:val="18"/>
                <w:szCs w:val="18"/>
              </w:rPr>
              <w:t xml:space="preserve">Kim </w:t>
            </w:r>
            <w:r w:rsidRPr="00A71DAE">
              <w:rPr>
                <w:rFonts w:ascii="Arial" w:hAnsi="Arial" w:cs="Arial"/>
                <w:b/>
                <w:sz w:val="18"/>
                <w:szCs w:val="18"/>
              </w:rPr>
              <w:t>et al., 2015</w:t>
            </w:r>
            <w:r>
              <w:rPr>
                <w:rFonts w:ascii="Arial" w:hAnsi="Arial" w:cs="Arial"/>
                <w:b/>
                <w:sz w:val="18"/>
                <w:szCs w:val="18"/>
                <w:vertAlign w:val="superscript"/>
              </w:rPr>
              <w:t>9</w:t>
            </w:r>
          </w:p>
        </w:tc>
        <w:tc>
          <w:tcPr>
            <w:tcW w:w="1710" w:type="dxa"/>
            <w:shd w:val="clear" w:color="auto" w:fill="auto"/>
          </w:tcPr>
          <w:p w14:paraId="3CC63A1F"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Surgery safety practices</w:t>
            </w:r>
          </w:p>
        </w:tc>
        <w:tc>
          <w:tcPr>
            <w:tcW w:w="1260" w:type="dxa"/>
            <w:shd w:val="clear" w:color="auto" w:fill="auto"/>
          </w:tcPr>
          <w:p w14:paraId="1BB09DD7"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Operating room</w:t>
            </w:r>
          </w:p>
        </w:tc>
        <w:tc>
          <w:tcPr>
            <w:tcW w:w="4497" w:type="dxa"/>
            <w:shd w:val="clear" w:color="auto" w:fill="auto"/>
          </w:tcPr>
          <w:p w14:paraId="61A40E21"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 xml:space="preserve">Healthcare workers should use the following to reduce wrong-site surgeries: </w:t>
            </w:r>
            <w:r>
              <w:rPr>
                <w:rFonts w:ascii="Arial" w:hAnsi="Arial" w:cs="Arial"/>
                <w:sz w:val="18"/>
                <w:szCs w:val="18"/>
              </w:rPr>
              <w:t>(</w:t>
            </w:r>
            <w:r w:rsidRPr="000E5CA1">
              <w:rPr>
                <w:rFonts w:ascii="Arial" w:hAnsi="Arial" w:cs="Arial"/>
                <w:sz w:val="18"/>
                <w:szCs w:val="18"/>
              </w:rPr>
              <w:t xml:space="preserve">1) When scheduling the procedure, schedulers should verify patient documentation and receive all surgery requests in writing. </w:t>
            </w:r>
            <w:r>
              <w:rPr>
                <w:rFonts w:ascii="Arial" w:hAnsi="Arial" w:cs="Arial"/>
                <w:sz w:val="18"/>
                <w:szCs w:val="18"/>
              </w:rPr>
              <w:t>(</w:t>
            </w:r>
            <w:r w:rsidRPr="000E5CA1">
              <w:rPr>
                <w:rFonts w:ascii="Arial" w:hAnsi="Arial" w:cs="Arial"/>
                <w:sz w:val="18"/>
                <w:szCs w:val="18"/>
              </w:rPr>
              <w:t xml:space="preserve">2) During the preoperative visit, patient should provide informed consent, and should be involved in marking the procedure site. </w:t>
            </w:r>
            <w:r>
              <w:rPr>
                <w:rFonts w:ascii="Arial" w:hAnsi="Arial" w:cs="Arial"/>
                <w:sz w:val="18"/>
                <w:szCs w:val="18"/>
              </w:rPr>
              <w:t>(</w:t>
            </w:r>
            <w:r w:rsidRPr="000E5CA1">
              <w:rPr>
                <w:rFonts w:ascii="Arial" w:hAnsi="Arial" w:cs="Arial"/>
                <w:sz w:val="18"/>
                <w:szCs w:val="18"/>
              </w:rPr>
              <w:t xml:space="preserve">3) Before the procedure, a safety checklist such as the </w:t>
            </w:r>
            <w:r>
              <w:rPr>
                <w:rFonts w:ascii="Arial" w:hAnsi="Arial" w:cs="Arial"/>
                <w:sz w:val="18"/>
                <w:szCs w:val="18"/>
              </w:rPr>
              <w:t>World Health Organization (</w:t>
            </w:r>
            <w:r w:rsidRPr="000E5CA1">
              <w:rPr>
                <w:rFonts w:ascii="Arial" w:hAnsi="Arial" w:cs="Arial"/>
                <w:sz w:val="18"/>
                <w:szCs w:val="18"/>
              </w:rPr>
              <w:t>WHO</w:t>
            </w:r>
            <w:r>
              <w:rPr>
                <w:rFonts w:ascii="Arial" w:hAnsi="Arial" w:cs="Arial"/>
                <w:sz w:val="18"/>
                <w:szCs w:val="18"/>
              </w:rPr>
              <w:t>)</w:t>
            </w:r>
            <w:r w:rsidRPr="000E5CA1">
              <w:rPr>
                <w:rFonts w:ascii="Arial" w:hAnsi="Arial" w:cs="Arial"/>
                <w:sz w:val="18"/>
                <w:szCs w:val="18"/>
              </w:rPr>
              <w:t xml:space="preserve"> checklist should be fully implemented. </w:t>
            </w:r>
            <w:r>
              <w:rPr>
                <w:rFonts w:ascii="Arial" w:hAnsi="Arial" w:cs="Arial"/>
                <w:sz w:val="18"/>
                <w:szCs w:val="18"/>
              </w:rPr>
              <w:t>(</w:t>
            </w:r>
            <w:r w:rsidRPr="000E5CA1">
              <w:rPr>
                <w:rFonts w:ascii="Arial" w:hAnsi="Arial" w:cs="Arial"/>
                <w:sz w:val="18"/>
                <w:szCs w:val="18"/>
              </w:rPr>
              <w:t>4) A discharge plan should be discussed before leaving the facility.</w:t>
            </w:r>
          </w:p>
        </w:tc>
        <w:tc>
          <w:tcPr>
            <w:tcW w:w="2433" w:type="dxa"/>
            <w:shd w:val="clear" w:color="auto" w:fill="auto"/>
          </w:tcPr>
          <w:p w14:paraId="6DBEFDB3"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According to the author, patient safety guidelines in surgery are too general and need more standardization.</w:t>
            </w:r>
          </w:p>
        </w:tc>
        <w:tc>
          <w:tcPr>
            <w:tcW w:w="1885" w:type="dxa"/>
            <w:shd w:val="clear" w:color="auto" w:fill="auto"/>
          </w:tcPr>
          <w:p w14:paraId="5317A394" w14:textId="77777777" w:rsidR="00B344BC" w:rsidRPr="000E5CA1" w:rsidRDefault="00B344BC" w:rsidP="008A7983">
            <w:pPr>
              <w:spacing w:after="0"/>
              <w:rPr>
                <w:rFonts w:ascii="Arial" w:hAnsi="Arial" w:cs="Arial"/>
                <w:sz w:val="18"/>
                <w:szCs w:val="18"/>
              </w:rPr>
            </w:pPr>
            <w:r>
              <w:rPr>
                <w:rFonts w:ascii="Arial" w:hAnsi="Arial" w:cs="Arial"/>
                <w:sz w:val="18"/>
                <w:szCs w:val="18"/>
              </w:rPr>
              <w:t>None</w:t>
            </w:r>
          </w:p>
        </w:tc>
      </w:tr>
      <w:tr w:rsidR="00B344BC" w:rsidRPr="000E5CA1" w14:paraId="0F32ABA1" w14:textId="77777777" w:rsidTr="00372773">
        <w:trPr>
          <w:cantSplit/>
        </w:trPr>
        <w:tc>
          <w:tcPr>
            <w:tcW w:w="1165" w:type="dxa"/>
            <w:shd w:val="clear" w:color="auto" w:fill="auto"/>
          </w:tcPr>
          <w:p w14:paraId="77FB8FE8" w14:textId="77777777" w:rsidR="00B344BC" w:rsidRPr="00854AAA" w:rsidRDefault="00B344BC" w:rsidP="008A7983">
            <w:pPr>
              <w:spacing w:after="0"/>
              <w:rPr>
                <w:rFonts w:ascii="Arial" w:hAnsi="Arial" w:cs="Arial"/>
                <w:b/>
                <w:sz w:val="18"/>
                <w:szCs w:val="18"/>
                <w:vertAlign w:val="superscript"/>
              </w:rPr>
            </w:pPr>
            <w:r>
              <w:rPr>
                <w:rFonts w:ascii="Arial" w:hAnsi="Arial" w:cs="Arial"/>
                <w:b/>
                <w:sz w:val="18"/>
                <w:szCs w:val="18"/>
              </w:rPr>
              <w:lastRenderedPageBreak/>
              <w:t xml:space="preserve">Ragusa </w:t>
            </w:r>
            <w:r w:rsidRPr="00A71DAE">
              <w:rPr>
                <w:rFonts w:ascii="Arial" w:hAnsi="Arial" w:cs="Arial"/>
                <w:b/>
                <w:sz w:val="18"/>
                <w:szCs w:val="18"/>
              </w:rPr>
              <w:t>et al., 2016</w:t>
            </w:r>
            <w:r>
              <w:rPr>
                <w:rFonts w:ascii="Arial" w:hAnsi="Arial" w:cs="Arial"/>
                <w:b/>
                <w:sz w:val="18"/>
                <w:szCs w:val="18"/>
                <w:vertAlign w:val="superscript"/>
              </w:rPr>
              <w:t>2</w:t>
            </w:r>
          </w:p>
        </w:tc>
        <w:tc>
          <w:tcPr>
            <w:tcW w:w="1710" w:type="dxa"/>
            <w:shd w:val="clear" w:color="auto" w:fill="auto"/>
          </w:tcPr>
          <w:p w14:paraId="08CCC1D4"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Joint Commission Universal Protocol and WHO Safe Surgery Checklist</w:t>
            </w:r>
          </w:p>
        </w:tc>
        <w:tc>
          <w:tcPr>
            <w:tcW w:w="1260" w:type="dxa"/>
            <w:shd w:val="clear" w:color="auto" w:fill="auto"/>
          </w:tcPr>
          <w:p w14:paraId="32348FF3"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Orthopedic surgeons/</w:t>
            </w:r>
            <w:r>
              <w:rPr>
                <w:rFonts w:ascii="Arial" w:hAnsi="Arial" w:cs="Arial"/>
                <w:sz w:val="18"/>
                <w:szCs w:val="18"/>
              </w:rPr>
              <w:t xml:space="preserve"> </w:t>
            </w:r>
            <w:r w:rsidRPr="000E5CA1">
              <w:rPr>
                <w:rFonts w:ascii="Arial" w:hAnsi="Arial" w:cs="Arial"/>
                <w:sz w:val="18"/>
                <w:szCs w:val="18"/>
              </w:rPr>
              <w:t>operating rooms</w:t>
            </w:r>
          </w:p>
        </w:tc>
        <w:tc>
          <w:tcPr>
            <w:tcW w:w="4497" w:type="dxa"/>
            <w:shd w:val="clear" w:color="auto" w:fill="auto"/>
          </w:tcPr>
          <w:p w14:paraId="25831E04"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Surgical checklist compliance varies, and additional measures like audits or monitoring were necessary to maintain compliance. No reviewed study reported a 100% compliance rate.</w:t>
            </w:r>
          </w:p>
          <w:p w14:paraId="322356E5"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Literature shows that the use of the WHO surgical safety checklist in the operating room improves patient safety in the operating room by decreasing postoperative complications and mortality. This approach is also shown to improve processes such as the timely use of prophylactic antibiotics; and after the implementation of checklists, which help to improve team communication and decrease communication failures.</w:t>
            </w:r>
          </w:p>
          <w:p w14:paraId="10C9680F"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Reporting of wrong-site surgery is voluntary and those that are reported represent only a portion of those that occur, so it</w:t>
            </w:r>
            <w:r>
              <w:rPr>
                <w:rFonts w:ascii="Arial" w:hAnsi="Arial" w:cs="Arial"/>
                <w:sz w:val="18"/>
                <w:szCs w:val="18"/>
              </w:rPr>
              <w:t xml:space="preserve"> is</w:t>
            </w:r>
            <w:r w:rsidRPr="000E5CA1">
              <w:rPr>
                <w:rFonts w:ascii="Arial" w:hAnsi="Arial" w:cs="Arial"/>
                <w:sz w:val="18"/>
                <w:szCs w:val="18"/>
              </w:rPr>
              <w:t xml:space="preserve"> difficult to draw conclusions about the frequency of occurrence.</w:t>
            </w:r>
          </w:p>
          <w:p w14:paraId="19A9CB43" w14:textId="77777777" w:rsidR="00B344BC" w:rsidRPr="000E5CA1" w:rsidRDefault="00B344BC" w:rsidP="008A7983">
            <w:pPr>
              <w:spacing w:after="0"/>
              <w:rPr>
                <w:rFonts w:ascii="Arial" w:hAnsi="Arial" w:cs="Arial"/>
                <w:sz w:val="18"/>
                <w:szCs w:val="18"/>
              </w:rPr>
            </w:pPr>
            <w:r w:rsidRPr="000E5CA1">
              <w:rPr>
                <w:rFonts w:ascii="Arial" w:hAnsi="Arial" w:cs="Arial"/>
                <w:sz w:val="18"/>
                <w:szCs w:val="18"/>
              </w:rPr>
              <w:t>Wrong-site surgeries are rare, and showing any statistically significant reduction in occurrences with the implementation of checklists would require a very large study.</w:t>
            </w:r>
          </w:p>
        </w:tc>
        <w:tc>
          <w:tcPr>
            <w:tcW w:w="2433" w:type="dxa"/>
            <w:shd w:val="clear" w:color="auto" w:fill="auto"/>
          </w:tcPr>
          <w:p w14:paraId="21E78B94" w14:textId="77777777" w:rsidR="00B344BC" w:rsidRDefault="00B344BC" w:rsidP="008A7983">
            <w:pPr>
              <w:spacing w:after="0"/>
              <w:rPr>
                <w:rFonts w:ascii="Arial" w:hAnsi="Arial" w:cs="Arial"/>
                <w:color w:val="000000"/>
                <w:sz w:val="18"/>
                <w:szCs w:val="18"/>
              </w:rPr>
            </w:pPr>
            <w:r w:rsidRPr="000E5CA1">
              <w:rPr>
                <w:rFonts w:ascii="Arial" w:hAnsi="Arial" w:cs="Arial"/>
                <w:color w:val="000000"/>
                <w:sz w:val="18"/>
                <w:szCs w:val="18"/>
              </w:rPr>
              <w:t xml:space="preserve">Five implementation barriers: </w:t>
            </w:r>
            <w:r>
              <w:rPr>
                <w:rFonts w:ascii="Arial" w:hAnsi="Arial" w:cs="Arial"/>
                <w:color w:val="000000"/>
                <w:sz w:val="18"/>
                <w:szCs w:val="18"/>
              </w:rPr>
              <w:t>(</w:t>
            </w:r>
            <w:r w:rsidRPr="000E5CA1">
              <w:rPr>
                <w:rFonts w:ascii="Arial" w:hAnsi="Arial" w:cs="Arial"/>
                <w:color w:val="000000"/>
                <w:sz w:val="18"/>
                <w:szCs w:val="18"/>
              </w:rPr>
              <w:t>1) unfamiliarity with checklist,</w:t>
            </w:r>
            <w:r>
              <w:rPr>
                <w:rFonts w:ascii="Arial" w:hAnsi="Arial" w:cs="Arial"/>
                <w:color w:val="000000"/>
                <w:sz w:val="18"/>
                <w:szCs w:val="18"/>
              </w:rPr>
              <w:t xml:space="preserve"> (2) </w:t>
            </w:r>
            <w:r w:rsidRPr="000E5CA1">
              <w:rPr>
                <w:rFonts w:ascii="Arial" w:hAnsi="Arial" w:cs="Arial"/>
                <w:color w:val="000000"/>
                <w:sz w:val="18"/>
                <w:szCs w:val="18"/>
              </w:rPr>
              <w:t>hierarchal style in operating room,</w:t>
            </w:r>
            <w:r>
              <w:rPr>
                <w:rFonts w:ascii="Arial" w:hAnsi="Arial" w:cs="Arial"/>
                <w:color w:val="000000"/>
                <w:sz w:val="18"/>
                <w:szCs w:val="18"/>
              </w:rPr>
              <w:t xml:space="preserve"> (3) </w:t>
            </w:r>
            <w:r w:rsidRPr="000E5CA1">
              <w:rPr>
                <w:rFonts w:ascii="Arial" w:hAnsi="Arial" w:cs="Arial"/>
                <w:color w:val="000000"/>
                <w:sz w:val="18"/>
                <w:szCs w:val="18"/>
              </w:rPr>
              <w:t>problems with timing of the time-out portion,</w:t>
            </w:r>
            <w:r>
              <w:rPr>
                <w:rFonts w:ascii="Arial" w:hAnsi="Arial" w:cs="Arial"/>
                <w:color w:val="000000"/>
                <w:sz w:val="18"/>
                <w:szCs w:val="18"/>
              </w:rPr>
              <w:t xml:space="preserve"> (4) </w:t>
            </w:r>
            <w:r w:rsidRPr="000E5CA1">
              <w:rPr>
                <w:rFonts w:ascii="Arial" w:hAnsi="Arial" w:cs="Arial"/>
                <w:color w:val="000000"/>
                <w:sz w:val="18"/>
                <w:szCs w:val="18"/>
              </w:rPr>
              <w:t>duplication or repetition of items on checklist,</w:t>
            </w:r>
            <w:r>
              <w:rPr>
                <w:rFonts w:ascii="Arial" w:hAnsi="Arial" w:cs="Arial"/>
                <w:color w:val="000000"/>
                <w:sz w:val="18"/>
                <w:szCs w:val="18"/>
              </w:rPr>
              <w:t xml:space="preserve"> (5) </w:t>
            </w:r>
            <w:r w:rsidRPr="000E5CA1">
              <w:rPr>
                <w:rFonts w:ascii="Arial" w:hAnsi="Arial" w:cs="Arial"/>
                <w:color w:val="000000"/>
                <w:sz w:val="18"/>
                <w:szCs w:val="18"/>
              </w:rPr>
              <w:t>inclusion of items on the checklist that were not relevant.</w:t>
            </w:r>
          </w:p>
          <w:p w14:paraId="4AE2761F" w14:textId="77777777" w:rsidR="00B344BC" w:rsidRPr="000E5CA1" w:rsidRDefault="00B344BC" w:rsidP="008A7983">
            <w:pPr>
              <w:spacing w:after="0"/>
              <w:rPr>
                <w:rFonts w:ascii="Arial" w:hAnsi="Arial" w:cs="Arial"/>
                <w:sz w:val="18"/>
                <w:szCs w:val="18"/>
              </w:rPr>
            </w:pPr>
            <w:r w:rsidRPr="000E5CA1">
              <w:rPr>
                <w:rFonts w:ascii="Arial" w:hAnsi="Arial" w:cs="Arial"/>
                <w:color w:val="000000"/>
                <w:sz w:val="18"/>
                <w:szCs w:val="18"/>
              </w:rPr>
              <w:t>Literature also showed that some key team members limited the successful implementation of checklists. Literature shows that some surgeons were</w:t>
            </w:r>
            <w:r>
              <w:rPr>
                <w:rFonts w:ascii="Arial" w:hAnsi="Arial" w:cs="Arial"/>
                <w:color w:val="000000"/>
                <w:sz w:val="18"/>
                <w:szCs w:val="18"/>
              </w:rPr>
              <w:t xml:space="preserve"> not</w:t>
            </w:r>
            <w:r w:rsidRPr="000E5CA1">
              <w:rPr>
                <w:rFonts w:ascii="Arial" w:hAnsi="Arial" w:cs="Arial"/>
                <w:color w:val="000000"/>
                <w:sz w:val="18"/>
                <w:szCs w:val="18"/>
              </w:rPr>
              <w:t xml:space="preserve"> supportive, while anesthesiologist</w:t>
            </w:r>
            <w:r>
              <w:rPr>
                <w:rFonts w:ascii="Arial" w:hAnsi="Arial" w:cs="Arial"/>
                <w:color w:val="000000"/>
                <w:sz w:val="18"/>
                <w:szCs w:val="18"/>
              </w:rPr>
              <w:t>s</w:t>
            </w:r>
            <w:r w:rsidRPr="000E5CA1">
              <w:rPr>
                <w:rFonts w:ascii="Arial" w:hAnsi="Arial" w:cs="Arial"/>
                <w:color w:val="000000"/>
                <w:sz w:val="18"/>
                <w:szCs w:val="18"/>
              </w:rPr>
              <w:t xml:space="preserve"> and nurses tended to be more supportive.</w:t>
            </w:r>
          </w:p>
        </w:tc>
        <w:tc>
          <w:tcPr>
            <w:tcW w:w="1885" w:type="dxa"/>
            <w:shd w:val="clear" w:color="auto" w:fill="auto"/>
          </w:tcPr>
          <w:p w14:paraId="6CDA566E" w14:textId="77777777" w:rsidR="00B344BC" w:rsidRPr="000E5CA1" w:rsidRDefault="00B344BC" w:rsidP="008A7983">
            <w:pPr>
              <w:spacing w:after="0"/>
              <w:rPr>
                <w:rFonts w:ascii="Arial" w:hAnsi="Arial" w:cs="Arial"/>
                <w:sz w:val="18"/>
                <w:szCs w:val="18"/>
              </w:rPr>
            </w:pPr>
            <w:r>
              <w:rPr>
                <w:rFonts w:ascii="Arial" w:hAnsi="Arial" w:cs="Arial"/>
                <w:sz w:val="18"/>
                <w:szCs w:val="18"/>
              </w:rPr>
              <w:t>None</w:t>
            </w:r>
          </w:p>
        </w:tc>
      </w:tr>
    </w:tbl>
    <w:p w14:paraId="5F95825B" w14:textId="08DC7427" w:rsidR="0036180D" w:rsidRDefault="0036180D" w:rsidP="002D7124">
      <w:pPr>
        <w:pStyle w:val="BodyText"/>
      </w:pPr>
    </w:p>
    <w:sectPr w:rsidR="0036180D" w:rsidSect="00C06827">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45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5DC12" w14:textId="77777777" w:rsidR="00721793" w:rsidRDefault="00721793" w:rsidP="00DC17F5">
      <w:r>
        <w:separator/>
      </w:r>
    </w:p>
  </w:endnote>
  <w:endnote w:type="continuationSeparator" w:id="0">
    <w:p w14:paraId="05578820" w14:textId="77777777" w:rsidR="00721793" w:rsidRDefault="00721793"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8BB5F7C"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C06827">
      <w:rPr>
        <w:noProof/>
      </w:rPr>
      <w:t>452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B338E" w14:textId="77777777" w:rsidR="00721793" w:rsidRDefault="00721793" w:rsidP="00986558">
      <w:pPr>
        <w:spacing w:after="0"/>
      </w:pPr>
      <w:r>
        <w:separator/>
      </w:r>
    </w:p>
  </w:footnote>
  <w:footnote w:type="continuationSeparator" w:id="0">
    <w:p w14:paraId="3E848D7A" w14:textId="77777777" w:rsidR="00721793" w:rsidRDefault="00721793"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D7124"/>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1793"/>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16C1"/>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06827"/>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56C3-60FC-4106-8438-9F9B1DBC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296</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4633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42</cp:revision>
  <cp:lastPrinted>2020-03-05T17:00:00Z</cp:lastPrinted>
  <dcterms:created xsi:type="dcterms:W3CDTF">2020-03-05T16:52:00Z</dcterms:created>
  <dcterms:modified xsi:type="dcterms:W3CDTF">2020-03-14T10:41:00Z</dcterms:modified>
  <cp:category>Templates</cp:category>
</cp:coreProperties>
</file>