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4E951" w14:textId="3A6CCCD4" w:rsidR="000A266B" w:rsidRDefault="00D318C5" w:rsidP="000A266B">
      <w:pPr>
        <w:pStyle w:val="Caption"/>
      </w:pPr>
      <w:r>
        <w:t>Table B.</w:t>
      </w:r>
      <w:r w:rsidR="008A7983">
        <w:rPr>
          <w:noProof/>
        </w:rPr>
        <w:fldChar w:fldCharType="begin"/>
      </w:r>
      <w:r w:rsidR="008A7983">
        <w:rPr>
          <w:noProof/>
        </w:rPr>
        <w:instrText xml:space="preserve"> SEQ Table_B. \* ARABIC </w:instrText>
      </w:r>
      <w:r w:rsidR="008A7983">
        <w:rPr>
          <w:noProof/>
        </w:rPr>
        <w:fldChar w:fldCharType="separate"/>
      </w:r>
      <w:r w:rsidR="00087FD2">
        <w:rPr>
          <w:noProof/>
        </w:rPr>
        <w:t>24</w:t>
      </w:r>
      <w:r w:rsidR="008A7983">
        <w:rPr>
          <w:noProof/>
        </w:rPr>
        <w:fldChar w:fldCharType="end"/>
      </w:r>
      <w:r>
        <w:t xml:space="preserve">: </w:t>
      </w:r>
      <w:r w:rsidR="000A266B" w:rsidRPr="00023C80">
        <w:t>Clostridioides</w:t>
      </w:r>
      <w:r w:rsidR="000A266B" w:rsidRPr="00CE4D9D">
        <w:rPr>
          <w:i/>
        </w:rPr>
        <w:t xml:space="preserve"> difficile</w:t>
      </w:r>
      <w:r w:rsidR="000A266B">
        <w:rPr>
          <w:i/>
        </w:rPr>
        <w:t xml:space="preserve">, </w:t>
      </w:r>
      <w:r w:rsidR="000A266B" w:rsidRPr="00B073E9">
        <w:t>Surveillance</w:t>
      </w:r>
      <w:r w:rsidR="000A266B">
        <w:rPr>
          <w:rFonts w:cs="Calibri"/>
        </w:rPr>
        <w:t>–</w:t>
      </w:r>
      <w:r w:rsidR="000A266B" w:rsidRPr="00B073E9">
        <w:t>Single Studies</w:t>
      </w:r>
    </w:p>
    <w:p w14:paraId="2707CBB4" w14:textId="7E206B07" w:rsidR="000A266B" w:rsidRPr="003110BD" w:rsidRDefault="000A266B" w:rsidP="000A266B">
      <w:pPr>
        <w:pStyle w:val="BodyText"/>
        <w:rPr>
          <w:lang w:val="en-US"/>
        </w:rPr>
      </w:pPr>
      <w:r>
        <w:rPr>
          <w:lang w:val="en-US"/>
        </w:rPr>
        <w:t xml:space="preserve">Note: Full references are available in the </w:t>
      </w:r>
      <w:hyperlink w:anchor="Section4point4refs" w:history="1">
        <w:r w:rsidRPr="008B77AD">
          <w:rPr>
            <w:rStyle w:val="Hyperlink"/>
            <w:lang w:val="en-US"/>
          </w:rPr>
          <w:t>Section 4.4 reference list</w:t>
        </w:r>
      </w:hyperlink>
      <w:r>
        <w:rPr>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1536"/>
        <w:gridCol w:w="1416"/>
        <w:gridCol w:w="1597"/>
        <w:gridCol w:w="1053"/>
        <w:gridCol w:w="1752"/>
        <w:gridCol w:w="1490"/>
        <w:gridCol w:w="2014"/>
        <w:gridCol w:w="1053"/>
        <w:gridCol w:w="1135"/>
      </w:tblGrid>
      <w:tr w:rsidR="000A266B" w:rsidRPr="007319A1" w14:paraId="1F531468" w14:textId="77777777" w:rsidTr="002E39BB">
        <w:trPr>
          <w:tblHeader/>
          <w:jc w:val="center"/>
        </w:trPr>
        <w:tc>
          <w:tcPr>
            <w:tcW w:w="1525" w:type="dxa"/>
            <w:noWrap/>
            <w:vAlign w:val="center"/>
            <w:hideMark/>
          </w:tcPr>
          <w:p w14:paraId="0BBE4886" w14:textId="77777777" w:rsidR="000A266B" w:rsidRPr="00856120" w:rsidRDefault="000A266B" w:rsidP="00856120">
            <w:pPr>
              <w:pStyle w:val="TableColumnHeader"/>
            </w:pPr>
            <w:r w:rsidRPr="00856120">
              <w:t>Author, Year</w:t>
            </w:r>
          </w:p>
        </w:tc>
        <w:tc>
          <w:tcPr>
            <w:tcW w:w="1406" w:type="dxa"/>
            <w:vAlign w:val="center"/>
            <w:hideMark/>
          </w:tcPr>
          <w:p w14:paraId="1DF0FC25" w14:textId="77777777" w:rsidR="000A266B" w:rsidRPr="007319A1" w:rsidRDefault="000A266B" w:rsidP="00856120">
            <w:pPr>
              <w:pStyle w:val="TableColumnHeader"/>
            </w:pPr>
            <w:r w:rsidRPr="007319A1">
              <w:t xml:space="preserve">Description of </w:t>
            </w:r>
            <w:r>
              <w:t>Patient Safety Practice</w:t>
            </w:r>
          </w:p>
        </w:tc>
        <w:tc>
          <w:tcPr>
            <w:tcW w:w="1585" w:type="dxa"/>
            <w:vAlign w:val="center"/>
            <w:hideMark/>
          </w:tcPr>
          <w:p w14:paraId="4105EB83" w14:textId="77777777" w:rsidR="000A266B" w:rsidRPr="007319A1" w:rsidRDefault="000A266B" w:rsidP="00856120">
            <w:pPr>
              <w:pStyle w:val="TableColumnHeader"/>
            </w:pPr>
            <w:r w:rsidRPr="007319A1">
              <w:t>Study Design;</w:t>
            </w:r>
            <w:r w:rsidRPr="007319A1">
              <w:br/>
              <w:t>Sample Size;</w:t>
            </w:r>
            <w:r w:rsidRPr="007319A1">
              <w:br/>
              <w:t>Patient Population</w:t>
            </w:r>
          </w:p>
        </w:tc>
        <w:tc>
          <w:tcPr>
            <w:tcW w:w="1045" w:type="dxa"/>
            <w:noWrap/>
            <w:vAlign w:val="center"/>
            <w:hideMark/>
          </w:tcPr>
          <w:p w14:paraId="1B28D2CA" w14:textId="77777777" w:rsidR="000A266B" w:rsidRPr="007319A1" w:rsidRDefault="000A266B" w:rsidP="00856120">
            <w:pPr>
              <w:pStyle w:val="TableColumnHeader"/>
            </w:pPr>
            <w:r w:rsidRPr="007319A1">
              <w:t>Setting</w:t>
            </w:r>
          </w:p>
        </w:tc>
        <w:tc>
          <w:tcPr>
            <w:tcW w:w="1739" w:type="dxa"/>
            <w:noWrap/>
            <w:vAlign w:val="center"/>
            <w:hideMark/>
          </w:tcPr>
          <w:p w14:paraId="082B4CD4" w14:textId="77777777" w:rsidR="000A266B" w:rsidRPr="007319A1" w:rsidRDefault="000A266B" w:rsidP="00856120">
            <w:pPr>
              <w:pStyle w:val="TableColumnHeader"/>
            </w:pPr>
            <w:r w:rsidRPr="007319A1">
              <w:t>Outcomes: Benefits</w:t>
            </w:r>
          </w:p>
        </w:tc>
        <w:tc>
          <w:tcPr>
            <w:tcW w:w="1479" w:type="dxa"/>
            <w:noWrap/>
            <w:vAlign w:val="center"/>
            <w:hideMark/>
          </w:tcPr>
          <w:p w14:paraId="002F1266" w14:textId="77777777" w:rsidR="000A266B" w:rsidRPr="007319A1" w:rsidRDefault="000A266B" w:rsidP="00856120">
            <w:pPr>
              <w:pStyle w:val="TableColumnHeader"/>
            </w:pPr>
            <w:r w:rsidRPr="007319A1">
              <w:t>Outcomes: Harms</w:t>
            </w:r>
          </w:p>
        </w:tc>
        <w:tc>
          <w:tcPr>
            <w:tcW w:w="1999" w:type="dxa"/>
            <w:vAlign w:val="center"/>
            <w:hideMark/>
          </w:tcPr>
          <w:p w14:paraId="28E17B11" w14:textId="77777777" w:rsidR="000A266B" w:rsidRPr="007319A1" w:rsidRDefault="000A266B" w:rsidP="00856120">
            <w:pPr>
              <w:pStyle w:val="TableColumnHeader"/>
            </w:pPr>
            <w:r w:rsidRPr="007319A1">
              <w:t>Implementation Themes/Findings</w:t>
            </w:r>
          </w:p>
        </w:tc>
        <w:tc>
          <w:tcPr>
            <w:tcW w:w="1045" w:type="dxa"/>
            <w:vAlign w:val="center"/>
            <w:hideMark/>
          </w:tcPr>
          <w:p w14:paraId="6D3B14DD" w14:textId="77777777" w:rsidR="000A266B" w:rsidRPr="007319A1" w:rsidRDefault="000A266B" w:rsidP="00856120">
            <w:pPr>
              <w:pStyle w:val="TableColumnHeader"/>
            </w:pPr>
            <w:r w:rsidRPr="007319A1">
              <w:t>Risk of Bias (</w:t>
            </w:r>
            <w:r>
              <w:t>H</w:t>
            </w:r>
            <w:r w:rsidRPr="007319A1">
              <w:t xml:space="preserve">igh, </w:t>
            </w:r>
            <w:r>
              <w:t>M</w:t>
            </w:r>
            <w:r w:rsidRPr="007319A1">
              <w:t xml:space="preserve">oderate, </w:t>
            </w:r>
            <w:r>
              <w:t>L</w:t>
            </w:r>
            <w:r w:rsidRPr="007319A1">
              <w:t>ow)</w:t>
            </w:r>
          </w:p>
        </w:tc>
        <w:tc>
          <w:tcPr>
            <w:tcW w:w="1127" w:type="dxa"/>
            <w:noWrap/>
            <w:vAlign w:val="center"/>
            <w:hideMark/>
          </w:tcPr>
          <w:p w14:paraId="0E9C5AC6" w14:textId="77777777" w:rsidR="000A266B" w:rsidRPr="007319A1" w:rsidRDefault="000A266B" w:rsidP="00856120">
            <w:pPr>
              <w:pStyle w:val="TableColumnHeader"/>
            </w:pPr>
            <w:r w:rsidRPr="007319A1">
              <w:t>Comments</w:t>
            </w:r>
          </w:p>
        </w:tc>
      </w:tr>
      <w:tr w:rsidR="000A266B" w:rsidRPr="007319A1" w14:paraId="4301C131" w14:textId="77777777" w:rsidTr="002E39BB">
        <w:trPr>
          <w:jc w:val="center"/>
        </w:trPr>
        <w:tc>
          <w:tcPr>
            <w:tcW w:w="1525" w:type="dxa"/>
            <w:noWrap/>
          </w:tcPr>
          <w:p w14:paraId="51428F48" w14:textId="77777777" w:rsidR="000A266B" w:rsidRPr="00856120" w:rsidRDefault="000A266B" w:rsidP="008A7983">
            <w:pPr>
              <w:spacing w:after="0"/>
              <w:rPr>
                <w:rFonts w:ascii="Arial" w:hAnsi="Arial" w:cs="Arial"/>
                <w:b/>
                <w:sz w:val="18"/>
                <w:szCs w:val="18"/>
                <w:vertAlign w:val="superscript"/>
              </w:rPr>
            </w:pPr>
            <w:r w:rsidRPr="00856120">
              <w:rPr>
                <w:rFonts w:ascii="Arial" w:hAnsi="Arial" w:cs="Arial"/>
                <w:b/>
                <w:sz w:val="18"/>
                <w:szCs w:val="18"/>
              </w:rPr>
              <w:t>Albert et al., 2018</w:t>
            </w:r>
            <w:r w:rsidRPr="00856120">
              <w:rPr>
                <w:rFonts w:ascii="Arial" w:hAnsi="Arial" w:cs="Arial"/>
                <w:b/>
                <w:sz w:val="18"/>
                <w:szCs w:val="18"/>
                <w:vertAlign w:val="superscript"/>
              </w:rPr>
              <w:t>32</w:t>
            </w:r>
          </w:p>
        </w:tc>
        <w:tc>
          <w:tcPr>
            <w:tcW w:w="1406" w:type="dxa"/>
          </w:tcPr>
          <w:p w14:paraId="017F8B29"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Reporting cases of healthcare facility-onset CDI (HO CDI) using the National Healthcare Safety Network (NHSN) CDI laboratory-identified (LabID) event definition.</w:t>
            </w:r>
          </w:p>
        </w:tc>
        <w:tc>
          <w:tcPr>
            <w:tcW w:w="1585" w:type="dxa"/>
          </w:tcPr>
          <w:p w14:paraId="150A5ABF"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Assessment of accuracy of facility reporting of HO CDI to NHSN. Retrospective chart review was performed on 212 NHSN LabID HO-CDI cases. The electronic medical record for each case was reviewed for various clinical events that contributed to </w:t>
            </w:r>
            <w:r w:rsidRPr="007319A1">
              <w:rPr>
                <w:rFonts w:ascii="Arial" w:hAnsi="Arial" w:cs="Arial"/>
                <w:i/>
                <w:sz w:val="18"/>
                <w:szCs w:val="18"/>
              </w:rPr>
              <w:t>C. difficile</w:t>
            </w:r>
            <w:r w:rsidRPr="007319A1">
              <w:rPr>
                <w:rFonts w:ascii="Arial" w:hAnsi="Arial" w:cs="Arial"/>
                <w:sz w:val="18"/>
                <w:szCs w:val="18"/>
              </w:rPr>
              <w:t xml:space="preserve"> testing. The presence of fever, abdominal pain, and diarrhea was recorded from each case along with the timing and duration of symptoms.</w:t>
            </w:r>
          </w:p>
        </w:tc>
        <w:tc>
          <w:tcPr>
            <w:tcW w:w="1045" w:type="dxa"/>
            <w:noWrap/>
          </w:tcPr>
          <w:p w14:paraId="4948035D"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A large urban medical center </w:t>
            </w:r>
          </w:p>
        </w:tc>
        <w:tc>
          <w:tcPr>
            <w:tcW w:w="1739" w:type="dxa"/>
            <w:noWrap/>
          </w:tcPr>
          <w:p w14:paraId="6AB5F20B"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Not provided</w:t>
            </w:r>
          </w:p>
        </w:tc>
        <w:tc>
          <w:tcPr>
            <w:tcW w:w="1479" w:type="dxa"/>
            <w:noWrap/>
          </w:tcPr>
          <w:p w14:paraId="61137DB0"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Study found only 62% of reported HO-CDI cases met clinical surveillance criteria. Of the reported HO-CDI cases, review of charts found that 13.6% were CA-CDI, 2.8% were recurrent, 1.9% </w:t>
            </w:r>
            <w:proofErr w:type="gramStart"/>
            <w:r w:rsidRPr="007319A1">
              <w:rPr>
                <w:rFonts w:ascii="Arial" w:hAnsi="Arial" w:cs="Arial"/>
                <w:sz w:val="18"/>
                <w:szCs w:val="18"/>
              </w:rPr>
              <w:t>were</w:t>
            </w:r>
            <w:proofErr w:type="gramEnd"/>
            <w:r w:rsidRPr="007319A1">
              <w:rPr>
                <w:rFonts w:ascii="Arial" w:hAnsi="Arial" w:cs="Arial"/>
                <w:sz w:val="18"/>
                <w:szCs w:val="18"/>
              </w:rPr>
              <w:t xml:space="preserve"> asymptomatic colonization, 18.4% were symptomatic colonization, 38.7% were possible HO CDI, and 24.5% were probable HO CDI. Within 24 hours of testing, 34.1% had received a stool softener and/or laxative.</w:t>
            </w:r>
          </w:p>
        </w:tc>
        <w:tc>
          <w:tcPr>
            <w:tcW w:w="1999" w:type="dxa"/>
          </w:tcPr>
          <w:p w14:paraId="43C9C625"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Laxative use and failure to identify community-onset infection may contribute to misclassification of HO CDI. Many reported HO-CDI cases involved patients with underlying medical conditions that may mimic symptoms of CDI, highlighting challenges in distinguishing colonization from active disease. Of the reported HO-CDI cases, 103 had documentation of inflammatory bowel disease, chemotherapy, tube feedings, or gastrointestinal bleeding.</w:t>
            </w:r>
          </w:p>
        </w:tc>
        <w:tc>
          <w:tcPr>
            <w:tcW w:w="1045" w:type="dxa"/>
          </w:tcPr>
          <w:p w14:paraId="2EC340ED"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Moderate—small sample; chart review is imperfect.</w:t>
            </w:r>
          </w:p>
        </w:tc>
        <w:tc>
          <w:tcPr>
            <w:tcW w:w="1127" w:type="dxa"/>
            <w:noWrap/>
          </w:tcPr>
          <w:p w14:paraId="139E8284"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Study about errors in classification/ reporting of CDI to NHSN. An intervention was not tested. </w:t>
            </w:r>
          </w:p>
        </w:tc>
      </w:tr>
      <w:tr w:rsidR="000A266B" w:rsidRPr="007319A1" w14:paraId="642BD17A" w14:textId="77777777" w:rsidTr="002E39BB">
        <w:trPr>
          <w:jc w:val="center"/>
        </w:trPr>
        <w:tc>
          <w:tcPr>
            <w:tcW w:w="1525" w:type="dxa"/>
            <w:noWrap/>
          </w:tcPr>
          <w:p w14:paraId="355D5A54" w14:textId="77777777" w:rsidR="000A266B" w:rsidRPr="00856120" w:rsidRDefault="000A266B" w:rsidP="008A7983">
            <w:pPr>
              <w:spacing w:after="0"/>
              <w:rPr>
                <w:rFonts w:ascii="Arial" w:hAnsi="Arial" w:cs="Arial"/>
                <w:b/>
                <w:sz w:val="18"/>
                <w:szCs w:val="18"/>
                <w:vertAlign w:val="superscript"/>
              </w:rPr>
            </w:pPr>
            <w:r w:rsidRPr="00856120">
              <w:rPr>
                <w:rFonts w:ascii="Arial" w:hAnsi="Arial" w:cs="Arial"/>
                <w:b/>
                <w:sz w:val="18"/>
                <w:szCs w:val="18"/>
              </w:rPr>
              <w:t>Benoit et al., 2011</w:t>
            </w:r>
            <w:r w:rsidRPr="00856120">
              <w:rPr>
                <w:rFonts w:ascii="Arial" w:hAnsi="Arial" w:cs="Arial"/>
                <w:b/>
                <w:sz w:val="18"/>
                <w:szCs w:val="18"/>
                <w:vertAlign w:val="superscript"/>
              </w:rPr>
              <w:t>29</w:t>
            </w:r>
          </w:p>
        </w:tc>
        <w:tc>
          <w:tcPr>
            <w:tcW w:w="1406" w:type="dxa"/>
          </w:tcPr>
          <w:p w14:paraId="595F2713"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Electronic laboratory and admission-discharge-transfer data from BioSense, a national automated </w:t>
            </w:r>
            <w:r w:rsidRPr="007319A1">
              <w:rPr>
                <w:rFonts w:ascii="Arial" w:hAnsi="Arial" w:cs="Arial"/>
                <w:sz w:val="18"/>
                <w:szCs w:val="18"/>
              </w:rPr>
              <w:lastRenderedPageBreak/>
              <w:t>surveillance system.</w:t>
            </w:r>
          </w:p>
          <w:p w14:paraId="326AE696"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A total of 4,585 patients from 34 hospitals in 12 States had </w:t>
            </w:r>
            <w:r w:rsidRPr="007319A1">
              <w:rPr>
                <w:rFonts w:ascii="Arial" w:hAnsi="Arial" w:cs="Arial"/>
                <w:i/>
                <w:sz w:val="18"/>
                <w:szCs w:val="18"/>
              </w:rPr>
              <w:t>C. difficile</w:t>
            </w:r>
            <w:r w:rsidRPr="007319A1">
              <w:rPr>
                <w:rFonts w:ascii="Arial" w:hAnsi="Arial" w:cs="Arial"/>
                <w:sz w:val="18"/>
                <w:szCs w:val="18"/>
              </w:rPr>
              <w:t>–positive assay results.</w:t>
            </w:r>
          </w:p>
        </w:tc>
        <w:tc>
          <w:tcPr>
            <w:tcW w:w="1585" w:type="dxa"/>
          </w:tcPr>
          <w:p w14:paraId="4A1CC46F"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lastRenderedPageBreak/>
              <w:t xml:space="preserve">Retrospective, multi-center cohort study; validation of surveillance system by comparison with other widely accepted </w:t>
            </w:r>
            <w:r w:rsidRPr="007319A1">
              <w:rPr>
                <w:rFonts w:ascii="Arial" w:hAnsi="Arial" w:cs="Arial"/>
                <w:sz w:val="18"/>
                <w:szCs w:val="18"/>
              </w:rPr>
              <w:lastRenderedPageBreak/>
              <w:t>surveillance results.</w:t>
            </w:r>
          </w:p>
        </w:tc>
        <w:tc>
          <w:tcPr>
            <w:tcW w:w="1045" w:type="dxa"/>
            <w:noWrap/>
          </w:tcPr>
          <w:p w14:paraId="4CA8BC27"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lastRenderedPageBreak/>
              <w:t xml:space="preserve">Thirty-four hospitals sending inpatient emergency department and/or outpatient </w:t>
            </w:r>
            <w:r w:rsidRPr="007319A1">
              <w:rPr>
                <w:rFonts w:ascii="Arial" w:hAnsi="Arial" w:cs="Arial"/>
                <w:sz w:val="18"/>
                <w:szCs w:val="18"/>
              </w:rPr>
              <w:lastRenderedPageBreak/>
              <w:t>data to BioSense.</w:t>
            </w:r>
          </w:p>
        </w:tc>
        <w:tc>
          <w:tcPr>
            <w:tcW w:w="1739" w:type="dxa"/>
            <w:noWrap/>
          </w:tcPr>
          <w:p w14:paraId="0046F83E"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lastRenderedPageBreak/>
              <w:t xml:space="preserve">Electronic laboratory data sent to the BioSense surveillance system were successfully used to produce disease rates of CDI comparable to those </w:t>
            </w:r>
            <w:r w:rsidRPr="007319A1">
              <w:rPr>
                <w:rFonts w:ascii="Arial" w:hAnsi="Arial" w:cs="Arial"/>
                <w:sz w:val="18"/>
                <w:szCs w:val="18"/>
              </w:rPr>
              <w:lastRenderedPageBreak/>
              <w:t>of other studies, which shows the feasibility of using electronic laboratory data to track a disease of public health importance. More than half (53.0%) of the cases were CO CDI, and 30.8% of these occurred in patients who were recently hospitalized. The overall rate of HO CDI was 7.8 cases per 10,000 patient-days, with a range among facilities of 1.52 to 7.8 cases per 10,000 patient-days.</w:t>
            </w:r>
          </w:p>
        </w:tc>
        <w:tc>
          <w:tcPr>
            <w:tcW w:w="1479" w:type="dxa"/>
            <w:noWrap/>
          </w:tcPr>
          <w:p w14:paraId="3DAE0E5B"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lastRenderedPageBreak/>
              <w:t>Not provided</w:t>
            </w:r>
          </w:p>
        </w:tc>
        <w:tc>
          <w:tcPr>
            <w:tcW w:w="1999" w:type="dxa"/>
          </w:tcPr>
          <w:p w14:paraId="59699CDD"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Laboratory codes and text-parsing methods were used to extract </w:t>
            </w:r>
            <w:r w:rsidRPr="007319A1">
              <w:rPr>
                <w:rFonts w:ascii="Arial" w:hAnsi="Arial" w:cs="Arial"/>
                <w:i/>
                <w:sz w:val="18"/>
                <w:szCs w:val="18"/>
              </w:rPr>
              <w:t>C. difficile</w:t>
            </w:r>
            <w:r w:rsidRPr="007319A1">
              <w:rPr>
                <w:rFonts w:ascii="Arial" w:hAnsi="Arial" w:cs="Arial"/>
                <w:sz w:val="18"/>
                <w:szCs w:val="18"/>
              </w:rPr>
              <w:t xml:space="preserve">–positive toxin assay results from laboratory data sent to BioSense from January 1, 2007, through June </w:t>
            </w:r>
            <w:r w:rsidRPr="007319A1">
              <w:rPr>
                <w:rFonts w:ascii="Arial" w:hAnsi="Arial" w:cs="Arial"/>
                <w:sz w:val="18"/>
                <w:szCs w:val="18"/>
              </w:rPr>
              <w:lastRenderedPageBreak/>
              <w:t xml:space="preserve">30, 2008; these were merged with administrative records to determine whether cases were community-associated or healthcare onset. </w:t>
            </w:r>
          </w:p>
          <w:p w14:paraId="43B3B06A"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Although hospitals incur initial costs in capturing electronic data, the data are useful for tracking many diseases other than CDI. Few hospitals had LOINC- or SNOMED-coded laboratory test and result data, which emphasizes the need for widespread adoption of standard vocabularies to facilitate public health use of electronic data.</w:t>
            </w:r>
          </w:p>
        </w:tc>
        <w:tc>
          <w:tcPr>
            <w:tcW w:w="1045" w:type="dxa"/>
          </w:tcPr>
          <w:p w14:paraId="5F839C16"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lastRenderedPageBreak/>
              <w:t xml:space="preserve">Low. Did not include CO CDI, because data were limited to certain health </w:t>
            </w:r>
            <w:r w:rsidRPr="007319A1">
              <w:rPr>
                <w:rFonts w:ascii="Arial" w:hAnsi="Arial" w:cs="Arial"/>
                <w:sz w:val="18"/>
                <w:szCs w:val="18"/>
              </w:rPr>
              <w:lastRenderedPageBreak/>
              <w:t>systems. Variability across hospitals in CDI onset type. The electronic data that were analyzed were not validated by comparison with hospital records.</w:t>
            </w:r>
          </w:p>
        </w:tc>
        <w:tc>
          <w:tcPr>
            <w:tcW w:w="1127" w:type="dxa"/>
            <w:noWrap/>
          </w:tcPr>
          <w:p w14:paraId="5707E011"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lastRenderedPageBreak/>
              <w:t xml:space="preserve">BioSense is a national automated surveillance system operated by the Centers for Disease </w:t>
            </w:r>
            <w:r w:rsidRPr="007319A1">
              <w:rPr>
                <w:rFonts w:ascii="Arial" w:hAnsi="Arial" w:cs="Arial"/>
                <w:sz w:val="18"/>
                <w:szCs w:val="18"/>
              </w:rPr>
              <w:lastRenderedPageBreak/>
              <w:t>Control and Prevention (CDC) that receives, analyzes, and visualizes electronic health data for public health use.</w:t>
            </w:r>
          </w:p>
        </w:tc>
      </w:tr>
      <w:tr w:rsidR="000A266B" w:rsidRPr="007319A1" w14:paraId="20E23CD1" w14:textId="77777777" w:rsidTr="002E39BB">
        <w:trPr>
          <w:jc w:val="center"/>
        </w:trPr>
        <w:tc>
          <w:tcPr>
            <w:tcW w:w="1525" w:type="dxa"/>
            <w:noWrap/>
          </w:tcPr>
          <w:p w14:paraId="00102558" w14:textId="77777777" w:rsidR="000A266B" w:rsidRPr="00856120" w:rsidRDefault="000A266B" w:rsidP="008A7983">
            <w:pPr>
              <w:spacing w:after="0"/>
              <w:rPr>
                <w:rFonts w:ascii="Arial" w:hAnsi="Arial" w:cs="Arial"/>
                <w:b/>
                <w:i/>
                <w:sz w:val="18"/>
                <w:szCs w:val="18"/>
              </w:rPr>
            </w:pPr>
            <w:r w:rsidRPr="00856120">
              <w:rPr>
                <w:rFonts w:ascii="Arial" w:hAnsi="Arial" w:cs="Arial"/>
                <w:b/>
                <w:sz w:val="18"/>
                <w:szCs w:val="18"/>
              </w:rPr>
              <w:lastRenderedPageBreak/>
              <w:t>Dubberke et al., 2012</w:t>
            </w:r>
            <w:r w:rsidRPr="00856120">
              <w:rPr>
                <w:rFonts w:ascii="Arial" w:hAnsi="Arial" w:cs="Arial"/>
                <w:b/>
                <w:sz w:val="18"/>
                <w:szCs w:val="18"/>
                <w:vertAlign w:val="superscript"/>
              </w:rPr>
              <w:t>28</w:t>
            </w:r>
            <w:r w:rsidRPr="00856120">
              <w:rPr>
                <w:rFonts w:ascii="Arial" w:hAnsi="Arial" w:cs="Arial"/>
                <w:b/>
                <w:i/>
                <w:sz w:val="18"/>
                <w:szCs w:val="18"/>
              </w:rPr>
              <w:t xml:space="preserve"> </w:t>
            </w:r>
          </w:p>
        </w:tc>
        <w:tc>
          <w:tcPr>
            <w:tcW w:w="1406" w:type="dxa"/>
          </w:tcPr>
          <w:p w14:paraId="0675434A"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Automated surveillance algorithm using electronically available data based on recommended surveillance definitions</w:t>
            </w:r>
          </w:p>
          <w:p w14:paraId="5BA328B4"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(Surveillance Definitions from CDC 2007)</w:t>
            </w:r>
          </w:p>
        </w:tc>
        <w:tc>
          <w:tcPr>
            <w:tcW w:w="1585" w:type="dxa"/>
          </w:tcPr>
          <w:p w14:paraId="1D5D5914"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Validation of an automated CDI surveillance algorithm, comparing the algorithm with chart review. A second chart review was performed for discordant results and determined to be the gold standard (the correct categorization). </w:t>
            </w:r>
          </w:p>
          <w:p w14:paraId="212F13CF"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The study population </w:t>
            </w:r>
            <w:r w:rsidRPr="007319A1">
              <w:rPr>
                <w:rFonts w:ascii="Arial" w:hAnsi="Arial" w:cs="Arial"/>
                <w:sz w:val="18"/>
                <w:szCs w:val="18"/>
              </w:rPr>
              <w:lastRenderedPageBreak/>
              <w:t>included all adult patients ≥</w:t>
            </w:r>
            <w:r>
              <w:rPr>
                <w:rFonts w:ascii="Arial" w:hAnsi="Arial" w:cs="Arial"/>
                <w:sz w:val="18"/>
                <w:szCs w:val="18"/>
              </w:rPr>
              <w:t> </w:t>
            </w:r>
            <w:r w:rsidRPr="007319A1">
              <w:rPr>
                <w:rFonts w:ascii="Arial" w:hAnsi="Arial" w:cs="Arial"/>
                <w:sz w:val="18"/>
                <w:szCs w:val="18"/>
              </w:rPr>
              <w:t xml:space="preserve">18 years of age admitted to four U.S. hospitals from July 1, 2005 to June 30, 2006. 1,767 patients with stool positive for </w:t>
            </w:r>
            <w:r w:rsidRPr="007319A1">
              <w:rPr>
                <w:rFonts w:ascii="Arial" w:hAnsi="Arial" w:cs="Arial"/>
                <w:i/>
                <w:sz w:val="18"/>
                <w:szCs w:val="18"/>
              </w:rPr>
              <w:t>C. difficile</w:t>
            </w:r>
            <w:r w:rsidRPr="007319A1">
              <w:rPr>
                <w:rFonts w:ascii="Arial" w:hAnsi="Arial" w:cs="Arial"/>
                <w:sz w:val="18"/>
                <w:szCs w:val="18"/>
              </w:rPr>
              <w:t xml:space="preserve"> toxins were identified.</w:t>
            </w:r>
          </w:p>
        </w:tc>
        <w:tc>
          <w:tcPr>
            <w:tcW w:w="1045" w:type="dxa"/>
            <w:noWrap/>
          </w:tcPr>
          <w:p w14:paraId="2617A0E0"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lastRenderedPageBreak/>
              <w:t>Four CDC Prevention Epicenter hospitals</w:t>
            </w:r>
          </w:p>
        </w:tc>
        <w:tc>
          <w:tcPr>
            <w:tcW w:w="1739" w:type="dxa"/>
            <w:noWrap/>
          </w:tcPr>
          <w:p w14:paraId="73837F73"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A total of 1,767 patients had a positive </w:t>
            </w:r>
            <w:r w:rsidRPr="007319A1">
              <w:rPr>
                <w:rFonts w:ascii="Arial" w:hAnsi="Arial" w:cs="Arial"/>
                <w:i/>
                <w:sz w:val="18"/>
                <w:szCs w:val="18"/>
              </w:rPr>
              <w:t>C. difficile</w:t>
            </w:r>
            <w:r w:rsidRPr="007319A1">
              <w:rPr>
                <w:rFonts w:ascii="Arial" w:hAnsi="Arial" w:cs="Arial"/>
                <w:sz w:val="18"/>
                <w:szCs w:val="18"/>
              </w:rPr>
              <w:t xml:space="preserve"> toxin test. Of these, 440 were CDI cases that the automated and chart review surveillance classified differently. The discordant cases were re-reviewed. The overall sensitivities, specificities, and kappa values of the algorithm by CDI onset compared with the gold standard: </w:t>
            </w:r>
            <w:r w:rsidRPr="007319A1">
              <w:rPr>
                <w:rFonts w:ascii="Arial" w:hAnsi="Arial" w:cs="Arial"/>
                <w:sz w:val="18"/>
                <w:szCs w:val="18"/>
              </w:rPr>
              <w:lastRenderedPageBreak/>
              <w:t>hospital onset: 92%, 99%, and 0.90; community onset, study facility–associated: 91%, 98%, and 0.84; community onset, other healthcare facility–associated: 57%, 99%, and 0.65; community onset, community associated: 96%, 94%, and 0.69; indeterminate cases: 80%, 98%, and 0.76; and recurrent cases: 94%, 99%, and 0.94.</w:t>
            </w:r>
          </w:p>
        </w:tc>
        <w:tc>
          <w:tcPr>
            <w:tcW w:w="1479" w:type="dxa"/>
            <w:noWrap/>
          </w:tcPr>
          <w:p w14:paraId="16BD42F6"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lastRenderedPageBreak/>
              <w:t>The algorithm did not have good agreement with chart review for hospital-onset CDI for hospital B.</w:t>
            </w:r>
          </w:p>
          <w:p w14:paraId="75BE854C"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Community-onset and other healthcare facility– associated CDI showed a wide range of sensitivities (16% to 96%) and kappa values (0.25 to 0.93). </w:t>
            </w:r>
            <w:r w:rsidRPr="007319A1">
              <w:rPr>
                <w:rFonts w:ascii="Arial" w:hAnsi="Arial" w:cs="Arial"/>
                <w:sz w:val="18"/>
                <w:szCs w:val="18"/>
              </w:rPr>
              <w:lastRenderedPageBreak/>
              <w:t>Similar trends were seen for community-onset, community-associated, and indeterminate CDI.</w:t>
            </w:r>
          </w:p>
        </w:tc>
        <w:tc>
          <w:tcPr>
            <w:tcW w:w="1999" w:type="dxa"/>
          </w:tcPr>
          <w:p w14:paraId="290C9BB6"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lastRenderedPageBreak/>
              <w:t xml:space="preserve">Previous research indicates electronic surveillance is more accurate and reliable than manual surveillance. Automated surveillance also requires less time, as it eliminates the need to do chart review, potentially allowing </w:t>
            </w:r>
          </w:p>
          <w:p w14:paraId="63BE6C8F" w14:textId="77777777" w:rsidR="000A266B" w:rsidRPr="007319A1" w:rsidRDefault="000A266B" w:rsidP="008A7983">
            <w:pPr>
              <w:spacing w:after="0"/>
              <w:rPr>
                <w:rFonts w:ascii="Arial" w:hAnsi="Arial" w:cs="Arial"/>
                <w:sz w:val="18"/>
                <w:szCs w:val="18"/>
              </w:rPr>
            </w:pPr>
            <w:proofErr w:type="gramStart"/>
            <w:r w:rsidRPr="007319A1">
              <w:rPr>
                <w:rFonts w:ascii="Arial" w:hAnsi="Arial" w:cs="Arial"/>
                <w:sz w:val="18"/>
                <w:szCs w:val="18"/>
              </w:rPr>
              <w:t>infection</w:t>
            </w:r>
            <w:proofErr w:type="gramEnd"/>
            <w:r w:rsidRPr="007319A1">
              <w:rPr>
                <w:rFonts w:ascii="Arial" w:hAnsi="Arial" w:cs="Arial"/>
                <w:sz w:val="18"/>
                <w:szCs w:val="18"/>
              </w:rPr>
              <w:t xml:space="preserve"> preventionists to devote more time to infection prevention efforts. Each hospital had to individualize the algorithm to their facility.</w:t>
            </w:r>
          </w:p>
          <w:p w14:paraId="1B5782D1"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lastRenderedPageBreak/>
              <w:t xml:space="preserve">Electronic surveillance requires access to an electronic health record (EHR) system. </w:t>
            </w:r>
          </w:p>
        </w:tc>
        <w:tc>
          <w:tcPr>
            <w:tcW w:w="1045" w:type="dxa"/>
          </w:tcPr>
          <w:p w14:paraId="07424FBD"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lastRenderedPageBreak/>
              <w:t xml:space="preserve">Low to moderate. </w:t>
            </w:r>
          </w:p>
          <w:p w14:paraId="15F9C7E6"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Each hospital had different data available. For example, Hospitals A, B, and C did not have discrete data on where a patient was </w:t>
            </w:r>
            <w:r w:rsidRPr="007319A1">
              <w:rPr>
                <w:rFonts w:ascii="Arial" w:hAnsi="Arial" w:cs="Arial"/>
                <w:sz w:val="18"/>
                <w:szCs w:val="18"/>
              </w:rPr>
              <w:lastRenderedPageBreak/>
              <w:t>admitted from (e.g., admitted from home, long-term care facility), whereas hospital D did.</w:t>
            </w:r>
          </w:p>
        </w:tc>
        <w:tc>
          <w:tcPr>
            <w:tcW w:w="1127" w:type="dxa"/>
            <w:noWrap/>
          </w:tcPr>
          <w:p w14:paraId="2A768BE9"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lastRenderedPageBreak/>
              <w:t xml:space="preserve">Study found that electronic surveillance performed better than chart review in identifying the types of onset of CDI. </w:t>
            </w:r>
          </w:p>
        </w:tc>
      </w:tr>
      <w:tr w:rsidR="000A266B" w:rsidRPr="007319A1" w14:paraId="1039EB48" w14:textId="77777777" w:rsidTr="002E39BB">
        <w:trPr>
          <w:jc w:val="center"/>
        </w:trPr>
        <w:tc>
          <w:tcPr>
            <w:tcW w:w="1525" w:type="dxa"/>
            <w:noWrap/>
          </w:tcPr>
          <w:p w14:paraId="2243E93B" w14:textId="77777777" w:rsidR="000A266B" w:rsidRPr="00856120" w:rsidRDefault="000A266B" w:rsidP="008A7983">
            <w:pPr>
              <w:spacing w:after="0"/>
              <w:rPr>
                <w:rFonts w:ascii="Arial" w:hAnsi="Arial" w:cs="Arial"/>
                <w:b/>
                <w:sz w:val="18"/>
                <w:szCs w:val="18"/>
                <w:vertAlign w:val="superscript"/>
              </w:rPr>
            </w:pPr>
            <w:r w:rsidRPr="00856120">
              <w:rPr>
                <w:rFonts w:ascii="Arial" w:hAnsi="Arial" w:cs="Arial"/>
                <w:b/>
                <w:sz w:val="18"/>
                <w:szCs w:val="18"/>
              </w:rPr>
              <w:lastRenderedPageBreak/>
              <w:t>Dubberke, 2010</w:t>
            </w:r>
            <w:r w:rsidRPr="00856120">
              <w:rPr>
                <w:rFonts w:ascii="Arial" w:hAnsi="Arial" w:cs="Arial"/>
                <w:b/>
                <w:sz w:val="18"/>
                <w:szCs w:val="18"/>
                <w:vertAlign w:val="superscript"/>
              </w:rPr>
              <w:t>35</w:t>
            </w:r>
          </w:p>
        </w:tc>
        <w:tc>
          <w:tcPr>
            <w:tcW w:w="1406" w:type="dxa"/>
          </w:tcPr>
          <w:p w14:paraId="225744F7"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ICD-9 code- based hospital-onset </w:t>
            </w:r>
            <w:r w:rsidRPr="007319A1">
              <w:rPr>
                <w:rFonts w:ascii="Arial" w:hAnsi="Arial" w:cs="Arial"/>
                <w:i/>
                <w:sz w:val="18"/>
                <w:szCs w:val="18"/>
              </w:rPr>
              <w:t>Clostridium difficile</w:t>
            </w:r>
            <w:r w:rsidRPr="007319A1">
              <w:rPr>
                <w:rFonts w:ascii="Arial" w:hAnsi="Arial" w:cs="Arial"/>
                <w:sz w:val="18"/>
                <w:szCs w:val="18"/>
              </w:rPr>
              <w:t xml:space="preserve"> infection surveillance</w:t>
            </w:r>
          </w:p>
        </w:tc>
        <w:tc>
          <w:tcPr>
            <w:tcW w:w="1585" w:type="dxa"/>
          </w:tcPr>
          <w:p w14:paraId="08FD8AFB"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Validation of ICD-9 codes for CDI surveillance (by comparison with toxic assay results). HO-CDI cases were identified at five U.S. hospitals between July 2000 and June 2006 using two surveillance definitions: positive toxin assay results (gold standard) and secondary ICD-9 diagnosis codes for CDI. Chi-square tests were used to compare </w:t>
            </w:r>
            <w:r w:rsidRPr="007319A1">
              <w:rPr>
                <w:rFonts w:ascii="Arial" w:hAnsi="Arial" w:cs="Arial"/>
                <w:sz w:val="18"/>
                <w:szCs w:val="18"/>
              </w:rPr>
              <w:lastRenderedPageBreak/>
              <w:t>incidence rates, linear regression models were used to analyze trends, and the test of equality was used to compare slopes.</w:t>
            </w:r>
          </w:p>
          <w:p w14:paraId="01C96B18"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A total of 930,692 hospital discharges during the 6-year study period.</w:t>
            </w:r>
          </w:p>
        </w:tc>
        <w:tc>
          <w:tcPr>
            <w:tcW w:w="1045" w:type="dxa"/>
            <w:noWrap/>
          </w:tcPr>
          <w:p w14:paraId="271E3C21" w14:textId="77777777" w:rsidR="000A266B" w:rsidRPr="007319A1" w:rsidRDefault="000A266B" w:rsidP="008A7983">
            <w:pPr>
              <w:pStyle w:val="Default"/>
              <w:rPr>
                <w:rFonts w:ascii="Arial" w:hAnsi="Arial" w:cs="Arial"/>
                <w:color w:val="auto"/>
                <w:sz w:val="18"/>
                <w:szCs w:val="18"/>
              </w:rPr>
            </w:pPr>
            <w:r w:rsidRPr="007319A1">
              <w:rPr>
                <w:rFonts w:ascii="Arial" w:hAnsi="Arial" w:cs="Arial"/>
                <w:color w:val="auto"/>
                <w:sz w:val="18"/>
                <w:szCs w:val="18"/>
              </w:rPr>
              <w:lastRenderedPageBreak/>
              <w:t>Five U.S. academic medical centers—MO, MA, OH, UT, IL.</w:t>
            </w:r>
          </w:p>
          <w:p w14:paraId="4DF5919C" w14:textId="77777777" w:rsidR="000A266B" w:rsidRPr="007319A1" w:rsidRDefault="000A266B" w:rsidP="008A7983">
            <w:pPr>
              <w:pStyle w:val="Default"/>
              <w:rPr>
                <w:rFonts w:ascii="Arial" w:hAnsi="Arial" w:cs="Arial"/>
                <w:color w:val="auto"/>
                <w:sz w:val="18"/>
                <w:szCs w:val="18"/>
              </w:rPr>
            </w:pPr>
            <w:r w:rsidRPr="007319A1">
              <w:rPr>
                <w:rFonts w:ascii="Arial" w:hAnsi="Arial" w:cs="Arial"/>
                <w:color w:val="auto"/>
                <w:sz w:val="18"/>
                <w:szCs w:val="18"/>
              </w:rPr>
              <w:t>All study hospitals participated in the CDC Epicenter Program.</w:t>
            </w:r>
          </w:p>
        </w:tc>
        <w:tc>
          <w:tcPr>
            <w:tcW w:w="1739" w:type="dxa"/>
            <w:noWrap/>
          </w:tcPr>
          <w:p w14:paraId="60DFF36C"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Of 8,670 hospital-onset CDI cases, 38% were identified by </w:t>
            </w:r>
            <w:proofErr w:type="gramStart"/>
            <w:r w:rsidRPr="007319A1">
              <w:rPr>
                <w:rFonts w:ascii="Arial" w:hAnsi="Arial" w:cs="Arial"/>
                <w:sz w:val="18"/>
                <w:szCs w:val="18"/>
              </w:rPr>
              <w:t>both toxin</w:t>
            </w:r>
            <w:proofErr w:type="gramEnd"/>
            <w:r w:rsidRPr="007319A1">
              <w:rPr>
                <w:rFonts w:ascii="Arial" w:hAnsi="Arial" w:cs="Arial"/>
                <w:sz w:val="18"/>
                <w:szCs w:val="18"/>
              </w:rPr>
              <w:t xml:space="preserve"> assay and ICD-9 code, 16% by toxin assay alone, and 45% by ICD-9 code alone. Nearly half (47%) of CDI cases identified by ICD-9 code alone were community-onset cases by toxin assay. The hospital-onset CDI rate was significantly higher by ICD-9 codes compared with toxin assays overall (p &lt;0.001), as well as individually at three of the five hospitals </w:t>
            </w:r>
            <w:r w:rsidRPr="007319A1">
              <w:rPr>
                <w:rFonts w:ascii="Arial" w:hAnsi="Arial" w:cs="Arial"/>
                <w:sz w:val="18"/>
                <w:szCs w:val="18"/>
              </w:rPr>
              <w:lastRenderedPageBreak/>
              <w:t>(p &lt;0.001 for all). The agreement between toxin assays and ICD-9 codes was moderate, with an overall kappa value of 0.509 and hospital-specific kappa values that ranged from 0.489 to 0.570. Overall, the annual increase in CDI incidence was significantly greater for rates determined by ICD-9 codes than by toxin assays (p=0.006).</w:t>
            </w:r>
          </w:p>
        </w:tc>
        <w:tc>
          <w:tcPr>
            <w:tcW w:w="1479" w:type="dxa"/>
            <w:noWrap/>
          </w:tcPr>
          <w:p w14:paraId="0A8A69B4"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lastRenderedPageBreak/>
              <w:t xml:space="preserve">Although ICD-9 codes appear to be adequate for measuring the overall CDI burden, use of the </w:t>
            </w:r>
            <w:r w:rsidRPr="007319A1">
              <w:rPr>
                <w:rFonts w:ascii="Arial" w:hAnsi="Arial" w:cs="Arial"/>
                <w:i/>
                <w:sz w:val="18"/>
                <w:szCs w:val="18"/>
              </w:rPr>
              <w:t xml:space="preserve">C. difficile </w:t>
            </w:r>
            <w:r w:rsidRPr="007319A1">
              <w:rPr>
                <w:rFonts w:ascii="Arial" w:hAnsi="Arial" w:cs="Arial"/>
                <w:sz w:val="18"/>
                <w:szCs w:val="18"/>
              </w:rPr>
              <w:t>ICD-9 code without present-on-admission classification is not an acceptable surrogate for hospital-onset CDI surveillance.</w:t>
            </w:r>
          </w:p>
        </w:tc>
        <w:tc>
          <w:tcPr>
            <w:tcW w:w="1999" w:type="dxa"/>
          </w:tcPr>
          <w:p w14:paraId="7B05CE57" w14:textId="77777777" w:rsidR="000A266B" w:rsidRPr="007319A1" w:rsidRDefault="000A266B" w:rsidP="008A7983">
            <w:pPr>
              <w:pStyle w:val="Default"/>
              <w:rPr>
                <w:rFonts w:ascii="Arial" w:hAnsi="Arial" w:cs="Arial"/>
                <w:color w:val="auto"/>
                <w:sz w:val="18"/>
                <w:szCs w:val="18"/>
              </w:rPr>
            </w:pPr>
            <w:r w:rsidRPr="007319A1">
              <w:rPr>
                <w:rFonts w:ascii="Arial" w:hAnsi="Arial" w:cs="Arial"/>
                <w:color w:val="auto"/>
                <w:sz w:val="18"/>
                <w:szCs w:val="18"/>
              </w:rPr>
              <w:t xml:space="preserve">While ICD-9 codes may be an adequate surrogate for tracking the overall CDI burden, they may be less useful for tracking HO-CDI incidence compared with toxin assay results. In the future, present-on-admission codes—which became mandatory for Medicare patients discharged on or after October 1, 2007 (i.e., after the study period)—may add precision to ICD-9 code-based CDI surveillance. These codes might provide a mechanism to distinguish pre-existing </w:t>
            </w:r>
            <w:r w:rsidRPr="007319A1">
              <w:rPr>
                <w:rFonts w:ascii="Arial" w:hAnsi="Arial" w:cs="Arial"/>
                <w:color w:val="auto"/>
                <w:sz w:val="18"/>
                <w:szCs w:val="18"/>
              </w:rPr>
              <w:lastRenderedPageBreak/>
              <w:t>conditions, and ultimately reduce misclassification of community-onset CDI cases. Discharge diagnosis codes reflect conditions diagnosed or treated during the entire admission, but do not give information regarding the location or date of CDI onset.</w:t>
            </w:r>
          </w:p>
        </w:tc>
        <w:tc>
          <w:tcPr>
            <w:tcW w:w="1045" w:type="dxa"/>
          </w:tcPr>
          <w:p w14:paraId="28C9E966"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lastRenderedPageBreak/>
              <w:t>Low</w:t>
            </w:r>
          </w:p>
        </w:tc>
        <w:tc>
          <w:tcPr>
            <w:tcW w:w="1127" w:type="dxa"/>
            <w:noWrap/>
          </w:tcPr>
          <w:p w14:paraId="650BC964"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ICD-9 codes significantly overreported the incidence of hospital-onset CDI compared with toxin assay results, and the degree to which this happened varied by year and by hospital.</w:t>
            </w:r>
          </w:p>
        </w:tc>
      </w:tr>
      <w:tr w:rsidR="000A266B" w:rsidRPr="007319A1" w14:paraId="08BE9B00" w14:textId="77777777" w:rsidTr="002E39BB">
        <w:trPr>
          <w:jc w:val="center"/>
        </w:trPr>
        <w:tc>
          <w:tcPr>
            <w:tcW w:w="1525" w:type="dxa"/>
            <w:noWrap/>
          </w:tcPr>
          <w:p w14:paraId="1903D67E" w14:textId="77777777" w:rsidR="000A266B" w:rsidRPr="00856120" w:rsidRDefault="000A266B" w:rsidP="008A7983">
            <w:pPr>
              <w:spacing w:after="0"/>
              <w:rPr>
                <w:rFonts w:ascii="Arial" w:hAnsi="Arial" w:cs="Arial"/>
                <w:b/>
                <w:sz w:val="18"/>
                <w:szCs w:val="18"/>
              </w:rPr>
            </w:pPr>
            <w:r w:rsidRPr="00856120">
              <w:rPr>
                <w:rFonts w:ascii="Arial" w:hAnsi="Arial" w:cs="Arial"/>
                <w:b/>
                <w:sz w:val="18"/>
                <w:szCs w:val="18"/>
              </w:rPr>
              <w:lastRenderedPageBreak/>
              <w:t>Durkin et al., 2015</w:t>
            </w:r>
            <w:r w:rsidRPr="00856120">
              <w:rPr>
                <w:rFonts w:ascii="Arial" w:hAnsi="Arial" w:cs="Arial"/>
                <w:b/>
                <w:sz w:val="18"/>
                <w:szCs w:val="18"/>
                <w:vertAlign w:val="superscript"/>
              </w:rPr>
              <w:t>31</w:t>
            </w:r>
            <w:r w:rsidRPr="00856120">
              <w:rPr>
                <w:rFonts w:ascii="Arial" w:hAnsi="Arial" w:cs="Arial"/>
                <w:b/>
                <w:sz w:val="18"/>
                <w:szCs w:val="18"/>
              </w:rPr>
              <w:t xml:space="preserve"> </w:t>
            </w:r>
          </w:p>
        </w:tc>
        <w:tc>
          <w:tcPr>
            <w:tcW w:w="1406" w:type="dxa"/>
          </w:tcPr>
          <w:p w14:paraId="43484F21" w14:textId="77777777" w:rsidR="000A266B" w:rsidRPr="007319A1" w:rsidRDefault="000A266B" w:rsidP="008A7983">
            <w:pPr>
              <w:pStyle w:val="Default"/>
              <w:rPr>
                <w:rFonts w:ascii="Arial" w:hAnsi="Arial" w:cs="Arial"/>
                <w:color w:val="auto"/>
                <w:sz w:val="18"/>
                <w:szCs w:val="18"/>
              </w:rPr>
            </w:pPr>
            <w:r w:rsidRPr="007319A1">
              <w:rPr>
                <w:rFonts w:ascii="Arial" w:hAnsi="Arial" w:cs="Arial"/>
                <w:color w:val="auto"/>
                <w:sz w:val="18"/>
                <w:szCs w:val="18"/>
              </w:rPr>
              <w:t xml:space="preserve">National Healthcare Safety Network (NHSN) reporting of laboratory identified (LabID) </w:t>
            </w:r>
            <w:r w:rsidRPr="007319A1">
              <w:rPr>
                <w:rFonts w:ascii="Arial" w:hAnsi="Arial" w:cs="Arial"/>
                <w:i/>
                <w:color w:val="auto"/>
                <w:sz w:val="18"/>
                <w:szCs w:val="18"/>
              </w:rPr>
              <w:t xml:space="preserve">Clostridium difficile </w:t>
            </w:r>
            <w:r w:rsidRPr="007319A1">
              <w:rPr>
                <w:rFonts w:ascii="Arial" w:hAnsi="Arial" w:cs="Arial"/>
                <w:color w:val="auto"/>
                <w:sz w:val="18"/>
                <w:szCs w:val="18"/>
              </w:rPr>
              <w:t>infection (CDI) versus traditional surveillance methods.</w:t>
            </w:r>
          </w:p>
          <w:p w14:paraId="48107709" w14:textId="77777777" w:rsidR="000A266B" w:rsidRPr="007319A1" w:rsidRDefault="000A266B" w:rsidP="008A7983">
            <w:pPr>
              <w:pStyle w:val="Default"/>
              <w:rPr>
                <w:rFonts w:ascii="Arial" w:hAnsi="Arial" w:cs="Arial"/>
                <w:color w:val="auto"/>
                <w:sz w:val="18"/>
                <w:szCs w:val="18"/>
              </w:rPr>
            </w:pPr>
            <w:r w:rsidRPr="007319A1">
              <w:rPr>
                <w:rFonts w:ascii="Arial" w:hAnsi="Arial" w:cs="Arial"/>
                <w:color w:val="auto"/>
                <w:sz w:val="18"/>
                <w:szCs w:val="18"/>
              </w:rPr>
              <w:t xml:space="preserve">LabID: designed to use electronically captured laboratory data and hospital admission dates to determine </w:t>
            </w:r>
            <w:r w:rsidRPr="007319A1">
              <w:rPr>
                <w:rFonts w:ascii="Arial" w:hAnsi="Arial" w:cs="Arial"/>
                <w:color w:val="auto"/>
                <w:sz w:val="18"/>
                <w:szCs w:val="18"/>
              </w:rPr>
              <w:lastRenderedPageBreak/>
              <w:t>hospital-onset (HO) versus community-onset (CO) surveillance categories.</w:t>
            </w:r>
          </w:p>
        </w:tc>
        <w:tc>
          <w:tcPr>
            <w:tcW w:w="1585" w:type="dxa"/>
          </w:tcPr>
          <w:p w14:paraId="3AB36A23"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lastRenderedPageBreak/>
              <w:t xml:space="preserve">Validation of LabID surveillance using a cohort study. A period of 6 months (January 1, 2013, to June 30, 2013) of prospectively collected data using both LabID and traditional surveillance definitions. A total of 1,252 </w:t>
            </w:r>
            <w:proofErr w:type="gramStart"/>
            <w:r w:rsidRPr="007319A1">
              <w:rPr>
                <w:rFonts w:ascii="Arial" w:hAnsi="Arial" w:cs="Arial"/>
                <w:sz w:val="18"/>
                <w:szCs w:val="18"/>
              </w:rPr>
              <w:t>incident</w:t>
            </w:r>
            <w:proofErr w:type="gramEnd"/>
            <w:r w:rsidRPr="007319A1">
              <w:rPr>
                <w:rFonts w:ascii="Arial" w:hAnsi="Arial" w:cs="Arial"/>
                <w:sz w:val="18"/>
                <w:szCs w:val="18"/>
              </w:rPr>
              <w:t xml:space="preserve"> LabID CDI events were identified during 708,551 patient-days. CDI events with mismatched surveillance categories </w:t>
            </w:r>
            <w:r w:rsidRPr="007319A1">
              <w:rPr>
                <w:rFonts w:ascii="Arial" w:hAnsi="Arial" w:cs="Arial"/>
                <w:sz w:val="18"/>
                <w:szCs w:val="18"/>
              </w:rPr>
              <w:lastRenderedPageBreak/>
              <w:t>between LabID and traditional definitions were identified and characterized further. Hospital-onset CDI (HO-CDI) rates for the entire cohort of hospitals were calculated using each method, then hospital-specific HO-CDI rates and standardized infection ratios (SIRs) were calculated. Hospital rankings based on each CDI surveillance measure were compared.</w:t>
            </w:r>
          </w:p>
        </w:tc>
        <w:tc>
          <w:tcPr>
            <w:tcW w:w="1045" w:type="dxa"/>
            <w:noWrap/>
          </w:tcPr>
          <w:p w14:paraId="0FFBA0B4" w14:textId="77777777" w:rsidR="000A266B" w:rsidRPr="007319A1" w:rsidRDefault="000A266B" w:rsidP="008A7983">
            <w:pPr>
              <w:pStyle w:val="Default"/>
              <w:rPr>
                <w:rFonts w:ascii="Arial" w:hAnsi="Arial" w:cs="Arial"/>
                <w:color w:val="auto"/>
                <w:sz w:val="18"/>
                <w:szCs w:val="18"/>
              </w:rPr>
            </w:pPr>
            <w:r w:rsidRPr="007319A1">
              <w:rPr>
                <w:rFonts w:ascii="Arial" w:hAnsi="Arial" w:cs="Arial"/>
                <w:color w:val="auto"/>
                <w:sz w:val="18"/>
                <w:szCs w:val="18"/>
              </w:rPr>
              <w:lastRenderedPageBreak/>
              <w:t>A cohort of 29 community hospitals in the south</w:t>
            </w:r>
            <w:r>
              <w:rPr>
                <w:rFonts w:ascii="Arial" w:hAnsi="Arial" w:cs="Arial"/>
                <w:color w:val="auto"/>
                <w:sz w:val="18"/>
                <w:szCs w:val="18"/>
              </w:rPr>
              <w:t>-</w:t>
            </w:r>
            <w:r w:rsidRPr="007319A1">
              <w:rPr>
                <w:rFonts w:ascii="Arial" w:hAnsi="Arial" w:cs="Arial"/>
                <w:color w:val="auto"/>
                <w:sz w:val="18"/>
                <w:szCs w:val="18"/>
              </w:rPr>
              <w:t>eastern United States</w:t>
            </w:r>
          </w:p>
        </w:tc>
        <w:tc>
          <w:tcPr>
            <w:tcW w:w="1739" w:type="dxa"/>
            <w:noWrap/>
          </w:tcPr>
          <w:p w14:paraId="4350C0A7"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A total of 1,252 incident LabID CDI events were identified during 708,551 patient-days; 286 (23%) mismatched CDI events were detected. The overall HO-CDI rate was 6.0 versus 4.4 per 10,000 patient-days for LabID and traditional surveillance, respectively (p &lt;0.001); of 29 hospitals, 25 (86%) detected a higher CDI rate using LabID compared with the traditional </w:t>
            </w:r>
            <w:r w:rsidRPr="007319A1">
              <w:rPr>
                <w:rFonts w:ascii="Arial" w:hAnsi="Arial" w:cs="Arial"/>
                <w:sz w:val="18"/>
                <w:szCs w:val="18"/>
              </w:rPr>
              <w:lastRenderedPageBreak/>
              <w:t>method.</w:t>
            </w:r>
          </w:p>
        </w:tc>
        <w:tc>
          <w:tcPr>
            <w:tcW w:w="1479" w:type="dxa"/>
            <w:noWrap/>
          </w:tcPr>
          <w:p w14:paraId="0BFBA767"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lastRenderedPageBreak/>
              <w:t xml:space="preserve">Hospital rank in the cohort differed greatly between surveillance measures. A rank change of at least five places occurred in 9 of 28 hospitals (32%) between LabID and traditional CDI surveillance methods. </w:t>
            </w:r>
          </w:p>
        </w:tc>
        <w:tc>
          <w:tcPr>
            <w:tcW w:w="1999" w:type="dxa"/>
          </w:tcPr>
          <w:p w14:paraId="5051E100" w14:textId="77777777" w:rsidR="000A266B" w:rsidRPr="007319A1" w:rsidRDefault="000A266B" w:rsidP="008A7983">
            <w:pPr>
              <w:pStyle w:val="Default"/>
              <w:rPr>
                <w:rFonts w:ascii="Arial" w:hAnsi="Arial" w:cs="Arial"/>
                <w:color w:val="auto"/>
                <w:sz w:val="18"/>
                <w:szCs w:val="18"/>
              </w:rPr>
            </w:pPr>
            <w:r w:rsidRPr="007319A1">
              <w:rPr>
                <w:rFonts w:ascii="Arial" w:hAnsi="Arial" w:cs="Arial"/>
                <w:color w:val="auto"/>
                <w:sz w:val="18"/>
                <w:szCs w:val="18"/>
              </w:rPr>
              <w:t>LabID surveillance resulted in a higher hospital-onset CDI incidence rate than did traditional surveillance. Hospital-specific rankings varied based on the HO-CDI surveillance measure used. A clear understanding of differences in CDI surveillance measures is important when interpreting national and local CDI data.</w:t>
            </w:r>
          </w:p>
          <w:p w14:paraId="70319AE2" w14:textId="77777777" w:rsidR="000A266B" w:rsidRPr="007319A1" w:rsidRDefault="000A266B" w:rsidP="008A7983">
            <w:pPr>
              <w:pStyle w:val="Default"/>
              <w:rPr>
                <w:rFonts w:ascii="Arial" w:hAnsi="Arial" w:cs="Arial"/>
                <w:color w:val="auto"/>
                <w:sz w:val="18"/>
                <w:szCs w:val="18"/>
              </w:rPr>
            </w:pPr>
            <w:r w:rsidRPr="007319A1">
              <w:rPr>
                <w:rFonts w:ascii="Arial" w:hAnsi="Arial" w:cs="Arial"/>
                <w:color w:val="auto"/>
                <w:sz w:val="18"/>
                <w:szCs w:val="18"/>
              </w:rPr>
              <w:t xml:space="preserve">Hospitals that adopt the LabID surveillance method should expect to observe higher HO-CDI incidence rates than with traditional </w:t>
            </w:r>
            <w:r w:rsidRPr="007319A1">
              <w:rPr>
                <w:rFonts w:ascii="Arial" w:hAnsi="Arial" w:cs="Arial"/>
                <w:color w:val="auto"/>
                <w:sz w:val="18"/>
                <w:szCs w:val="18"/>
              </w:rPr>
              <w:lastRenderedPageBreak/>
              <w:t>surveillance.</w:t>
            </w:r>
          </w:p>
          <w:p w14:paraId="3A0FC0CB" w14:textId="77777777" w:rsidR="000A266B" w:rsidRPr="007319A1" w:rsidRDefault="000A266B" w:rsidP="008A7983">
            <w:pPr>
              <w:pStyle w:val="Default"/>
              <w:rPr>
                <w:rFonts w:ascii="Arial" w:hAnsi="Arial" w:cs="Arial"/>
                <w:color w:val="auto"/>
                <w:sz w:val="18"/>
                <w:szCs w:val="18"/>
              </w:rPr>
            </w:pPr>
            <w:r w:rsidRPr="007319A1">
              <w:rPr>
                <w:rFonts w:ascii="Arial" w:hAnsi="Arial" w:cs="Arial"/>
                <w:color w:val="auto"/>
                <w:sz w:val="18"/>
                <w:szCs w:val="18"/>
              </w:rPr>
              <w:t>Mismatched cases between LabID and traditional surveillance that are due to delays in diagnostic testing may potentially penalize hospitals on publicly reported SIR measures.</w:t>
            </w:r>
          </w:p>
        </w:tc>
        <w:tc>
          <w:tcPr>
            <w:tcW w:w="1045" w:type="dxa"/>
          </w:tcPr>
          <w:p w14:paraId="09640CC8"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lastRenderedPageBreak/>
              <w:t>Low</w:t>
            </w:r>
          </w:p>
          <w:p w14:paraId="5E4B10BF" w14:textId="77777777" w:rsidR="000A266B" w:rsidRPr="007319A1" w:rsidRDefault="000A266B" w:rsidP="008A7983">
            <w:pPr>
              <w:spacing w:after="0"/>
              <w:rPr>
                <w:rFonts w:ascii="Arial" w:hAnsi="Arial" w:cs="Arial"/>
                <w:sz w:val="18"/>
                <w:szCs w:val="18"/>
              </w:rPr>
            </w:pPr>
          </w:p>
        </w:tc>
        <w:tc>
          <w:tcPr>
            <w:tcW w:w="1127" w:type="dxa"/>
            <w:noWrap/>
          </w:tcPr>
          <w:p w14:paraId="00CE6328"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None</w:t>
            </w:r>
          </w:p>
        </w:tc>
      </w:tr>
      <w:tr w:rsidR="000A266B" w:rsidRPr="007319A1" w14:paraId="51D869ED" w14:textId="77777777" w:rsidTr="002E39BB">
        <w:trPr>
          <w:jc w:val="center"/>
        </w:trPr>
        <w:tc>
          <w:tcPr>
            <w:tcW w:w="1525" w:type="dxa"/>
            <w:noWrap/>
          </w:tcPr>
          <w:p w14:paraId="134CFB96" w14:textId="77777777" w:rsidR="000A266B" w:rsidRPr="00856120" w:rsidRDefault="000A266B" w:rsidP="008A7983">
            <w:pPr>
              <w:spacing w:after="0"/>
              <w:rPr>
                <w:rFonts w:ascii="Arial" w:hAnsi="Arial" w:cs="Arial"/>
                <w:b/>
                <w:sz w:val="18"/>
                <w:szCs w:val="18"/>
                <w:vertAlign w:val="superscript"/>
              </w:rPr>
            </w:pPr>
            <w:r w:rsidRPr="00856120">
              <w:rPr>
                <w:rFonts w:ascii="Arial" w:hAnsi="Arial" w:cs="Arial"/>
                <w:b/>
                <w:sz w:val="18"/>
                <w:szCs w:val="18"/>
              </w:rPr>
              <w:lastRenderedPageBreak/>
              <w:t>Faires et al., 2014</w:t>
            </w:r>
            <w:r w:rsidRPr="00856120">
              <w:rPr>
                <w:rFonts w:ascii="Arial" w:hAnsi="Arial" w:cs="Arial"/>
                <w:b/>
                <w:sz w:val="18"/>
                <w:szCs w:val="18"/>
                <w:vertAlign w:val="superscript"/>
              </w:rPr>
              <w:t>24</w:t>
            </w:r>
          </w:p>
        </w:tc>
        <w:tc>
          <w:tcPr>
            <w:tcW w:w="1406" w:type="dxa"/>
          </w:tcPr>
          <w:p w14:paraId="0B5C6B65" w14:textId="77777777" w:rsidR="000A266B" w:rsidRPr="007319A1" w:rsidRDefault="000A266B" w:rsidP="008A7983">
            <w:pPr>
              <w:pStyle w:val="Default"/>
              <w:rPr>
                <w:rFonts w:ascii="Arial" w:hAnsi="Arial" w:cs="Arial"/>
                <w:color w:val="auto"/>
                <w:sz w:val="18"/>
                <w:szCs w:val="18"/>
              </w:rPr>
            </w:pPr>
            <w:r w:rsidRPr="007319A1">
              <w:rPr>
                <w:rFonts w:ascii="Arial" w:hAnsi="Arial" w:cs="Arial"/>
                <w:color w:val="auto"/>
                <w:sz w:val="18"/>
                <w:szCs w:val="18"/>
              </w:rPr>
              <w:t>Outbreak investigation using the temporal scan statistic in a hospital</w:t>
            </w:r>
          </w:p>
        </w:tc>
        <w:tc>
          <w:tcPr>
            <w:tcW w:w="1585" w:type="dxa"/>
          </w:tcPr>
          <w:p w14:paraId="7390BEDE"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Case study. For patients detected with CDI from March 2010 to February 2011, stool specimens were obtained. </w:t>
            </w:r>
            <w:r w:rsidRPr="007319A1">
              <w:rPr>
                <w:rFonts w:ascii="Arial" w:hAnsi="Arial" w:cs="Arial"/>
                <w:i/>
                <w:sz w:val="18"/>
                <w:szCs w:val="18"/>
              </w:rPr>
              <w:t>Clostridium difficile</w:t>
            </w:r>
            <w:r w:rsidRPr="007319A1">
              <w:rPr>
                <w:rFonts w:ascii="Arial" w:hAnsi="Arial" w:cs="Arial"/>
                <w:sz w:val="18"/>
                <w:szCs w:val="18"/>
              </w:rPr>
              <w:t xml:space="preserve"> isolates were characterized by ribotyping and investigated for the presence of toxin genes by PCR. CDI clusters were investigated using a retrospective </w:t>
            </w:r>
            <w:r w:rsidRPr="007319A1">
              <w:rPr>
                <w:rFonts w:ascii="Arial" w:hAnsi="Arial" w:cs="Arial"/>
                <w:sz w:val="18"/>
                <w:szCs w:val="18"/>
              </w:rPr>
              <w:lastRenderedPageBreak/>
              <w:t>temporal scan test statistic. Statistically significant clusters were compared with known CDI outbreaks within the hospital. A negative binomial regression model was used to identify associations between year, season, month, and rate of CDI cases.</w:t>
            </w:r>
          </w:p>
        </w:tc>
        <w:tc>
          <w:tcPr>
            <w:tcW w:w="1045" w:type="dxa"/>
            <w:noWrap/>
          </w:tcPr>
          <w:p w14:paraId="12F7438C" w14:textId="77777777" w:rsidR="000A266B" w:rsidRPr="007319A1" w:rsidRDefault="000A266B" w:rsidP="008A7983">
            <w:pPr>
              <w:pStyle w:val="Default"/>
              <w:rPr>
                <w:rFonts w:ascii="Arial" w:hAnsi="Arial" w:cs="Arial"/>
                <w:color w:val="auto"/>
                <w:sz w:val="18"/>
                <w:szCs w:val="18"/>
              </w:rPr>
            </w:pPr>
            <w:r w:rsidRPr="007319A1">
              <w:rPr>
                <w:rFonts w:ascii="Arial" w:hAnsi="Arial" w:cs="Arial"/>
                <w:color w:val="auto"/>
                <w:sz w:val="18"/>
                <w:szCs w:val="18"/>
              </w:rPr>
              <w:lastRenderedPageBreak/>
              <w:t>A Canadian hospital</w:t>
            </w:r>
          </w:p>
        </w:tc>
        <w:tc>
          <w:tcPr>
            <w:tcW w:w="1739" w:type="dxa"/>
            <w:noWrap/>
          </w:tcPr>
          <w:p w14:paraId="32E71B84"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Overall, 86 CDI cases were identified. Eighteen specimens were analyzed and nine ribotypes were classified, with ribotype 027 (n=6) the most prevalent. The temporal scan statistic identified significant CDI clusters at the hospital (n=5), service (n=6), and ward (n=4) levels (p ≤ 0.05). Three clusters were </w:t>
            </w:r>
            <w:r w:rsidRPr="007319A1">
              <w:rPr>
                <w:rFonts w:ascii="Arial" w:hAnsi="Arial" w:cs="Arial"/>
                <w:sz w:val="18"/>
                <w:szCs w:val="18"/>
              </w:rPr>
              <w:lastRenderedPageBreak/>
              <w:t xml:space="preserve">concordant with the one </w:t>
            </w:r>
            <w:r w:rsidRPr="007319A1">
              <w:rPr>
                <w:rFonts w:ascii="Arial" w:hAnsi="Arial" w:cs="Arial"/>
                <w:i/>
                <w:sz w:val="18"/>
                <w:szCs w:val="18"/>
              </w:rPr>
              <w:t>C. difficile</w:t>
            </w:r>
            <w:r w:rsidRPr="007319A1">
              <w:rPr>
                <w:rFonts w:ascii="Arial" w:hAnsi="Arial" w:cs="Arial"/>
                <w:sz w:val="18"/>
                <w:szCs w:val="18"/>
              </w:rPr>
              <w:t xml:space="preserve"> outbreak identified by hospital personnel. Two clusters were identified as potential outbreaks. </w:t>
            </w:r>
          </w:p>
        </w:tc>
        <w:tc>
          <w:tcPr>
            <w:tcW w:w="1479" w:type="dxa"/>
            <w:noWrap/>
          </w:tcPr>
          <w:p w14:paraId="67175FA2"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lastRenderedPageBreak/>
              <w:t>Not provided</w:t>
            </w:r>
          </w:p>
        </w:tc>
        <w:tc>
          <w:tcPr>
            <w:tcW w:w="1999" w:type="dxa"/>
          </w:tcPr>
          <w:p w14:paraId="06BCAB0A" w14:textId="77777777" w:rsidR="000A266B" w:rsidRPr="007319A1" w:rsidRDefault="000A266B" w:rsidP="008A7983">
            <w:pPr>
              <w:pStyle w:val="Default"/>
              <w:rPr>
                <w:rFonts w:ascii="Arial" w:hAnsi="Arial" w:cs="Arial"/>
                <w:color w:val="auto"/>
                <w:sz w:val="18"/>
                <w:szCs w:val="18"/>
              </w:rPr>
            </w:pPr>
            <w:r w:rsidRPr="007319A1">
              <w:rPr>
                <w:rFonts w:ascii="Arial" w:hAnsi="Arial" w:cs="Arial"/>
                <w:color w:val="auto"/>
                <w:sz w:val="18"/>
                <w:szCs w:val="18"/>
              </w:rPr>
              <w:t xml:space="preserve">Application of the temporal scan statistic identified several clusters, including potential outbreaks not detected by hospital personnel. The identification of time periods with decreased or increased CDI rates may have been a result of specific hospital events. Understanding the clustering of infectious diseases, spatially or temporally, can help identify risk factors, facilitate </w:t>
            </w:r>
            <w:r w:rsidRPr="007319A1">
              <w:rPr>
                <w:rFonts w:ascii="Arial" w:hAnsi="Arial" w:cs="Arial"/>
                <w:color w:val="auto"/>
                <w:sz w:val="18"/>
                <w:szCs w:val="18"/>
              </w:rPr>
              <w:lastRenderedPageBreak/>
              <w:t>detailed investigations to determine the association between exposures and disease interventions, and detect outbreaks. A commonly used statistical technique to detect disease clusters, the scan statistic has been used to investigate a wide array of infectious diseases or pathogens.</w:t>
            </w:r>
          </w:p>
        </w:tc>
        <w:tc>
          <w:tcPr>
            <w:tcW w:w="1045" w:type="dxa"/>
          </w:tcPr>
          <w:p w14:paraId="0EFA424D"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lastRenderedPageBreak/>
              <w:t>Low to moderate</w:t>
            </w:r>
          </w:p>
        </w:tc>
        <w:tc>
          <w:tcPr>
            <w:tcW w:w="1127" w:type="dxa"/>
            <w:noWrap/>
          </w:tcPr>
          <w:p w14:paraId="31CE4922"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None</w:t>
            </w:r>
          </w:p>
        </w:tc>
      </w:tr>
      <w:tr w:rsidR="000A266B" w:rsidRPr="007319A1" w14:paraId="192726DA" w14:textId="77777777" w:rsidTr="002E39BB">
        <w:trPr>
          <w:jc w:val="center"/>
        </w:trPr>
        <w:tc>
          <w:tcPr>
            <w:tcW w:w="1525" w:type="dxa"/>
            <w:noWrap/>
          </w:tcPr>
          <w:p w14:paraId="76649B5C" w14:textId="77777777" w:rsidR="000A266B" w:rsidRPr="00856120" w:rsidRDefault="000A266B" w:rsidP="008A7983">
            <w:pPr>
              <w:spacing w:after="0"/>
              <w:rPr>
                <w:rFonts w:ascii="Arial" w:hAnsi="Arial" w:cs="Arial"/>
                <w:b/>
                <w:sz w:val="18"/>
                <w:szCs w:val="18"/>
                <w:vertAlign w:val="superscript"/>
              </w:rPr>
            </w:pPr>
            <w:r w:rsidRPr="00856120">
              <w:rPr>
                <w:rFonts w:ascii="Arial" w:hAnsi="Arial" w:cs="Arial"/>
                <w:b/>
                <w:sz w:val="18"/>
                <w:szCs w:val="18"/>
              </w:rPr>
              <w:lastRenderedPageBreak/>
              <w:t>Gase et al., 2013</w:t>
            </w:r>
            <w:r w:rsidRPr="00856120">
              <w:rPr>
                <w:rFonts w:ascii="Arial" w:hAnsi="Arial" w:cs="Arial"/>
                <w:b/>
                <w:sz w:val="18"/>
                <w:szCs w:val="18"/>
                <w:vertAlign w:val="superscript"/>
              </w:rPr>
              <w:t>30</w:t>
            </w:r>
          </w:p>
        </w:tc>
        <w:tc>
          <w:tcPr>
            <w:tcW w:w="1406" w:type="dxa"/>
          </w:tcPr>
          <w:p w14:paraId="0CA918B4" w14:textId="77777777" w:rsidR="000A266B" w:rsidRPr="007319A1" w:rsidRDefault="000A266B" w:rsidP="008A7983">
            <w:pPr>
              <w:pStyle w:val="Default"/>
              <w:rPr>
                <w:rFonts w:ascii="Arial" w:hAnsi="Arial" w:cs="Arial"/>
                <w:color w:val="auto"/>
                <w:sz w:val="18"/>
                <w:szCs w:val="18"/>
              </w:rPr>
            </w:pPr>
            <w:r w:rsidRPr="007319A1">
              <w:rPr>
                <w:rFonts w:ascii="Arial" w:hAnsi="Arial" w:cs="Arial"/>
                <w:color w:val="auto"/>
                <w:sz w:val="18"/>
                <w:szCs w:val="18"/>
              </w:rPr>
              <w:t>NHSN surveillance versus clinical infection surveillance</w:t>
            </w:r>
          </w:p>
        </w:tc>
        <w:tc>
          <w:tcPr>
            <w:tcW w:w="1585" w:type="dxa"/>
          </w:tcPr>
          <w:p w14:paraId="4E2563AB"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shd w:val="clear" w:color="auto" w:fill="FFFFFF"/>
              </w:rPr>
              <w:t xml:space="preserve">30 facilities collected </w:t>
            </w:r>
            <w:r w:rsidRPr="007319A1">
              <w:rPr>
                <w:rFonts w:ascii="Arial" w:hAnsi="Arial" w:cs="Arial"/>
                <w:sz w:val="18"/>
                <w:szCs w:val="18"/>
              </w:rPr>
              <w:t xml:space="preserve">6 months of data </w:t>
            </w:r>
            <w:r w:rsidRPr="007319A1">
              <w:rPr>
                <w:rFonts w:ascii="Arial" w:hAnsi="Arial" w:cs="Arial"/>
                <w:sz w:val="18"/>
                <w:szCs w:val="18"/>
                <w:shd w:val="clear" w:color="auto" w:fill="FFFFFF"/>
              </w:rPr>
              <w:t>using a clinical infection surveillance definition, while also submitting the NHSN LabID event for CDI. The datasets were matched and compared to determine whether the assigned clinical case status matched the LabID case status. A subset of mismatches was evaluated further, and reasons for the mismatches were quantified. </w:t>
            </w:r>
          </w:p>
        </w:tc>
        <w:tc>
          <w:tcPr>
            <w:tcW w:w="1045" w:type="dxa"/>
            <w:noWrap/>
          </w:tcPr>
          <w:p w14:paraId="0B6D6C65" w14:textId="77777777" w:rsidR="000A266B" w:rsidRPr="007319A1" w:rsidRDefault="000A266B" w:rsidP="008A7983">
            <w:pPr>
              <w:shd w:val="clear" w:color="auto" w:fill="FFFFFF"/>
              <w:spacing w:after="0"/>
              <w:rPr>
                <w:rFonts w:ascii="Arial" w:hAnsi="Arial" w:cs="Arial"/>
                <w:sz w:val="18"/>
                <w:szCs w:val="18"/>
              </w:rPr>
            </w:pPr>
            <w:r w:rsidRPr="007319A1">
              <w:rPr>
                <w:rFonts w:ascii="Arial" w:hAnsi="Arial" w:cs="Arial"/>
                <w:sz w:val="18"/>
                <w:szCs w:val="18"/>
                <w:shd w:val="clear" w:color="auto" w:fill="FFFFFF"/>
              </w:rPr>
              <w:t>30 New York State acute care hospitals</w:t>
            </w:r>
          </w:p>
        </w:tc>
        <w:tc>
          <w:tcPr>
            <w:tcW w:w="1739" w:type="dxa"/>
            <w:noWrap/>
          </w:tcPr>
          <w:p w14:paraId="7FE406ED"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shd w:val="clear" w:color="auto" w:fill="FFFFFF"/>
              </w:rPr>
              <w:t xml:space="preserve">A total of 3,301 CDI cases were reported. Analysis of the original data yielded a 67.3% (2,223/3,301) overall case status match. After review and validation, there was 81.3% (2,683/3,301) agreement. The most common reason for disagreement (54.9%) occurred because the symptom onset was less than 48 hours after admission but the positive specimen was collected on hospital day 4 or later. The NHSN LabID </w:t>
            </w:r>
            <w:r w:rsidRPr="007319A1">
              <w:rPr>
                <w:rFonts w:ascii="Arial" w:hAnsi="Arial" w:cs="Arial"/>
                <w:sz w:val="18"/>
                <w:szCs w:val="18"/>
                <w:shd w:val="clear" w:color="auto" w:fill="FFFFFF"/>
              </w:rPr>
              <w:lastRenderedPageBreak/>
              <w:t>hospital-onset rate was 29% higher than the corresponding clinical rate.</w:t>
            </w:r>
          </w:p>
        </w:tc>
        <w:tc>
          <w:tcPr>
            <w:tcW w:w="1479" w:type="dxa"/>
            <w:noWrap/>
          </w:tcPr>
          <w:p w14:paraId="69EAA0B1" w14:textId="77777777" w:rsidR="000A266B" w:rsidRPr="007319A1" w:rsidRDefault="000A266B" w:rsidP="008A7983">
            <w:pPr>
              <w:spacing w:after="0"/>
              <w:rPr>
                <w:rFonts w:ascii="Arial" w:hAnsi="Arial" w:cs="Arial"/>
                <w:sz w:val="18"/>
                <w:szCs w:val="18"/>
                <w:shd w:val="clear" w:color="auto" w:fill="FFFFFF"/>
              </w:rPr>
            </w:pPr>
            <w:r w:rsidRPr="007319A1">
              <w:rPr>
                <w:rFonts w:ascii="Arial" w:hAnsi="Arial" w:cs="Arial"/>
                <w:sz w:val="18"/>
                <w:szCs w:val="18"/>
              </w:rPr>
              <w:lastRenderedPageBreak/>
              <w:t>Not provided</w:t>
            </w:r>
          </w:p>
        </w:tc>
        <w:tc>
          <w:tcPr>
            <w:tcW w:w="1999" w:type="dxa"/>
          </w:tcPr>
          <w:p w14:paraId="69238409" w14:textId="77777777" w:rsidR="000A266B" w:rsidRPr="007319A1" w:rsidRDefault="000A266B" w:rsidP="008A7983">
            <w:pPr>
              <w:pStyle w:val="Default"/>
              <w:rPr>
                <w:rFonts w:ascii="Arial" w:hAnsi="Arial" w:cs="Arial"/>
                <w:color w:val="auto"/>
                <w:sz w:val="18"/>
                <w:szCs w:val="18"/>
              </w:rPr>
            </w:pPr>
            <w:r w:rsidRPr="007319A1">
              <w:rPr>
                <w:rFonts w:ascii="Arial" w:hAnsi="Arial" w:cs="Arial"/>
                <w:color w:val="auto"/>
                <w:sz w:val="18"/>
                <w:szCs w:val="18"/>
                <w:shd w:val="clear" w:color="auto" w:fill="FFFFFF"/>
              </w:rPr>
              <w:t>Use of the NHSN LabID event minimizes the burden of surveillance and standardizes the process. With a greater than 80% match between the NHSN LabID event data and the clinical infection surveillance data, the New York State Department of Health decided to use the NHSN LabID event CDI data for public reporting purposes.</w:t>
            </w:r>
          </w:p>
        </w:tc>
        <w:tc>
          <w:tcPr>
            <w:tcW w:w="1045" w:type="dxa"/>
          </w:tcPr>
          <w:p w14:paraId="128D3007"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Low</w:t>
            </w:r>
          </w:p>
        </w:tc>
        <w:tc>
          <w:tcPr>
            <w:tcW w:w="1127" w:type="dxa"/>
            <w:noWrap/>
          </w:tcPr>
          <w:p w14:paraId="4D783F74"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None</w:t>
            </w:r>
          </w:p>
        </w:tc>
      </w:tr>
      <w:tr w:rsidR="000A266B" w:rsidRPr="007319A1" w14:paraId="1690EBD2" w14:textId="77777777" w:rsidTr="002E39BB">
        <w:trPr>
          <w:jc w:val="center"/>
        </w:trPr>
        <w:tc>
          <w:tcPr>
            <w:tcW w:w="1525" w:type="dxa"/>
            <w:noWrap/>
          </w:tcPr>
          <w:p w14:paraId="0E0A2748" w14:textId="77777777" w:rsidR="000A266B" w:rsidRPr="00856120" w:rsidRDefault="000A266B" w:rsidP="008A7983">
            <w:pPr>
              <w:spacing w:after="0"/>
              <w:rPr>
                <w:rFonts w:ascii="Arial" w:hAnsi="Arial" w:cs="Arial"/>
                <w:b/>
                <w:sz w:val="18"/>
                <w:szCs w:val="18"/>
                <w:vertAlign w:val="superscript"/>
              </w:rPr>
            </w:pPr>
            <w:r w:rsidRPr="00856120">
              <w:rPr>
                <w:rFonts w:ascii="Arial" w:hAnsi="Arial" w:cs="Arial"/>
                <w:b/>
                <w:sz w:val="18"/>
                <w:szCs w:val="18"/>
              </w:rPr>
              <w:lastRenderedPageBreak/>
              <w:t>Hardy et al., 2010</w:t>
            </w:r>
            <w:r w:rsidRPr="00856120">
              <w:rPr>
                <w:rFonts w:ascii="Arial" w:hAnsi="Arial" w:cs="Arial"/>
                <w:b/>
                <w:sz w:val="18"/>
                <w:szCs w:val="18"/>
                <w:vertAlign w:val="superscript"/>
              </w:rPr>
              <w:t>22</w:t>
            </w:r>
          </w:p>
        </w:tc>
        <w:tc>
          <w:tcPr>
            <w:tcW w:w="1406" w:type="dxa"/>
          </w:tcPr>
          <w:p w14:paraId="36919D78" w14:textId="77777777" w:rsidR="000A266B" w:rsidRPr="007319A1" w:rsidRDefault="000A266B" w:rsidP="008A7983">
            <w:pPr>
              <w:pStyle w:val="Default"/>
              <w:rPr>
                <w:rFonts w:ascii="Arial" w:hAnsi="Arial" w:cs="Arial"/>
                <w:color w:val="auto"/>
                <w:sz w:val="18"/>
                <w:szCs w:val="18"/>
              </w:rPr>
            </w:pPr>
            <w:r w:rsidRPr="007319A1">
              <w:rPr>
                <w:rFonts w:ascii="Arial" w:hAnsi="Arial" w:cs="Arial"/>
                <w:color w:val="auto"/>
                <w:sz w:val="18"/>
                <w:szCs w:val="18"/>
              </w:rPr>
              <w:t>Use of measure of period of increased incidence (PII) to identify clusters and trigger interventions</w:t>
            </w:r>
          </w:p>
        </w:tc>
        <w:tc>
          <w:tcPr>
            <w:tcW w:w="1585" w:type="dxa"/>
          </w:tcPr>
          <w:p w14:paraId="0B52D3CC" w14:textId="77777777" w:rsidR="000A266B" w:rsidRPr="007319A1" w:rsidRDefault="000A266B" w:rsidP="008A7983">
            <w:pPr>
              <w:autoSpaceDE w:val="0"/>
              <w:autoSpaceDN w:val="0"/>
              <w:adjustRightInd w:val="0"/>
              <w:spacing w:after="0"/>
              <w:rPr>
                <w:rFonts w:ascii="Arial" w:hAnsi="Arial" w:cs="Arial"/>
                <w:sz w:val="18"/>
                <w:szCs w:val="18"/>
              </w:rPr>
            </w:pPr>
            <w:r w:rsidRPr="007319A1">
              <w:rPr>
                <w:rFonts w:ascii="Arial" w:hAnsi="Arial" w:cs="Arial"/>
                <w:sz w:val="18"/>
                <w:szCs w:val="18"/>
              </w:rPr>
              <w:t>Case study. Observational 18-month study of 102 PIIs involving 439 patients.</w:t>
            </w:r>
            <w:r w:rsidRPr="007319A1">
              <w:rPr>
                <w:rFonts w:ascii="Arial" w:hAnsi="Arial" w:cs="Arial"/>
                <w:color w:val="000000"/>
                <w:sz w:val="18"/>
                <w:szCs w:val="18"/>
              </w:rPr>
              <w:t xml:space="preserve"> For January 2008 to September 2008, multiple interventions were implemented, with PCR ribotyping of isolates being carried out on those PIIs with more than 10 cases. </w:t>
            </w:r>
            <w:r w:rsidRPr="007319A1">
              <w:rPr>
                <w:rFonts w:ascii="Arial" w:hAnsi="Arial" w:cs="Arial"/>
                <w:sz w:val="18"/>
                <w:szCs w:val="18"/>
              </w:rPr>
              <w:t>From October</w:t>
            </w:r>
          </w:p>
          <w:p w14:paraId="0393EC5D" w14:textId="77777777" w:rsidR="000A266B" w:rsidRPr="007319A1" w:rsidRDefault="000A266B" w:rsidP="008A7983">
            <w:pPr>
              <w:autoSpaceDE w:val="0"/>
              <w:autoSpaceDN w:val="0"/>
              <w:adjustRightInd w:val="0"/>
              <w:spacing w:after="0"/>
              <w:rPr>
                <w:rFonts w:ascii="Arial" w:hAnsi="Arial" w:cs="Arial"/>
                <w:sz w:val="18"/>
                <w:szCs w:val="18"/>
              </w:rPr>
            </w:pPr>
            <w:r w:rsidRPr="007319A1">
              <w:rPr>
                <w:rFonts w:ascii="Arial" w:hAnsi="Arial" w:cs="Arial"/>
                <w:sz w:val="18"/>
                <w:szCs w:val="18"/>
              </w:rPr>
              <w:t>2008 to July 2009, isolates from all PIIs were ribotyped 9.</w:t>
            </w:r>
          </w:p>
          <w:p w14:paraId="5CDF688D" w14:textId="77777777" w:rsidR="000A266B" w:rsidRPr="007319A1" w:rsidRDefault="000A266B" w:rsidP="008A7983">
            <w:pPr>
              <w:autoSpaceDE w:val="0"/>
              <w:autoSpaceDN w:val="0"/>
              <w:adjustRightInd w:val="0"/>
              <w:spacing w:after="0"/>
              <w:rPr>
                <w:rFonts w:ascii="Arial" w:hAnsi="Arial" w:cs="Arial"/>
                <w:sz w:val="18"/>
                <w:szCs w:val="18"/>
              </w:rPr>
            </w:pPr>
            <w:r w:rsidRPr="007319A1">
              <w:rPr>
                <w:rFonts w:ascii="Arial" w:hAnsi="Arial" w:cs="Arial"/>
                <w:sz w:val="18"/>
                <w:szCs w:val="18"/>
              </w:rPr>
              <w:t>A PII was classified as an outbreak of CDI if there were two or m</w:t>
            </w:r>
            <w:r w:rsidRPr="007319A1">
              <w:rPr>
                <w:rFonts w:ascii="Arial" w:hAnsi="Arial" w:cs="Arial"/>
                <w:color w:val="000000"/>
                <w:sz w:val="18"/>
                <w:szCs w:val="18"/>
              </w:rPr>
              <w:t xml:space="preserve">ore cases of the same PCR ribotype within a 28-day period. </w:t>
            </w:r>
          </w:p>
        </w:tc>
        <w:tc>
          <w:tcPr>
            <w:tcW w:w="1045" w:type="dxa"/>
            <w:noWrap/>
          </w:tcPr>
          <w:p w14:paraId="01BACEFB" w14:textId="77777777" w:rsidR="000A266B" w:rsidRPr="007319A1" w:rsidRDefault="000A266B" w:rsidP="008A7983">
            <w:pPr>
              <w:autoSpaceDE w:val="0"/>
              <w:autoSpaceDN w:val="0"/>
              <w:adjustRightInd w:val="0"/>
              <w:spacing w:after="0"/>
              <w:rPr>
                <w:rFonts w:ascii="Arial" w:hAnsi="Arial" w:cs="Arial"/>
                <w:sz w:val="18"/>
                <w:szCs w:val="18"/>
              </w:rPr>
            </w:pPr>
            <w:r w:rsidRPr="007319A1">
              <w:rPr>
                <w:rFonts w:ascii="Arial" w:hAnsi="Arial" w:cs="Arial"/>
                <w:sz w:val="18"/>
                <w:szCs w:val="18"/>
              </w:rPr>
              <w:t>A large teaching hospital with a total of 1,800 beds at three different sites</w:t>
            </w:r>
          </w:p>
        </w:tc>
        <w:tc>
          <w:tcPr>
            <w:tcW w:w="1739" w:type="dxa"/>
            <w:noWrap/>
          </w:tcPr>
          <w:p w14:paraId="76A319EB" w14:textId="77777777" w:rsidR="000A266B" w:rsidRPr="007319A1" w:rsidRDefault="000A266B" w:rsidP="008A7983">
            <w:pPr>
              <w:autoSpaceDE w:val="0"/>
              <w:autoSpaceDN w:val="0"/>
              <w:adjustRightInd w:val="0"/>
              <w:spacing w:after="0"/>
              <w:rPr>
                <w:rFonts w:ascii="Arial" w:hAnsi="Arial" w:cs="Arial"/>
                <w:color w:val="000000"/>
                <w:sz w:val="18"/>
                <w:szCs w:val="18"/>
              </w:rPr>
            </w:pPr>
            <w:r w:rsidRPr="007319A1">
              <w:rPr>
                <w:rFonts w:ascii="Arial" w:hAnsi="Arial" w:cs="Arial"/>
                <w:sz w:val="18"/>
                <w:szCs w:val="18"/>
              </w:rPr>
              <w:t>During roughly 1.5 years of the intervention, the number of PIIs investigated per month decreased, from a peak of 14 per month in February 2008 to 1 in June 2009. In the first 9 months of the study, isolates were ribotyped on those PIIs with more than 10 cases; for the last 8 months of the study, isolates were ribotyped for all PIIs. In this case, an outbreak was defined as two or more cases of the same PCR ribotype within a 28-day period. In the final 8 months, ribotyping of the isolates confirmed nine (32%) of these PIIs to be outbreaks, with three being due to ribotype 027, two to ribotype 078, and all the others being distinct ribotypes.</w:t>
            </w:r>
          </w:p>
        </w:tc>
        <w:tc>
          <w:tcPr>
            <w:tcW w:w="1479" w:type="dxa"/>
            <w:noWrap/>
          </w:tcPr>
          <w:p w14:paraId="6A26490D"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Not provided</w:t>
            </w:r>
          </w:p>
        </w:tc>
        <w:tc>
          <w:tcPr>
            <w:tcW w:w="1999" w:type="dxa"/>
          </w:tcPr>
          <w:p w14:paraId="59CD723B" w14:textId="77777777" w:rsidR="000A266B" w:rsidRPr="007319A1" w:rsidRDefault="000A266B" w:rsidP="008A7983">
            <w:pPr>
              <w:autoSpaceDE w:val="0"/>
              <w:autoSpaceDN w:val="0"/>
              <w:adjustRightInd w:val="0"/>
              <w:spacing w:after="0"/>
              <w:rPr>
                <w:rFonts w:ascii="Arial" w:hAnsi="Arial" w:cs="Arial"/>
                <w:sz w:val="18"/>
                <w:szCs w:val="18"/>
              </w:rPr>
            </w:pPr>
            <w:r w:rsidRPr="007319A1">
              <w:rPr>
                <w:rFonts w:ascii="Arial" w:hAnsi="Arial" w:cs="Arial"/>
                <w:sz w:val="18"/>
                <w:szCs w:val="18"/>
              </w:rPr>
              <w:t>The current study aimed to preempt and prevent outbreaks of CDI from becoming established, as opposed to being reactive and trying to control CDI once an outbreak was evident. The early identification and notification of PIIs enabled actions to be prompt and targeted. The authors postulate that concentrating on selected PII wards reduced the potential environmental sources of CDI transmission to the rest of the hospital.</w:t>
            </w:r>
          </w:p>
        </w:tc>
        <w:tc>
          <w:tcPr>
            <w:tcW w:w="1045" w:type="dxa"/>
          </w:tcPr>
          <w:p w14:paraId="39A41A99"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Low to moderate</w:t>
            </w:r>
          </w:p>
        </w:tc>
        <w:tc>
          <w:tcPr>
            <w:tcW w:w="1127" w:type="dxa"/>
            <w:noWrap/>
          </w:tcPr>
          <w:p w14:paraId="679D3F43"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None</w:t>
            </w:r>
          </w:p>
        </w:tc>
      </w:tr>
      <w:tr w:rsidR="000A266B" w:rsidRPr="007319A1" w14:paraId="07A94132" w14:textId="77777777" w:rsidTr="002E39BB">
        <w:trPr>
          <w:jc w:val="center"/>
        </w:trPr>
        <w:tc>
          <w:tcPr>
            <w:tcW w:w="1525" w:type="dxa"/>
            <w:noWrap/>
          </w:tcPr>
          <w:p w14:paraId="50B3A224" w14:textId="77777777" w:rsidR="000A266B" w:rsidRPr="00856120" w:rsidRDefault="000A266B" w:rsidP="008A7983">
            <w:pPr>
              <w:spacing w:after="0"/>
              <w:rPr>
                <w:rFonts w:ascii="Arial" w:hAnsi="Arial" w:cs="Arial"/>
                <w:b/>
                <w:sz w:val="18"/>
                <w:szCs w:val="18"/>
                <w:vertAlign w:val="superscript"/>
              </w:rPr>
            </w:pPr>
            <w:r w:rsidRPr="00856120">
              <w:rPr>
                <w:rFonts w:ascii="Arial" w:hAnsi="Arial" w:cs="Arial"/>
                <w:b/>
                <w:sz w:val="18"/>
                <w:szCs w:val="18"/>
              </w:rPr>
              <w:lastRenderedPageBreak/>
              <w:t>Jones et al., 2012</w:t>
            </w:r>
            <w:r w:rsidRPr="00856120">
              <w:rPr>
                <w:rFonts w:ascii="Arial" w:hAnsi="Arial" w:cs="Arial"/>
                <w:b/>
                <w:sz w:val="18"/>
                <w:szCs w:val="18"/>
                <w:vertAlign w:val="superscript"/>
              </w:rPr>
              <w:t>37</w:t>
            </w:r>
          </w:p>
        </w:tc>
        <w:tc>
          <w:tcPr>
            <w:tcW w:w="1406" w:type="dxa"/>
          </w:tcPr>
          <w:p w14:paraId="16602A87" w14:textId="77777777" w:rsidR="000A266B" w:rsidRPr="007319A1" w:rsidRDefault="000A266B" w:rsidP="008A7983">
            <w:pPr>
              <w:pStyle w:val="Default"/>
              <w:rPr>
                <w:rFonts w:ascii="Arial" w:hAnsi="Arial" w:cs="Arial"/>
                <w:color w:val="auto"/>
                <w:sz w:val="18"/>
                <w:szCs w:val="18"/>
              </w:rPr>
            </w:pPr>
            <w:r w:rsidRPr="007319A1">
              <w:rPr>
                <w:rFonts w:ascii="Arial" w:hAnsi="Arial" w:cs="Arial"/>
                <w:color w:val="auto"/>
                <w:sz w:val="18"/>
                <w:szCs w:val="18"/>
              </w:rPr>
              <w:t>ICD 10 data for CDI surveillance</w:t>
            </w:r>
          </w:p>
        </w:tc>
        <w:tc>
          <w:tcPr>
            <w:tcW w:w="1585" w:type="dxa"/>
          </w:tcPr>
          <w:p w14:paraId="024C42A8"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Evaluation of ICD-10 codes for CDI surveillance. Retrospective data analysis; during 2000–2010, 317,040 hospitalizations. Laboratory results and/or the ICD-10 code for </w:t>
            </w:r>
            <w:r w:rsidRPr="007319A1">
              <w:rPr>
                <w:rFonts w:ascii="Arial" w:hAnsi="Arial" w:cs="Arial"/>
                <w:i/>
                <w:sz w:val="18"/>
                <w:szCs w:val="18"/>
              </w:rPr>
              <w:t>C. difficile</w:t>
            </w:r>
            <w:r w:rsidRPr="007319A1">
              <w:rPr>
                <w:rFonts w:ascii="Arial" w:hAnsi="Arial" w:cs="Arial"/>
                <w:sz w:val="18"/>
                <w:szCs w:val="18"/>
              </w:rPr>
              <w:t xml:space="preserve"> infection were positive for 698 cases.</w:t>
            </w:r>
          </w:p>
        </w:tc>
        <w:tc>
          <w:tcPr>
            <w:tcW w:w="1045" w:type="dxa"/>
            <w:noWrap/>
          </w:tcPr>
          <w:p w14:paraId="42A5D0B1" w14:textId="77777777" w:rsidR="000A266B" w:rsidRPr="007319A1" w:rsidRDefault="000A266B" w:rsidP="008A7983">
            <w:pPr>
              <w:shd w:val="clear" w:color="auto" w:fill="FFFFFF"/>
              <w:spacing w:after="0"/>
              <w:rPr>
                <w:rFonts w:ascii="Arial" w:hAnsi="Arial" w:cs="Arial"/>
                <w:sz w:val="18"/>
                <w:szCs w:val="18"/>
              </w:rPr>
            </w:pPr>
            <w:r w:rsidRPr="007319A1">
              <w:rPr>
                <w:rFonts w:ascii="Arial" w:hAnsi="Arial" w:cs="Arial"/>
                <w:sz w:val="18"/>
                <w:szCs w:val="18"/>
              </w:rPr>
              <w:t>A 750-bed university-affiliated public hospital in Paris</w:t>
            </w:r>
          </w:p>
        </w:tc>
        <w:tc>
          <w:tcPr>
            <w:tcW w:w="1739" w:type="dxa"/>
            <w:noWrap/>
          </w:tcPr>
          <w:p w14:paraId="6E43EFD7"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Sensitivity of the ICD-10 code, with laboratory results as the standard, was 35.6% (95% CI, 31.9 to 39.5), and specificity was 99.9% (95% CI, 99.9 to 100.0). The positive and negative predictive values were 79.2% (95% CI, 73.9 to 83.7) and 99.9% (95% CI, 99.8 to 99.9).</w:t>
            </w:r>
          </w:p>
        </w:tc>
        <w:tc>
          <w:tcPr>
            <w:tcW w:w="1479" w:type="dxa"/>
            <w:noWrap/>
          </w:tcPr>
          <w:p w14:paraId="3F54FE45" w14:textId="77777777" w:rsidR="000A266B" w:rsidRPr="007319A1" w:rsidRDefault="000A266B" w:rsidP="008A7983">
            <w:pPr>
              <w:spacing w:after="0"/>
              <w:rPr>
                <w:rFonts w:ascii="Arial" w:hAnsi="Arial" w:cs="Arial"/>
                <w:sz w:val="18"/>
                <w:szCs w:val="18"/>
                <w:shd w:val="clear" w:color="auto" w:fill="FFFFFF"/>
              </w:rPr>
            </w:pPr>
            <w:r w:rsidRPr="007319A1">
              <w:rPr>
                <w:rFonts w:ascii="Arial" w:hAnsi="Arial" w:cs="Arial"/>
                <w:sz w:val="18"/>
                <w:szCs w:val="18"/>
              </w:rPr>
              <w:t>The sensitivity of ICD-10 codes in this study is inferior to that of values previously reported in the United States (71%–78%) and in Singapore (49.6%).</w:t>
            </w:r>
          </w:p>
        </w:tc>
        <w:tc>
          <w:tcPr>
            <w:tcW w:w="1999" w:type="dxa"/>
          </w:tcPr>
          <w:p w14:paraId="3AAB7DF3" w14:textId="77777777" w:rsidR="000A266B" w:rsidRPr="007319A1" w:rsidRDefault="000A266B" w:rsidP="008A7983">
            <w:pPr>
              <w:pStyle w:val="Default"/>
              <w:rPr>
                <w:rFonts w:ascii="Arial" w:hAnsi="Arial" w:cs="Arial"/>
                <w:color w:val="auto"/>
                <w:sz w:val="18"/>
                <w:szCs w:val="18"/>
              </w:rPr>
            </w:pPr>
            <w:r w:rsidRPr="007319A1">
              <w:rPr>
                <w:rFonts w:ascii="Arial" w:hAnsi="Arial" w:cs="Arial"/>
                <w:sz w:val="18"/>
                <w:szCs w:val="18"/>
              </w:rPr>
              <w:t xml:space="preserve">Compared with use of laboratory results, use of ICD-10 codes to estimate incidence of </w:t>
            </w:r>
            <w:r w:rsidRPr="007319A1">
              <w:rPr>
                <w:rFonts w:ascii="Arial" w:hAnsi="Arial" w:cs="Arial"/>
                <w:i/>
                <w:sz w:val="18"/>
                <w:szCs w:val="18"/>
              </w:rPr>
              <w:t xml:space="preserve">C. difficile </w:t>
            </w:r>
            <w:r w:rsidRPr="007319A1">
              <w:rPr>
                <w:rFonts w:ascii="Arial" w:hAnsi="Arial" w:cs="Arial"/>
                <w:sz w:val="18"/>
                <w:szCs w:val="18"/>
              </w:rPr>
              <w:t xml:space="preserve">infection resulted in underestimates. The relationship between methods for yearly incidence during the 11-year period was strong. Low sensitivity could be due to poor coding. </w:t>
            </w:r>
          </w:p>
        </w:tc>
        <w:tc>
          <w:tcPr>
            <w:tcW w:w="1045" w:type="dxa"/>
          </w:tcPr>
          <w:p w14:paraId="600BA7CB"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Low</w:t>
            </w:r>
          </w:p>
        </w:tc>
        <w:tc>
          <w:tcPr>
            <w:tcW w:w="1127" w:type="dxa"/>
            <w:noWrap/>
          </w:tcPr>
          <w:p w14:paraId="3A3112C1"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None</w:t>
            </w:r>
          </w:p>
        </w:tc>
      </w:tr>
      <w:tr w:rsidR="000A266B" w:rsidRPr="007319A1" w14:paraId="68C856C6" w14:textId="77777777" w:rsidTr="002E39BB">
        <w:trPr>
          <w:jc w:val="center"/>
        </w:trPr>
        <w:tc>
          <w:tcPr>
            <w:tcW w:w="1525" w:type="dxa"/>
            <w:noWrap/>
          </w:tcPr>
          <w:p w14:paraId="0336CECB" w14:textId="77777777" w:rsidR="000A266B" w:rsidRPr="00856120" w:rsidRDefault="000A266B" w:rsidP="008A7983">
            <w:pPr>
              <w:spacing w:after="0"/>
              <w:rPr>
                <w:rFonts w:ascii="Arial" w:hAnsi="Arial" w:cs="Arial"/>
                <w:b/>
                <w:sz w:val="18"/>
                <w:szCs w:val="18"/>
                <w:vertAlign w:val="superscript"/>
              </w:rPr>
            </w:pPr>
            <w:r w:rsidRPr="00856120">
              <w:rPr>
                <w:rFonts w:ascii="Arial" w:hAnsi="Arial" w:cs="Arial"/>
                <w:b/>
                <w:sz w:val="18"/>
                <w:szCs w:val="18"/>
              </w:rPr>
              <w:t>Lavan et al., 2012</w:t>
            </w:r>
            <w:r w:rsidRPr="00856120">
              <w:rPr>
                <w:rFonts w:ascii="Arial" w:hAnsi="Arial" w:cs="Arial"/>
                <w:b/>
                <w:sz w:val="18"/>
                <w:szCs w:val="18"/>
                <w:vertAlign w:val="superscript"/>
              </w:rPr>
              <w:t>23</w:t>
            </w:r>
          </w:p>
        </w:tc>
        <w:tc>
          <w:tcPr>
            <w:tcW w:w="1406" w:type="dxa"/>
          </w:tcPr>
          <w:p w14:paraId="68A7FAFD" w14:textId="77777777" w:rsidR="000A266B" w:rsidRPr="007319A1" w:rsidRDefault="000A266B" w:rsidP="008A7983">
            <w:pPr>
              <w:pStyle w:val="Default"/>
              <w:rPr>
                <w:rFonts w:ascii="Arial" w:hAnsi="Arial" w:cs="Arial"/>
                <w:color w:val="auto"/>
                <w:sz w:val="18"/>
                <w:szCs w:val="18"/>
                <w:shd w:val="clear" w:color="auto" w:fill="FFFFFF"/>
              </w:rPr>
            </w:pPr>
            <w:r w:rsidRPr="007319A1">
              <w:rPr>
                <w:rFonts w:ascii="Arial" w:hAnsi="Arial" w:cs="Arial"/>
                <w:color w:val="auto"/>
                <w:sz w:val="18"/>
                <w:szCs w:val="18"/>
              </w:rPr>
              <w:t>Monitoring CDI in an acute hospital with limited resources/ technology: prevalence or incidence studies?</w:t>
            </w:r>
          </w:p>
        </w:tc>
        <w:tc>
          <w:tcPr>
            <w:tcW w:w="1585" w:type="dxa"/>
          </w:tcPr>
          <w:p w14:paraId="0F54B36D" w14:textId="77777777" w:rsidR="000A266B" w:rsidRPr="007319A1" w:rsidRDefault="000A266B" w:rsidP="008A7983">
            <w:pPr>
              <w:spacing w:after="0"/>
              <w:rPr>
                <w:rFonts w:ascii="Arial" w:hAnsi="Arial" w:cs="Arial"/>
                <w:sz w:val="18"/>
                <w:szCs w:val="18"/>
                <w:shd w:val="clear" w:color="auto" w:fill="FFFFFF"/>
              </w:rPr>
            </w:pPr>
            <w:r w:rsidRPr="007319A1">
              <w:rPr>
                <w:rFonts w:ascii="Arial" w:hAnsi="Arial" w:cs="Arial"/>
                <w:sz w:val="18"/>
                <w:szCs w:val="18"/>
              </w:rPr>
              <w:t xml:space="preserve">Comparison of two CDI surveillance methods (incidence and prevalence). Prevalence of CDI, antibiotic use, and associated co-morbidity was assessed weekly on two wards over 6 weeks. In addition, CDI incidence surveillance was performed on all new CDI cases over a 13-week period. Cases were assessed for CDI risk factors, disease severity, response to treatment, and outcome at 6 </w:t>
            </w:r>
            <w:r w:rsidRPr="007319A1">
              <w:rPr>
                <w:rFonts w:ascii="Arial" w:hAnsi="Arial" w:cs="Arial"/>
                <w:sz w:val="18"/>
                <w:szCs w:val="18"/>
              </w:rPr>
              <w:lastRenderedPageBreak/>
              <w:t>months. A prospective Microsoft Excel database was created. Fisher’s test was used for comparisons between count data, and continuous variables were assessed with two-sample t-test or Mann–Whitney test for nonparametric data.</w:t>
            </w:r>
          </w:p>
        </w:tc>
        <w:tc>
          <w:tcPr>
            <w:tcW w:w="1045" w:type="dxa"/>
            <w:noWrap/>
          </w:tcPr>
          <w:p w14:paraId="3F741C36" w14:textId="77777777" w:rsidR="000A266B" w:rsidRPr="007319A1" w:rsidRDefault="000A266B" w:rsidP="008A7983">
            <w:pPr>
              <w:shd w:val="clear" w:color="auto" w:fill="FFFFFF"/>
              <w:spacing w:after="0"/>
              <w:rPr>
                <w:rFonts w:ascii="Arial" w:hAnsi="Arial" w:cs="Arial"/>
                <w:sz w:val="18"/>
                <w:szCs w:val="18"/>
              </w:rPr>
            </w:pPr>
            <w:r w:rsidRPr="007319A1">
              <w:rPr>
                <w:rFonts w:ascii="Arial" w:hAnsi="Arial" w:cs="Arial"/>
                <w:sz w:val="18"/>
                <w:szCs w:val="18"/>
              </w:rPr>
              <w:lastRenderedPageBreak/>
              <w:t>Two wards in an acute hospital, Ireland</w:t>
            </w:r>
          </w:p>
        </w:tc>
        <w:tc>
          <w:tcPr>
            <w:tcW w:w="1739" w:type="dxa"/>
            <w:noWrap/>
          </w:tcPr>
          <w:p w14:paraId="646B259F" w14:textId="77777777" w:rsidR="000A266B" w:rsidRPr="007319A1" w:rsidRDefault="000A266B" w:rsidP="008A7983">
            <w:pPr>
              <w:spacing w:after="0"/>
              <w:rPr>
                <w:rFonts w:ascii="Arial" w:hAnsi="Arial" w:cs="Arial"/>
                <w:sz w:val="18"/>
                <w:szCs w:val="18"/>
                <w:shd w:val="clear" w:color="auto" w:fill="FFFFFF"/>
              </w:rPr>
            </w:pPr>
            <w:r w:rsidRPr="007319A1">
              <w:rPr>
                <w:rFonts w:ascii="Arial" w:hAnsi="Arial" w:cs="Arial"/>
                <w:i/>
                <w:sz w:val="18"/>
                <w:szCs w:val="18"/>
              </w:rPr>
              <w:t>Clostridium difficile</w:t>
            </w:r>
            <w:r w:rsidRPr="007319A1">
              <w:rPr>
                <w:rFonts w:ascii="Arial" w:hAnsi="Arial" w:cs="Arial"/>
                <w:sz w:val="18"/>
                <w:szCs w:val="18"/>
              </w:rPr>
              <w:t xml:space="preserve"> infection prevalence was 3.5% (range 2.9% to 6.1%) on the medical ward and 1.1% (range 0 to 3.5%) on the surgical ward. In the context of the study, it took, on average, 25 minutes per ward per week to measure prevalence. The workload to calculate incidence amounted to an average of 2.15 hours per day in the current study and depended on the number of ongoing cases. In contrast to the prevalence study, the incidence </w:t>
            </w:r>
            <w:r w:rsidRPr="007319A1">
              <w:rPr>
                <w:rFonts w:ascii="Arial" w:hAnsi="Arial" w:cs="Arial"/>
                <w:sz w:val="18"/>
                <w:szCs w:val="18"/>
              </w:rPr>
              <w:lastRenderedPageBreak/>
              <w:t>study was able to provide data on risk factors, symptoms, treatment, and patient outcomes.</w:t>
            </w:r>
          </w:p>
        </w:tc>
        <w:tc>
          <w:tcPr>
            <w:tcW w:w="1479" w:type="dxa"/>
            <w:noWrap/>
          </w:tcPr>
          <w:p w14:paraId="7D8F3513" w14:textId="77777777" w:rsidR="000A266B" w:rsidRPr="007319A1" w:rsidRDefault="000A266B" w:rsidP="008A7983">
            <w:pPr>
              <w:spacing w:after="0"/>
              <w:rPr>
                <w:rFonts w:ascii="Arial" w:hAnsi="Arial" w:cs="Arial"/>
                <w:sz w:val="18"/>
                <w:szCs w:val="18"/>
                <w:shd w:val="clear" w:color="auto" w:fill="FFFFFF"/>
              </w:rPr>
            </w:pPr>
            <w:r w:rsidRPr="007319A1">
              <w:rPr>
                <w:rFonts w:ascii="Arial" w:hAnsi="Arial" w:cs="Arial"/>
                <w:sz w:val="18"/>
                <w:szCs w:val="18"/>
                <w:shd w:val="clear" w:color="auto" w:fill="FFFFFF"/>
              </w:rPr>
              <w:lastRenderedPageBreak/>
              <w:t>Not provided</w:t>
            </w:r>
          </w:p>
        </w:tc>
        <w:tc>
          <w:tcPr>
            <w:tcW w:w="1999" w:type="dxa"/>
          </w:tcPr>
          <w:p w14:paraId="79F424D1" w14:textId="77777777" w:rsidR="000A266B" w:rsidRPr="007319A1" w:rsidRDefault="000A266B" w:rsidP="008A7983">
            <w:pPr>
              <w:pStyle w:val="Default"/>
              <w:rPr>
                <w:rFonts w:ascii="Arial" w:hAnsi="Arial" w:cs="Arial"/>
                <w:color w:val="auto"/>
                <w:sz w:val="18"/>
                <w:szCs w:val="18"/>
                <w:shd w:val="clear" w:color="auto" w:fill="FFFFFF"/>
              </w:rPr>
            </w:pPr>
            <w:r w:rsidRPr="007319A1">
              <w:rPr>
                <w:rFonts w:ascii="Arial" w:hAnsi="Arial" w:cs="Arial"/>
                <w:color w:val="auto"/>
                <w:sz w:val="18"/>
                <w:szCs w:val="18"/>
              </w:rPr>
              <w:t>The studies were done without sophisticated technology—case counting and Excel spreadsheets were used. CDI prevalence surveillance gives a broad overview of CDI, and pointed to areas that required more-detailed surveillance and required little time. However, patient-based CDI incidence surveillance provided a more useful analysis of CDI risk factors, disease, and outcomes for planning preventive programs and focusing antibiotic stewardship efforts.</w:t>
            </w:r>
          </w:p>
        </w:tc>
        <w:tc>
          <w:tcPr>
            <w:tcW w:w="1045" w:type="dxa"/>
          </w:tcPr>
          <w:p w14:paraId="26355D23"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Low to moderate</w:t>
            </w:r>
          </w:p>
        </w:tc>
        <w:tc>
          <w:tcPr>
            <w:tcW w:w="1127" w:type="dxa"/>
            <w:noWrap/>
          </w:tcPr>
          <w:p w14:paraId="6842E141"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None</w:t>
            </w:r>
          </w:p>
        </w:tc>
      </w:tr>
      <w:tr w:rsidR="000A266B" w:rsidRPr="007319A1" w14:paraId="4F0FD19B" w14:textId="77777777" w:rsidTr="002E39BB">
        <w:trPr>
          <w:jc w:val="center"/>
        </w:trPr>
        <w:tc>
          <w:tcPr>
            <w:tcW w:w="1525" w:type="dxa"/>
            <w:noWrap/>
          </w:tcPr>
          <w:p w14:paraId="68B5D3CD" w14:textId="77777777" w:rsidR="000A266B" w:rsidRPr="00856120" w:rsidRDefault="000A266B" w:rsidP="008A7983">
            <w:pPr>
              <w:spacing w:after="0"/>
              <w:rPr>
                <w:rFonts w:ascii="Arial" w:hAnsi="Arial" w:cs="Arial"/>
                <w:b/>
                <w:sz w:val="18"/>
                <w:szCs w:val="18"/>
                <w:vertAlign w:val="superscript"/>
              </w:rPr>
            </w:pPr>
            <w:r w:rsidRPr="00856120">
              <w:rPr>
                <w:rFonts w:ascii="Arial" w:hAnsi="Arial" w:cs="Arial"/>
                <w:b/>
                <w:sz w:val="18"/>
                <w:szCs w:val="18"/>
              </w:rPr>
              <w:lastRenderedPageBreak/>
              <w:t>Quan et al., 2015</w:t>
            </w:r>
            <w:r w:rsidRPr="00856120">
              <w:rPr>
                <w:rFonts w:ascii="Arial" w:hAnsi="Arial" w:cs="Arial"/>
                <w:b/>
                <w:sz w:val="18"/>
                <w:szCs w:val="18"/>
                <w:vertAlign w:val="superscript"/>
              </w:rPr>
              <w:t>12</w:t>
            </w:r>
          </w:p>
        </w:tc>
        <w:tc>
          <w:tcPr>
            <w:tcW w:w="1406" w:type="dxa"/>
          </w:tcPr>
          <w:p w14:paraId="228B5291" w14:textId="77777777" w:rsidR="000A266B" w:rsidRPr="007319A1" w:rsidRDefault="000A266B" w:rsidP="008A7983">
            <w:pPr>
              <w:pStyle w:val="Default"/>
              <w:rPr>
                <w:rFonts w:ascii="Arial" w:hAnsi="Arial" w:cs="Arial"/>
                <w:color w:val="auto"/>
                <w:sz w:val="18"/>
                <w:szCs w:val="18"/>
                <w:shd w:val="clear" w:color="auto" w:fill="FFFFFF"/>
              </w:rPr>
            </w:pPr>
            <w:r w:rsidRPr="007319A1">
              <w:rPr>
                <w:rFonts w:ascii="Arial" w:hAnsi="Arial" w:cs="Arial"/>
                <w:color w:val="auto"/>
                <w:sz w:val="18"/>
                <w:szCs w:val="18"/>
              </w:rPr>
              <w:t xml:space="preserve">A system for MDROs and </w:t>
            </w:r>
            <w:r w:rsidRPr="007319A1">
              <w:rPr>
                <w:rFonts w:ascii="Arial" w:hAnsi="Arial" w:cs="Arial"/>
                <w:i/>
                <w:color w:val="auto"/>
                <w:sz w:val="18"/>
                <w:szCs w:val="18"/>
              </w:rPr>
              <w:t>C. difficile</w:t>
            </w:r>
            <w:r w:rsidRPr="007319A1">
              <w:rPr>
                <w:rFonts w:ascii="Arial" w:hAnsi="Arial" w:cs="Arial"/>
                <w:color w:val="auto"/>
                <w:sz w:val="18"/>
                <w:szCs w:val="18"/>
              </w:rPr>
              <w:t xml:space="preserve"> tracking that automated the following three main surveillance and tracking activities: monitoring microbiology results and initiation of chart-based flags, ordering contact precautions on admission, and ensuring appropriate removal of precautions.</w:t>
            </w:r>
          </w:p>
        </w:tc>
        <w:tc>
          <w:tcPr>
            <w:tcW w:w="1585" w:type="dxa"/>
          </w:tcPr>
          <w:p w14:paraId="55EB3827" w14:textId="77777777" w:rsidR="000A266B" w:rsidRPr="007319A1" w:rsidRDefault="000A266B" w:rsidP="008A7983">
            <w:pPr>
              <w:spacing w:after="0"/>
              <w:rPr>
                <w:rFonts w:ascii="Arial" w:hAnsi="Arial" w:cs="Arial"/>
                <w:sz w:val="18"/>
                <w:szCs w:val="18"/>
                <w:shd w:val="clear" w:color="auto" w:fill="FFFFFF"/>
              </w:rPr>
            </w:pPr>
            <w:r w:rsidRPr="007319A1">
              <w:rPr>
                <w:rFonts w:ascii="Arial" w:hAnsi="Arial" w:cs="Arial"/>
                <w:sz w:val="18"/>
                <w:szCs w:val="18"/>
              </w:rPr>
              <w:t xml:space="preserve">Quasi-experimental before-and-after study. In 2012, the system automatically reviewed daily positive laboratory results for 110,212 patient-days and cross-checked these results with historical MDRO and </w:t>
            </w:r>
            <w:r w:rsidRPr="007319A1">
              <w:rPr>
                <w:rFonts w:ascii="Arial" w:hAnsi="Arial" w:cs="Arial"/>
                <w:i/>
                <w:sz w:val="18"/>
                <w:szCs w:val="18"/>
              </w:rPr>
              <w:t>C. difficile</w:t>
            </w:r>
            <w:r w:rsidRPr="007319A1">
              <w:rPr>
                <w:rFonts w:ascii="Arial" w:hAnsi="Arial" w:cs="Arial"/>
                <w:sz w:val="18"/>
                <w:szCs w:val="18"/>
              </w:rPr>
              <w:t xml:space="preserve"> flags, to determine whether 2,375 positive results represented incident cases.</w:t>
            </w:r>
          </w:p>
        </w:tc>
        <w:tc>
          <w:tcPr>
            <w:tcW w:w="1045" w:type="dxa"/>
            <w:noWrap/>
          </w:tcPr>
          <w:p w14:paraId="3BD601D7" w14:textId="77777777" w:rsidR="000A266B" w:rsidRPr="007319A1" w:rsidRDefault="000A266B" w:rsidP="008A7983">
            <w:pPr>
              <w:shd w:val="clear" w:color="auto" w:fill="FFFFFF"/>
              <w:spacing w:after="0"/>
              <w:rPr>
                <w:rFonts w:ascii="Arial" w:hAnsi="Arial" w:cs="Arial"/>
                <w:sz w:val="18"/>
                <w:szCs w:val="18"/>
              </w:rPr>
            </w:pPr>
            <w:r w:rsidRPr="007319A1">
              <w:rPr>
                <w:rFonts w:ascii="Arial" w:hAnsi="Arial" w:cs="Arial"/>
                <w:sz w:val="18"/>
                <w:szCs w:val="18"/>
              </w:rPr>
              <w:t>A 410-bed tertiary care academic medical center</w:t>
            </w:r>
          </w:p>
        </w:tc>
        <w:tc>
          <w:tcPr>
            <w:tcW w:w="1739" w:type="dxa"/>
            <w:noWrap/>
          </w:tcPr>
          <w:p w14:paraId="1C116E7F" w14:textId="77777777" w:rsidR="000A266B" w:rsidRPr="007319A1" w:rsidRDefault="000A266B" w:rsidP="008A7983">
            <w:pPr>
              <w:spacing w:after="0"/>
              <w:rPr>
                <w:rFonts w:ascii="Arial" w:hAnsi="Arial" w:cs="Arial"/>
                <w:sz w:val="18"/>
                <w:szCs w:val="18"/>
                <w:shd w:val="clear" w:color="auto" w:fill="FFFFFF"/>
              </w:rPr>
            </w:pPr>
            <w:r w:rsidRPr="007319A1">
              <w:rPr>
                <w:rFonts w:ascii="Arial" w:hAnsi="Arial" w:cs="Arial"/>
                <w:sz w:val="18"/>
                <w:szCs w:val="18"/>
              </w:rPr>
              <w:t xml:space="preserve">Automation saved 43 infection preventionist hours per 1,000 admissions (850 hours of infection preventionist time annually). It also saved previously unquantified hours spent reviewing MDRO history for every admission. Automatic retiring of certain MDRO flags ensured removal of contact precautions after a specified time. A point-prevalence assessment of eligibility for discontinuation found that all </w:t>
            </w:r>
            <w:r w:rsidRPr="007319A1">
              <w:rPr>
                <w:rFonts w:ascii="Arial" w:hAnsi="Arial" w:cs="Arial"/>
                <w:sz w:val="18"/>
                <w:szCs w:val="18"/>
              </w:rPr>
              <w:lastRenderedPageBreak/>
              <w:t xml:space="preserve">precautions were appropriate, with none of them eligible for removal. </w:t>
            </w:r>
          </w:p>
        </w:tc>
        <w:tc>
          <w:tcPr>
            <w:tcW w:w="1479" w:type="dxa"/>
            <w:noWrap/>
          </w:tcPr>
          <w:p w14:paraId="63C8CC5C" w14:textId="77777777" w:rsidR="000A266B" w:rsidRPr="007319A1" w:rsidRDefault="000A266B" w:rsidP="008A7983">
            <w:pPr>
              <w:spacing w:after="0"/>
              <w:rPr>
                <w:rFonts w:ascii="Arial" w:hAnsi="Arial" w:cs="Arial"/>
                <w:sz w:val="18"/>
                <w:szCs w:val="18"/>
                <w:shd w:val="clear" w:color="auto" w:fill="FFFFFF"/>
              </w:rPr>
            </w:pPr>
            <w:r w:rsidRPr="007319A1">
              <w:rPr>
                <w:rFonts w:ascii="Arial" w:hAnsi="Arial" w:cs="Arial"/>
                <w:sz w:val="18"/>
                <w:szCs w:val="18"/>
              </w:rPr>
              <w:lastRenderedPageBreak/>
              <w:t>Not provided</w:t>
            </w:r>
          </w:p>
        </w:tc>
        <w:tc>
          <w:tcPr>
            <w:tcW w:w="1999" w:type="dxa"/>
          </w:tcPr>
          <w:p w14:paraId="2954D78A" w14:textId="77777777" w:rsidR="000A266B" w:rsidRPr="007319A1" w:rsidRDefault="000A266B" w:rsidP="008A7983">
            <w:pPr>
              <w:pStyle w:val="Default"/>
              <w:rPr>
                <w:rFonts w:ascii="Arial" w:hAnsi="Arial" w:cs="Arial"/>
                <w:color w:val="auto"/>
                <w:sz w:val="18"/>
                <w:szCs w:val="18"/>
                <w:shd w:val="clear" w:color="auto" w:fill="FFFFFF"/>
              </w:rPr>
            </w:pPr>
            <w:r w:rsidRPr="007319A1">
              <w:rPr>
                <w:rFonts w:ascii="Arial" w:hAnsi="Arial" w:cs="Arial"/>
                <w:color w:val="auto"/>
                <w:sz w:val="18"/>
                <w:szCs w:val="18"/>
              </w:rPr>
              <w:t xml:space="preserve">Automated tracking useful for determining when to start/ discontinue contact precautions/ put patients in single person rooms. When the EHR system detected a finalized positive laboratory test result, it automatically checked whether an organism-specific flag was already present and added the flag if needed. For </w:t>
            </w:r>
            <w:r w:rsidRPr="007319A1">
              <w:rPr>
                <w:rFonts w:ascii="Arial" w:hAnsi="Arial" w:cs="Arial"/>
                <w:i/>
                <w:color w:val="auto"/>
                <w:sz w:val="18"/>
                <w:szCs w:val="18"/>
              </w:rPr>
              <w:t>C. difficile</w:t>
            </w:r>
            <w:r w:rsidRPr="007319A1">
              <w:rPr>
                <w:rFonts w:ascii="Arial" w:hAnsi="Arial" w:cs="Arial"/>
                <w:color w:val="auto"/>
                <w:sz w:val="18"/>
                <w:szCs w:val="18"/>
              </w:rPr>
              <w:t xml:space="preserve"> specifically, because precautions are based on diarrheal symptoms, any readmission within 60 days of an initial flag resulted in an automated order for precautions. </w:t>
            </w:r>
            <w:r w:rsidRPr="007319A1">
              <w:rPr>
                <w:rFonts w:ascii="Arial" w:hAnsi="Arial" w:cs="Arial"/>
                <w:color w:val="auto"/>
                <w:sz w:val="18"/>
                <w:szCs w:val="18"/>
              </w:rPr>
              <w:lastRenderedPageBreak/>
              <w:t>Discontinuation criteria were displayed for review when physicians attempted to discontinue a precaution order.</w:t>
            </w:r>
          </w:p>
        </w:tc>
        <w:tc>
          <w:tcPr>
            <w:tcW w:w="1045" w:type="dxa"/>
          </w:tcPr>
          <w:p w14:paraId="36DD951C"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lastRenderedPageBreak/>
              <w:t>Low to moderate</w:t>
            </w:r>
          </w:p>
        </w:tc>
        <w:tc>
          <w:tcPr>
            <w:tcW w:w="1127" w:type="dxa"/>
            <w:noWrap/>
          </w:tcPr>
          <w:p w14:paraId="6DAE340D"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Automated ordering prevented missed precautions, which might be caused by errors, such as admitting providers not noticing a flag, or healthcare workers missing history of infection on manual review.</w:t>
            </w:r>
          </w:p>
        </w:tc>
      </w:tr>
      <w:tr w:rsidR="000A266B" w:rsidRPr="007319A1" w14:paraId="27B5DD8E" w14:textId="77777777" w:rsidTr="002E39BB">
        <w:trPr>
          <w:jc w:val="center"/>
        </w:trPr>
        <w:tc>
          <w:tcPr>
            <w:tcW w:w="1525" w:type="dxa"/>
            <w:noWrap/>
          </w:tcPr>
          <w:p w14:paraId="2CE8FCF4" w14:textId="77777777" w:rsidR="000A266B" w:rsidRPr="00856120" w:rsidRDefault="000A266B" w:rsidP="008A7983">
            <w:pPr>
              <w:spacing w:after="0"/>
              <w:rPr>
                <w:rFonts w:ascii="Arial" w:hAnsi="Arial" w:cs="Arial"/>
                <w:b/>
                <w:sz w:val="18"/>
                <w:szCs w:val="18"/>
                <w:vertAlign w:val="superscript"/>
              </w:rPr>
            </w:pPr>
            <w:r w:rsidRPr="00856120">
              <w:rPr>
                <w:rFonts w:ascii="Arial" w:hAnsi="Arial" w:cs="Arial"/>
                <w:b/>
                <w:sz w:val="18"/>
                <w:szCs w:val="18"/>
              </w:rPr>
              <w:lastRenderedPageBreak/>
              <w:t>Saeed et al., 2018</w:t>
            </w:r>
            <w:r w:rsidRPr="00856120">
              <w:rPr>
                <w:rFonts w:ascii="Arial" w:hAnsi="Arial" w:cs="Arial"/>
                <w:b/>
                <w:sz w:val="18"/>
                <w:szCs w:val="18"/>
                <w:vertAlign w:val="superscript"/>
              </w:rPr>
              <w:t>18</w:t>
            </w:r>
          </w:p>
        </w:tc>
        <w:tc>
          <w:tcPr>
            <w:tcW w:w="1406" w:type="dxa"/>
          </w:tcPr>
          <w:p w14:paraId="013CE7B9" w14:textId="77777777" w:rsidR="000A266B" w:rsidRPr="007319A1" w:rsidRDefault="000A266B" w:rsidP="008A7983">
            <w:pPr>
              <w:pStyle w:val="Default"/>
              <w:rPr>
                <w:rFonts w:ascii="Arial" w:hAnsi="Arial" w:cs="Arial"/>
                <w:color w:val="auto"/>
                <w:sz w:val="18"/>
                <w:szCs w:val="18"/>
                <w:shd w:val="clear" w:color="auto" w:fill="FFFFFF"/>
              </w:rPr>
            </w:pPr>
            <w:r w:rsidRPr="007319A1">
              <w:rPr>
                <w:rFonts w:ascii="Arial" w:hAnsi="Arial" w:cs="Arial"/>
                <w:i/>
                <w:color w:val="auto"/>
                <w:sz w:val="18"/>
                <w:szCs w:val="18"/>
                <w:shd w:val="clear" w:color="auto" w:fill="FFFFFF"/>
              </w:rPr>
              <w:t>Clostridium difficile</w:t>
            </w:r>
            <w:r w:rsidRPr="007319A1">
              <w:rPr>
                <w:rFonts w:ascii="Arial" w:hAnsi="Arial" w:cs="Arial"/>
                <w:color w:val="auto"/>
                <w:sz w:val="18"/>
                <w:szCs w:val="18"/>
                <w:shd w:val="clear" w:color="auto" w:fill="FFFFFF"/>
              </w:rPr>
              <w:t xml:space="preserve"> multidisciplinary team root cause analysis (MDT-RCA) (vs. on-the-spot investigation) of a breached case</w:t>
            </w:r>
          </w:p>
        </w:tc>
        <w:tc>
          <w:tcPr>
            <w:tcW w:w="1585" w:type="dxa"/>
          </w:tcPr>
          <w:p w14:paraId="189257D6" w14:textId="77777777" w:rsidR="000A266B" w:rsidRPr="007319A1" w:rsidRDefault="000A266B" w:rsidP="008A7983">
            <w:pPr>
              <w:spacing w:after="0"/>
              <w:rPr>
                <w:rFonts w:ascii="Arial" w:hAnsi="Arial" w:cs="Arial"/>
                <w:sz w:val="18"/>
                <w:szCs w:val="18"/>
                <w:shd w:val="clear" w:color="auto" w:fill="FFFFFF"/>
              </w:rPr>
            </w:pPr>
            <w:r w:rsidRPr="007319A1">
              <w:rPr>
                <w:rFonts w:ascii="Arial" w:hAnsi="Arial" w:cs="Arial"/>
                <w:sz w:val="18"/>
                <w:szCs w:val="18"/>
                <w:shd w:val="clear" w:color="auto" w:fill="FFFFFF"/>
              </w:rPr>
              <w:t xml:space="preserve">Investigation of the financial impact of MDT-RCAs to the Trust. Methodology: over 2 years, the MDT-RCA forum reviewed 84 hospital-onset CDI cases. </w:t>
            </w:r>
          </w:p>
          <w:p w14:paraId="414065FD"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HFT serves a population of approximately 600,000. </w:t>
            </w:r>
          </w:p>
        </w:tc>
        <w:tc>
          <w:tcPr>
            <w:tcW w:w="1045" w:type="dxa"/>
            <w:noWrap/>
          </w:tcPr>
          <w:p w14:paraId="5E95778F" w14:textId="77777777" w:rsidR="000A266B" w:rsidRPr="007319A1" w:rsidRDefault="000A266B" w:rsidP="008A7983">
            <w:pPr>
              <w:shd w:val="clear" w:color="auto" w:fill="FFFFFF"/>
              <w:spacing w:after="0"/>
              <w:rPr>
                <w:rFonts w:ascii="Arial" w:hAnsi="Arial" w:cs="Arial"/>
                <w:sz w:val="18"/>
                <w:szCs w:val="18"/>
              </w:rPr>
            </w:pPr>
            <w:r w:rsidRPr="007319A1">
              <w:rPr>
                <w:rFonts w:ascii="Arial" w:hAnsi="Arial" w:cs="Arial"/>
                <w:sz w:val="18"/>
                <w:szCs w:val="18"/>
              </w:rPr>
              <w:t xml:space="preserve">Three hospitals in UK totaling over 850 beds </w:t>
            </w:r>
          </w:p>
        </w:tc>
        <w:tc>
          <w:tcPr>
            <w:tcW w:w="1739" w:type="dxa"/>
            <w:noWrap/>
          </w:tcPr>
          <w:p w14:paraId="2718869D" w14:textId="77777777" w:rsidR="000A266B" w:rsidRPr="007319A1" w:rsidRDefault="000A266B" w:rsidP="008A7983">
            <w:pPr>
              <w:spacing w:after="0"/>
              <w:rPr>
                <w:rFonts w:ascii="Arial" w:hAnsi="Arial" w:cs="Arial"/>
                <w:sz w:val="18"/>
                <w:szCs w:val="18"/>
                <w:shd w:val="clear" w:color="auto" w:fill="FFFFFF"/>
              </w:rPr>
            </w:pPr>
            <w:r w:rsidRPr="007319A1">
              <w:rPr>
                <w:rFonts w:ascii="Arial" w:hAnsi="Arial" w:cs="Arial"/>
                <w:sz w:val="18"/>
                <w:szCs w:val="18"/>
                <w:shd w:val="clear" w:color="auto" w:fill="FFFFFF"/>
              </w:rPr>
              <w:t xml:space="preserve">In total, 543 staff attended the MDT-RCAs at a potential cost to the Trust of £23,795.74 to £51,670.10. Over 24 months, the Trust had appealed against financial penalties for 27 cases, and 14 appeals were successful. This suggests that £140,000 would have been avoided had 14 cases not breached hospital CDI case targets. (Hospital groups, i.e., trusts, are required to demonstrate year-on-year reductions in CDI cases. </w:t>
            </w:r>
            <w:r w:rsidRPr="007319A1">
              <w:rPr>
                <w:rFonts w:ascii="Arial" w:hAnsi="Arial" w:cs="Arial"/>
                <w:sz w:val="18"/>
                <w:szCs w:val="18"/>
              </w:rPr>
              <w:t xml:space="preserve">Breaches of </w:t>
            </w:r>
            <w:r w:rsidRPr="007319A1">
              <w:rPr>
                <w:rFonts w:ascii="Arial" w:hAnsi="Arial" w:cs="Arial"/>
                <w:i/>
                <w:sz w:val="18"/>
                <w:szCs w:val="18"/>
              </w:rPr>
              <w:t xml:space="preserve">C. difficile </w:t>
            </w:r>
            <w:r w:rsidRPr="007319A1">
              <w:rPr>
                <w:rFonts w:ascii="Arial" w:hAnsi="Arial" w:cs="Arial"/>
                <w:sz w:val="18"/>
                <w:szCs w:val="18"/>
              </w:rPr>
              <w:t xml:space="preserve">targets—in this case, 37 cases for the first year— incur financial penalties to the Trust to the value of £10,000 per case.) After the appeal, only two cases </w:t>
            </w:r>
            <w:r w:rsidRPr="007319A1">
              <w:rPr>
                <w:rFonts w:ascii="Arial" w:hAnsi="Arial" w:cs="Arial"/>
                <w:sz w:val="18"/>
                <w:szCs w:val="18"/>
              </w:rPr>
              <w:lastRenderedPageBreak/>
              <w:t xml:space="preserve">breached the threshold. </w:t>
            </w:r>
          </w:p>
          <w:p w14:paraId="72F0EA75" w14:textId="77777777" w:rsidR="000A266B" w:rsidRPr="007319A1" w:rsidRDefault="000A266B" w:rsidP="008A7983">
            <w:pPr>
              <w:spacing w:after="0"/>
              <w:rPr>
                <w:rFonts w:ascii="Arial" w:hAnsi="Arial" w:cs="Arial"/>
                <w:sz w:val="18"/>
                <w:szCs w:val="18"/>
              </w:rPr>
            </w:pPr>
          </w:p>
        </w:tc>
        <w:tc>
          <w:tcPr>
            <w:tcW w:w="1479" w:type="dxa"/>
            <w:noWrap/>
          </w:tcPr>
          <w:p w14:paraId="1F5F77E7"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shd w:val="clear" w:color="auto" w:fill="FFFFFF"/>
              </w:rPr>
              <w:lastRenderedPageBreak/>
              <w:t>In the end, targets were breached by only two cases, meaning £20,000 in fines was avoided. Deducting this from the total costs of the MDT-RCA meant the Trust lost £3,795.74 to £31,670.</w:t>
            </w:r>
          </w:p>
        </w:tc>
        <w:tc>
          <w:tcPr>
            <w:tcW w:w="1999" w:type="dxa"/>
          </w:tcPr>
          <w:p w14:paraId="2C8793E3" w14:textId="77777777" w:rsidR="000A266B" w:rsidRPr="007319A1" w:rsidRDefault="000A266B" w:rsidP="008A7983">
            <w:pPr>
              <w:pStyle w:val="Default"/>
              <w:rPr>
                <w:rFonts w:ascii="Arial" w:hAnsi="Arial" w:cs="Arial"/>
                <w:color w:val="auto"/>
                <w:sz w:val="18"/>
                <w:szCs w:val="18"/>
                <w:shd w:val="clear" w:color="auto" w:fill="FFFFFF"/>
              </w:rPr>
            </w:pPr>
            <w:r w:rsidRPr="007319A1">
              <w:rPr>
                <w:rFonts w:ascii="Arial" w:hAnsi="Arial" w:cs="Arial"/>
                <w:color w:val="auto"/>
                <w:sz w:val="18"/>
                <w:szCs w:val="18"/>
                <w:shd w:val="clear" w:color="auto" w:fill="FFFFFF"/>
              </w:rPr>
              <w:t>Over the 2 years reviewed, the MDT-RCA proved to be costly to the Trust, with “no additional learning or quality improvement measures identified.”</w:t>
            </w:r>
          </w:p>
          <w:p w14:paraId="6841436E"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Key learning themes from the 84 cases: the delay in isolating symptomatic patients and the delay in sending stool samples to the laboratory. Concerns were also raised with lack of documentation, such as the clinical and nursing teams not completing the </w:t>
            </w:r>
            <w:r w:rsidRPr="007319A1">
              <w:rPr>
                <w:rFonts w:ascii="Arial" w:hAnsi="Arial" w:cs="Arial"/>
                <w:i/>
                <w:sz w:val="18"/>
                <w:szCs w:val="18"/>
              </w:rPr>
              <w:t>C. difficile</w:t>
            </w:r>
            <w:r w:rsidRPr="007319A1">
              <w:rPr>
                <w:rFonts w:ascii="Arial" w:hAnsi="Arial" w:cs="Arial"/>
                <w:sz w:val="18"/>
                <w:szCs w:val="18"/>
              </w:rPr>
              <w:t xml:space="preserve"> care pathway and diarrhea and vomiting risk assessment. </w:t>
            </w:r>
          </w:p>
          <w:p w14:paraId="2AC4B63E"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One possible benefit of the MDT-RCA meetings may have been heightening the awareness of CDI among staff that attended.</w:t>
            </w:r>
          </w:p>
        </w:tc>
        <w:tc>
          <w:tcPr>
            <w:tcW w:w="1045" w:type="dxa"/>
          </w:tcPr>
          <w:p w14:paraId="579035D9"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Low to moderate </w:t>
            </w:r>
          </w:p>
        </w:tc>
        <w:tc>
          <w:tcPr>
            <w:tcW w:w="1127" w:type="dxa"/>
            <w:noWrap/>
          </w:tcPr>
          <w:p w14:paraId="526EB10E"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Touches on issues of financial penalties for “preventable” CDI cases.</w:t>
            </w:r>
          </w:p>
          <w:p w14:paraId="7B8B3D26"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Article is about financial implications of RCA specific to the commission</w:t>
            </w:r>
            <w:r>
              <w:rPr>
                <w:rFonts w:ascii="Arial" w:hAnsi="Arial" w:cs="Arial"/>
                <w:sz w:val="18"/>
                <w:szCs w:val="18"/>
              </w:rPr>
              <w:t>-</w:t>
            </w:r>
            <w:r w:rsidRPr="007319A1">
              <w:rPr>
                <w:rFonts w:ascii="Arial" w:hAnsi="Arial" w:cs="Arial"/>
                <w:sz w:val="18"/>
                <w:szCs w:val="18"/>
              </w:rPr>
              <w:t xml:space="preserve">ing groups in the UK. </w:t>
            </w:r>
          </w:p>
        </w:tc>
      </w:tr>
      <w:tr w:rsidR="000A266B" w:rsidRPr="007319A1" w14:paraId="7010F2A5" w14:textId="77777777" w:rsidTr="002E39BB">
        <w:trPr>
          <w:jc w:val="center"/>
        </w:trPr>
        <w:tc>
          <w:tcPr>
            <w:tcW w:w="1525" w:type="dxa"/>
            <w:noWrap/>
          </w:tcPr>
          <w:p w14:paraId="07016914" w14:textId="5F852BAE" w:rsidR="000A266B" w:rsidRPr="00856120" w:rsidRDefault="000A266B" w:rsidP="008A7983">
            <w:pPr>
              <w:spacing w:after="0"/>
              <w:rPr>
                <w:rFonts w:ascii="Arial" w:hAnsi="Arial" w:cs="Arial"/>
                <w:b/>
                <w:sz w:val="18"/>
                <w:szCs w:val="18"/>
                <w:vertAlign w:val="superscript"/>
              </w:rPr>
            </w:pPr>
            <w:bookmarkStart w:id="0" w:name="_Hlk32529855"/>
            <w:r w:rsidRPr="00856120">
              <w:rPr>
                <w:rFonts w:ascii="Arial" w:hAnsi="Arial" w:cs="Arial"/>
                <w:b/>
                <w:sz w:val="18"/>
                <w:szCs w:val="18"/>
              </w:rPr>
              <w:lastRenderedPageBreak/>
              <w:t>Schlackow</w:t>
            </w:r>
            <w:bookmarkEnd w:id="0"/>
            <w:r w:rsidRPr="00856120">
              <w:rPr>
                <w:rFonts w:ascii="Arial" w:hAnsi="Arial" w:cs="Arial"/>
                <w:b/>
                <w:sz w:val="18"/>
                <w:szCs w:val="18"/>
              </w:rPr>
              <w:t xml:space="preserve"> et al., 2012</w:t>
            </w:r>
            <w:r w:rsidRPr="00856120">
              <w:rPr>
                <w:rFonts w:ascii="Arial" w:hAnsi="Arial" w:cs="Arial"/>
                <w:b/>
                <w:sz w:val="18"/>
                <w:szCs w:val="18"/>
                <w:vertAlign w:val="superscript"/>
              </w:rPr>
              <w:t>41</w:t>
            </w:r>
          </w:p>
        </w:tc>
        <w:tc>
          <w:tcPr>
            <w:tcW w:w="1406" w:type="dxa"/>
          </w:tcPr>
          <w:p w14:paraId="5C28EB99" w14:textId="77777777" w:rsidR="000A266B" w:rsidRPr="007319A1" w:rsidRDefault="000A266B" w:rsidP="008A7983">
            <w:pPr>
              <w:pStyle w:val="Default"/>
              <w:rPr>
                <w:rFonts w:ascii="Arial" w:hAnsi="Arial" w:cs="Arial"/>
                <w:color w:val="auto"/>
                <w:sz w:val="18"/>
                <w:szCs w:val="18"/>
              </w:rPr>
            </w:pPr>
            <w:r w:rsidRPr="007319A1">
              <w:rPr>
                <w:rFonts w:ascii="Arial" w:hAnsi="Arial" w:cs="Arial"/>
                <w:color w:val="auto"/>
                <w:sz w:val="18"/>
                <w:szCs w:val="18"/>
              </w:rPr>
              <w:t>Biomarker- based surveillance: automated electronic systems providing early warning of the changing severity of infectious conditions. Iterative sequential regression (ISR)-based severity monitoring.</w:t>
            </w:r>
          </w:p>
        </w:tc>
        <w:tc>
          <w:tcPr>
            <w:tcW w:w="1585" w:type="dxa"/>
          </w:tcPr>
          <w:p w14:paraId="28E3236D"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Assessed the generalizability of ISR-based severity monitoring. Study of 5,551 toxin-positive and 20,098 persistently toxin-negative patients tested for CDI between February 1998 and July 2009, in a group of hospitals. Investigated 28-day mortality and biomarkers of inflammation collected at diagnosis using ISR, a novel join point-based regression technique. Assessed the generalizability of ISR-based severity. </w:t>
            </w:r>
          </w:p>
        </w:tc>
        <w:tc>
          <w:tcPr>
            <w:tcW w:w="1045" w:type="dxa"/>
            <w:noWrap/>
          </w:tcPr>
          <w:p w14:paraId="2CD2D415" w14:textId="77777777" w:rsidR="000A266B" w:rsidRPr="007319A1" w:rsidRDefault="000A266B" w:rsidP="008A7983">
            <w:pPr>
              <w:pStyle w:val="Default"/>
              <w:rPr>
                <w:rFonts w:ascii="Arial" w:hAnsi="Arial" w:cs="Arial"/>
                <w:color w:val="auto"/>
                <w:sz w:val="18"/>
                <w:szCs w:val="18"/>
              </w:rPr>
            </w:pPr>
            <w:r w:rsidRPr="007319A1">
              <w:rPr>
                <w:rFonts w:ascii="Arial" w:hAnsi="Arial" w:cs="Arial"/>
                <w:color w:val="auto"/>
                <w:sz w:val="18"/>
                <w:szCs w:val="18"/>
              </w:rPr>
              <w:t>A group of UK hospitals</w:t>
            </w:r>
          </w:p>
        </w:tc>
        <w:tc>
          <w:tcPr>
            <w:tcW w:w="1739" w:type="dxa"/>
            <w:noWrap/>
          </w:tcPr>
          <w:p w14:paraId="2F1EE80C"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ISR-based severity monitoring allowed the detection of the severity change years earlier than mortality monitoring. Among </w:t>
            </w:r>
            <w:r w:rsidRPr="007319A1">
              <w:rPr>
                <w:rFonts w:ascii="Arial" w:hAnsi="Arial" w:cs="Arial"/>
                <w:i/>
                <w:sz w:val="18"/>
                <w:szCs w:val="18"/>
              </w:rPr>
              <w:t>C. difficile</w:t>
            </w:r>
            <w:r w:rsidRPr="007319A1">
              <w:rPr>
                <w:rFonts w:ascii="Arial" w:hAnsi="Arial" w:cs="Arial"/>
                <w:sz w:val="18"/>
                <w:szCs w:val="18"/>
              </w:rPr>
              <w:t xml:space="preserve"> toxin-positive patients in the Oxford hospitals, mean neutrophil counts on diagnosis increased from 2003, peaked in 2006–2007, and then declined; 28-day mortality increased from early 2006, peaked in late 2006–2007, and then declined. Molecular typing confirmed these changes were likely due to the ingress of the globally distributed severe </w:t>
            </w:r>
            <w:r w:rsidRPr="007319A1">
              <w:rPr>
                <w:rFonts w:ascii="Arial" w:hAnsi="Arial" w:cs="Arial"/>
                <w:i/>
                <w:sz w:val="18"/>
                <w:szCs w:val="18"/>
              </w:rPr>
              <w:t>C. difficile</w:t>
            </w:r>
            <w:r w:rsidRPr="007319A1">
              <w:rPr>
                <w:rFonts w:ascii="Arial" w:hAnsi="Arial" w:cs="Arial"/>
                <w:sz w:val="18"/>
                <w:szCs w:val="18"/>
              </w:rPr>
              <w:t xml:space="preserve"> strain, ST1. Strong associations found between isolation of the ST1 severe strain and higher neutrophil counts at diagnosis in two unrelated large multi-center studies. Similar trends were </w:t>
            </w:r>
          </w:p>
        </w:tc>
        <w:tc>
          <w:tcPr>
            <w:tcW w:w="1479" w:type="dxa"/>
            <w:noWrap/>
          </w:tcPr>
          <w:p w14:paraId="4FB8D399"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One concern is feasibility. The samples used to predict severity were routinely collected and came from inpatients. Although in many hospitals in high-income countries, such samples are taken in most admissions, this may not be the case in lower resourced settings.</w:t>
            </w:r>
          </w:p>
        </w:tc>
        <w:tc>
          <w:tcPr>
            <w:tcW w:w="1999" w:type="dxa"/>
          </w:tcPr>
          <w:p w14:paraId="009A7A1D" w14:textId="77777777" w:rsidR="000A266B" w:rsidRPr="007319A1" w:rsidRDefault="000A266B" w:rsidP="008A7983">
            <w:pPr>
              <w:pStyle w:val="Default"/>
              <w:rPr>
                <w:rFonts w:ascii="Arial" w:hAnsi="Arial" w:cs="Arial"/>
                <w:color w:val="auto"/>
                <w:sz w:val="18"/>
                <w:szCs w:val="18"/>
              </w:rPr>
            </w:pPr>
            <w:r w:rsidRPr="007319A1">
              <w:rPr>
                <w:rFonts w:ascii="Arial" w:hAnsi="Arial" w:cs="Arial"/>
                <w:color w:val="auto"/>
                <w:sz w:val="18"/>
                <w:szCs w:val="18"/>
              </w:rPr>
              <w:t>General methods of detecting changing virulence that would permit early recognition and control, and optimal management of such threats, would be highly desirable.</w:t>
            </w:r>
          </w:p>
          <w:p w14:paraId="414B62BB" w14:textId="77777777" w:rsidR="000A266B" w:rsidRPr="007319A1" w:rsidRDefault="000A266B" w:rsidP="008A7983">
            <w:pPr>
              <w:pStyle w:val="Default"/>
              <w:rPr>
                <w:rFonts w:ascii="Arial" w:hAnsi="Arial" w:cs="Arial"/>
                <w:color w:val="auto"/>
                <w:sz w:val="18"/>
                <w:szCs w:val="18"/>
              </w:rPr>
            </w:pPr>
            <w:r w:rsidRPr="007319A1">
              <w:rPr>
                <w:rFonts w:ascii="Arial" w:hAnsi="Arial" w:cs="Arial"/>
                <w:color w:val="auto"/>
                <w:sz w:val="18"/>
                <w:szCs w:val="18"/>
              </w:rPr>
              <w:t>The studied method requires that there be at least one routinely collected biomarker associated with disease-related mortality for each target condition. Researchers envisage that initially a number of potential severity markers could be investigated for each infection—retrospectively, using historical data if available, or prospectively, based on routine electronic databases. Comparing historical data with mortality retrospectively, and/or investigating any ‘‘signals’’ prospectively, would identify which biomarkers were most useful for passive severity monitoring.</w:t>
            </w:r>
          </w:p>
        </w:tc>
        <w:tc>
          <w:tcPr>
            <w:tcW w:w="1045" w:type="dxa"/>
          </w:tcPr>
          <w:p w14:paraId="0417829F"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Low to moderate</w:t>
            </w:r>
          </w:p>
        </w:tc>
        <w:tc>
          <w:tcPr>
            <w:tcW w:w="1127" w:type="dxa"/>
            <w:noWrap/>
          </w:tcPr>
          <w:p w14:paraId="14FAAECF"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None</w:t>
            </w:r>
          </w:p>
        </w:tc>
      </w:tr>
      <w:tr w:rsidR="000A266B" w:rsidRPr="007319A1" w14:paraId="7DD9B9EA" w14:textId="77777777" w:rsidTr="002E39BB">
        <w:trPr>
          <w:jc w:val="center"/>
        </w:trPr>
        <w:tc>
          <w:tcPr>
            <w:tcW w:w="1525" w:type="dxa"/>
            <w:noWrap/>
          </w:tcPr>
          <w:p w14:paraId="55398DAA" w14:textId="77777777" w:rsidR="000A266B" w:rsidRPr="00856120" w:rsidRDefault="000A266B" w:rsidP="008A7983">
            <w:pPr>
              <w:spacing w:after="0"/>
              <w:rPr>
                <w:rFonts w:ascii="Arial" w:hAnsi="Arial" w:cs="Arial"/>
                <w:b/>
                <w:sz w:val="18"/>
                <w:szCs w:val="18"/>
                <w:vertAlign w:val="superscript"/>
              </w:rPr>
            </w:pPr>
            <w:r w:rsidRPr="00856120">
              <w:rPr>
                <w:rFonts w:ascii="Arial" w:hAnsi="Arial" w:cs="Arial"/>
                <w:b/>
                <w:sz w:val="18"/>
                <w:szCs w:val="18"/>
              </w:rPr>
              <w:lastRenderedPageBreak/>
              <w:t>Schmiedeskamp et al., 2009</w:t>
            </w:r>
            <w:r w:rsidRPr="00856120">
              <w:rPr>
                <w:rFonts w:ascii="Arial" w:hAnsi="Arial" w:cs="Arial"/>
                <w:b/>
                <w:sz w:val="18"/>
                <w:szCs w:val="18"/>
                <w:vertAlign w:val="superscript"/>
              </w:rPr>
              <w:t>36</w:t>
            </w:r>
          </w:p>
        </w:tc>
        <w:tc>
          <w:tcPr>
            <w:tcW w:w="1406" w:type="dxa"/>
          </w:tcPr>
          <w:p w14:paraId="1BFC97FD" w14:textId="77777777" w:rsidR="000A266B" w:rsidRPr="007319A1" w:rsidRDefault="000A266B" w:rsidP="008A7983">
            <w:pPr>
              <w:pStyle w:val="Default"/>
              <w:rPr>
                <w:rFonts w:ascii="Arial" w:hAnsi="Arial" w:cs="Arial"/>
                <w:color w:val="auto"/>
                <w:sz w:val="18"/>
                <w:szCs w:val="18"/>
              </w:rPr>
            </w:pPr>
            <w:r w:rsidRPr="007319A1">
              <w:rPr>
                <w:rFonts w:ascii="Arial" w:hAnsi="Arial" w:cs="Arial"/>
                <w:color w:val="auto"/>
                <w:sz w:val="18"/>
                <w:szCs w:val="18"/>
              </w:rPr>
              <w:t>Use of ICD-9 codes and use data to identify nosocomial CDI (vs. ICD-9 code alone)</w:t>
            </w:r>
          </w:p>
        </w:tc>
        <w:tc>
          <w:tcPr>
            <w:tcW w:w="1585" w:type="dxa"/>
          </w:tcPr>
          <w:p w14:paraId="445F8799"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Validation sample cross-sectional study. Laboratory and medical records were queried to identify symptomatic CDI toxin–positive adult patients with nosocomial CDI and were compared with records of patients whose cases were predicted to be nosocomial by means of ICD-9-CM code and CDI therapy data. Administrative claims data from July 1, 2004, to June 30, 2005, were queried. Population/sample size: 23,920 adult patients discharged from the hospital.</w:t>
            </w:r>
          </w:p>
        </w:tc>
        <w:tc>
          <w:tcPr>
            <w:tcW w:w="1045" w:type="dxa"/>
            <w:noWrap/>
          </w:tcPr>
          <w:p w14:paraId="1FE1C563" w14:textId="77777777" w:rsidR="000A266B" w:rsidRPr="007319A1" w:rsidRDefault="000A266B" w:rsidP="008A7983">
            <w:pPr>
              <w:pStyle w:val="Default"/>
              <w:rPr>
                <w:rFonts w:ascii="Arial" w:hAnsi="Arial" w:cs="Arial"/>
                <w:color w:val="auto"/>
                <w:sz w:val="18"/>
                <w:szCs w:val="18"/>
              </w:rPr>
            </w:pPr>
            <w:r w:rsidRPr="007319A1">
              <w:rPr>
                <w:rFonts w:ascii="Arial" w:hAnsi="Arial" w:cs="Arial"/>
                <w:color w:val="auto"/>
                <w:sz w:val="18"/>
                <w:szCs w:val="18"/>
              </w:rPr>
              <w:t>An academic health center in Virginia</w:t>
            </w:r>
          </w:p>
        </w:tc>
        <w:tc>
          <w:tcPr>
            <w:tcW w:w="1739" w:type="dxa"/>
            <w:noWrap/>
          </w:tcPr>
          <w:p w14:paraId="335E2169"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The sensitivity of the ICD-9-CM code alone for identifying nosocomial CDI was 96.8%. The specificity was 99.6%, the positive predictive value was 40.8%, and the negative predictive value was 100%. When CDI drug therapy was included with the ICD-9-CM code, the sensitivity ranged from 58.1% to 85.5%, specificity was virtually unchanged, and the range in positive predictive value was 37.9% to 80.0%.</w:t>
            </w:r>
          </w:p>
        </w:tc>
        <w:tc>
          <w:tcPr>
            <w:tcW w:w="1479" w:type="dxa"/>
            <w:noWrap/>
          </w:tcPr>
          <w:p w14:paraId="3D3486B2"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Combining the ICD-9-CM code for CDI with drug therapy information increased the positive predictive value for nosocomial CDI, but decreased the sensitivity.</w:t>
            </w:r>
          </w:p>
        </w:tc>
        <w:tc>
          <w:tcPr>
            <w:tcW w:w="1999" w:type="dxa"/>
          </w:tcPr>
          <w:p w14:paraId="2320346E" w14:textId="77777777" w:rsidR="000A266B" w:rsidRPr="007319A1" w:rsidRDefault="000A266B" w:rsidP="008A7983">
            <w:pPr>
              <w:pStyle w:val="Default"/>
              <w:rPr>
                <w:rFonts w:ascii="Arial" w:hAnsi="Arial" w:cs="Arial"/>
                <w:color w:val="auto"/>
                <w:sz w:val="18"/>
                <w:szCs w:val="18"/>
              </w:rPr>
            </w:pPr>
            <w:r w:rsidRPr="007319A1">
              <w:rPr>
                <w:rFonts w:ascii="Arial" w:hAnsi="Arial" w:cs="Arial"/>
                <w:color w:val="auto"/>
                <w:sz w:val="18"/>
                <w:szCs w:val="18"/>
              </w:rPr>
              <w:t>Beginning October 1, 2008, the Centers for Medicare &amp; Medicaid Services required hospitals to indicate which diagnoses were present on admission. The method proposed in this investigation should be useful to help determine the post-admission day that nosocomial CDI became evident. A limitation in using ICD-9-CM codes to identify CDI is the inability to determine which cases are nosocomial, because ICD-9-CM codes are assigned to all patients with CDI at any time during hospitalization.</w:t>
            </w:r>
          </w:p>
        </w:tc>
        <w:tc>
          <w:tcPr>
            <w:tcW w:w="1045" w:type="dxa"/>
          </w:tcPr>
          <w:p w14:paraId="25882AAB"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 xml:space="preserve">Low to moderate </w:t>
            </w:r>
          </w:p>
        </w:tc>
        <w:tc>
          <w:tcPr>
            <w:tcW w:w="1127" w:type="dxa"/>
            <w:noWrap/>
          </w:tcPr>
          <w:p w14:paraId="73D99944"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t>The purpose of this study was to determine whether combining the ICD-9-CM code with medication treatment data for CDI in hospitalized patients could be used to distinguish between patients with nosocomial CDI and patients who were admitted with CDI.</w:t>
            </w:r>
          </w:p>
        </w:tc>
      </w:tr>
      <w:tr w:rsidR="000A266B" w:rsidRPr="007319A1" w14:paraId="7469269B" w14:textId="77777777" w:rsidTr="002E39BB">
        <w:trPr>
          <w:jc w:val="center"/>
        </w:trPr>
        <w:tc>
          <w:tcPr>
            <w:tcW w:w="1525" w:type="dxa"/>
            <w:noWrap/>
          </w:tcPr>
          <w:p w14:paraId="24BE3BB9" w14:textId="77777777" w:rsidR="000A266B" w:rsidRPr="00856120" w:rsidRDefault="000A266B" w:rsidP="008A7983">
            <w:pPr>
              <w:spacing w:after="0"/>
              <w:rPr>
                <w:rFonts w:ascii="Arial" w:hAnsi="Arial" w:cs="Arial"/>
                <w:b/>
                <w:sz w:val="18"/>
                <w:szCs w:val="18"/>
                <w:shd w:val="clear" w:color="auto" w:fill="FFFFFF"/>
                <w:vertAlign w:val="superscript"/>
              </w:rPr>
            </w:pPr>
            <w:r w:rsidRPr="00856120">
              <w:rPr>
                <w:rFonts w:ascii="Arial" w:hAnsi="Arial" w:cs="Arial"/>
                <w:b/>
                <w:sz w:val="18"/>
                <w:szCs w:val="18"/>
                <w:shd w:val="clear" w:color="auto" w:fill="FFFFFF"/>
              </w:rPr>
              <w:t>Truong et al., 2017</w:t>
            </w:r>
            <w:r w:rsidRPr="00856120">
              <w:rPr>
                <w:rFonts w:ascii="Arial" w:hAnsi="Arial" w:cs="Arial"/>
                <w:b/>
                <w:sz w:val="18"/>
                <w:szCs w:val="18"/>
                <w:shd w:val="clear" w:color="auto" w:fill="FFFFFF"/>
                <w:vertAlign w:val="superscript"/>
              </w:rPr>
              <w:t>33</w:t>
            </w:r>
          </w:p>
        </w:tc>
        <w:tc>
          <w:tcPr>
            <w:tcW w:w="1406" w:type="dxa"/>
          </w:tcPr>
          <w:p w14:paraId="3105E979" w14:textId="77777777" w:rsidR="000A266B" w:rsidRPr="007319A1" w:rsidRDefault="000A266B" w:rsidP="008A7983">
            <w:pPr>
              <w:pStyle w:val="Default"/>
              <w:rPr>
                <w:rFonts w:ascii="Arial" w:hAnsi="Arial" w:cs="Arial"/>
                <w:color w:val="auto"/>
                <w:sz w:val="18"/>
                <w:szCs w:val="18"/>
              </w:rPr>
            </w:pPr>
            <w:r w:rsidRPr="007319A1">
              <w:rPr>
                <w:rFonts w:ascii="Arial" w:hAnsi="Arial" w:cs="Arial"/>
                <w:sz w:val="18"/>
                <w:szCs w:val="18"/>
              </w:rPr>
              <w:t xml:space="preserve">Real-time electronic tracking of diarrheal episodes and laxative therapy for verification of </w:t>
            </w:r>
            <w:r w:rsidRPr="007319A1">
              <w:rPr>
                <w:rFonts w:ascii="Arial" w:hAnsi="Arial" w:cs="Arial"/>
                <w:i/>
                <w:sz w:val="18"/>
                <w:szCs w:val="18"/>
              </w:rPr>
              <w:t>Clostridium difficile</w:t>
            </w:r>
            <w:r w:rsidRPr="007319A1">
              <w:rPr>
                <w:rFonts w:ascii="Arial" w:hAnsi="Arial" w:cs="Arial"/>
                <w:sz w:val="18"/>
                <w:szCs w:val="18"/>
              </w:rPr>
              <w:t xml:space="preserve"> clinical </w:t>
            </w:r>
            <w:r w:rsidRPr="007319A1">
              <w:rPr>
                <w:rFonts w:ascii="Arial" w:hAnsi="Arial" w:cs="Arial"/>
                <w:color w:val="auto"/>
                <w:sz w:val="18"/>
                <w:szCs w:val="18"/>
              </w:rPr>
              <w:t>testing</w:t>
            </w:r>
            <w:r w:rsidRPr="007319A1">
              <w:rPr>
                <w:rFonts w:ascii="Arial" w:hAnsi="Arial" w:cs="Arial"/>
                <w:sz w:val="18"/>
                <w:szCs w:val="18"/>
              </w:rPr>
              <w:t xml:space="preserve"> criteria</w:t>
            </w:r>
          </w:p>
        </w:tc>
        <w:tc>
          <w:tcPr>
            <w:tcW w:w="1585" w:type="dxa"/>
          </w:tcPr>
          <w:p w14:paraId="4ADA8273" w14:textId="77777777" w:rsidR="000A266B" w:rsidRPr="007319A1" w:rsidRDefault="000A266B" w:rsidP="008A7983">
            <w:pPr>
              <w:spacing w:after="0"/>
              <w:rPr>
                <w:rFonts w:ascii="Arial" w:hAnsi="Arial" w:cs="Arial"/>
                <w:sz w:val="18"/>
                <w:szCs w:val="18"/>
                <w:shd w:val="clear" w:color="auto" w:fill="FFFFFF"/>
              </w:rPr>
            </w:pPr>
            <w:r w:rsidRPr="007319A1">
              <w:rPr>
                <w:rFonts w:ascii="Arial" w:hAnsi="Arial" w:cs="Arial"/>
                <w:color w:val="000000"/>
                <w:sz w:val="18"/>
                <w:szCs w:val="18"/>
                <w:shd w:val="clear" w:color="auto" w:fill="FFFFFF"/>
              </w:rPr>
              <w:t>A quasi- experimental study from June 22, 2015, to June 30, 2016, on consecutive inpatients with </w:t>
            </w:r>
            <w:r w:rsidRPr="007319A1">
              <w:rPr>
                <w:rFonts w:ascii="Arial" w:hAnsi="Arial" w:cs="Arial"/>
                <w:i/>
                <w:iCs/>
                <w:color w:val="000000"/>
                <w:sz w:val="18"/>
                <w:szCs w:val="18"/>
                <w:shd w:val="clear" w:color="auto" w:fill="FFFFFF"/>
              </w:rPr>
              <w:t>C. difficile</w:t>
            </w:r>
            <w:r w:rsidRPr="007319A1">
              <w:rPr>
                <w:rFonts w:ascii="Arial" w:hAnsi="Arial" w:cs="Arial"/>
                <w:color w:val="000000"/>
                <w:sz w:val="18"/>
                <w:szCs w:val="18"/>
                <w:shd w:val="clear" w:color="auto" w:fill="FFFFFF"/>
              </w:rPr>
              <w:t> test orders; 2,321 cancelled </w:t>
            </w:r>
            <w:r w:rsidRPr="007319A1">
              <w:rPr>
                <w:rFonts w:ascii="Arial" w:hAnsi="Arial" w:cs="Arial"/>
                <w:i/>
                <w:iCs/>
                <w:color w:val="000000"/>
                <w:sz w:val="18"/>
                <w:szCs w:val="18"/>
                <w:shd w:val="clear" w:color="auto" w:fill="FFFFFF"/>
              </w:rPr>
              <w:t>C. difficile</w:t>
            </w:r>
            <w:r w:rsidRPr="007319A1">
              <w:rPr>
                <w:rFonts w:ascii="Arial" w:hAnsi="Arial" w:cs="Arial"/>
                <w:color w:val="000000"/>
                <w:sz w:val="18"/>
                <w:szCs w:val="18"/>
                <w:shd w:val="clear" w:color="auto" w:fill="FFFFFF"/>
              </w:rPr>
              <w:t> test orders </w:t>
            </w:r>
          </w:p>
        </w:tc>
        <w:tc>
          <w:tcPr>
            <w:tcW w:w="1045" w:type="dxa"/>
            <w:noWrap/>
          </w:tcPr>
          <w:p w14:paraId="3BCB5829" w14:textId="77777777" w:rsidR="000A266B" w:rsidRPr="007319A1" w:rsidRDefault="000A266B" w:rsidP="008A7983">
            <w:pPr>
              <w:pStyle w:val="Default"/>
              <w:rPr>
                <w:rFonts w:ascii="Arial" w:hAnsi="Arial" w:cs="Arial"/>
                <w:color w:val="auto"/>
                <w:sz w:val="18"/>
                <w:szCs w:val="18"/>
              </w:rPr>
            </w:pPr>
            <w:r w:rsidRPr="007319A1">
              <w:rPr>
                <w:rFonts w:ascii="Arial" w:hAnsi="Arial" w:cs="Arial"/>
                <w:color w:val="auto"/>
                <w:sz w:val="18"/>
                <w:szCs w:val="18"/>
              </w:rPr>
              <w:t>An academic hospital</w:t>
            </w:r>
          </w:p>
        </w:tc>
        <w:tc>
          <w:tcPr>
            <w:tcW w:w="1739" w:type="dxa"/>
            <w:noWrap/>
          </w:tcPr>
          <w:p w14:paraId="0301E355" w14:textId="77777777" w:rsidR="000A266B" w:rsidRPr="007319A1" w:rsidRDefault="000A266B" w:rsidP="008A7983">
            <w:pPr>
              <w:spacing w:after="0"/>
              <w:rPr>
                <w:rFonts w:ascii="Arial" w:hAnsi="Arial" w:cs="Arial"/>
                <w:sz w:val="18"/>
                <w:szCs w:val="18"/>
                <w:shd w:val="clear" w:color="auto" w:fill="FFFFFF"/>
              </w:rPr>
            </w:pPr>
            <w:r w:rsidRPr="007319A1">
              <w:rPr>
                <w:rFonts w:ascii="Arial" w:hAnsi="Arial" w:cs="Arial"/>
                <w:iCs/>
                <w:color w:val="000000"/>
                <w:sz w:val="18"/>
                <w:szCs w:val="18"/>
                <w:shd w:val="clear" w:color="auto" w:fill="FFFFFF"/>
              </w:rPr>
              <w:t>Use of</w:t>
            </w:r>
            <w:r w:rsidRPr="007319A1">
              <w:rPr>
                <w:rFonts w:ascii="Arial" w:hAnsi="Arial" w:cs="Arial"/>
                <w:i/>
                <w:iCs/>
                <w:color w:val="000000"/>
                <w:sz w:val="18"/>
                <w:szCs w:val="18"/>
                <w:shd w:val="clear" w:color="auto" w:fill="FFFFFF"/>
              </w:rPr>
              <w:t xml:space="preserve"> C. difficile</w:t>
            </w:r>
            <w:r w:rsidRPr="007319A1">
              <w:rPr>
                <w:rFonts w:ascii="Arial" w:hAnsi="Arial" w:cs="Arial"/>
                <w:color w:val="000000"/>
                <w:sz w:val="18"/>
                <w:szCs w:val="18"/>
                <w:shd w:val="clear" w:color="auto" w:fill="FFFFFF"/>
              </w:rPr>
              <w:t> testing decreased upon implementation from an average of 208.8 tests to 143.0 tests per 10,000 patient-days (</w:t>
            </w:r>
            <w:r w:rsidRPr="007319A1">
              <w:rPr>
                <w:rFonts w:ascii="Arial" w:hAnsi="Arial" w:cs="Arial"/>
                <w:iCs/>
                <w:color w:val="000000"/>
                <w:sz w:val="18"/>
                <w:szCs w:val="18"/>
                <w:shd w:val="clear" w:color="auto" w:fill="FFFFFF"/>
              </w:rPr>
              <w:t>p</w:t>
            </w:r>
            <w:r w:rsidRPr="007319A1">
              <w:rPr>
                <w:rFonts w:ascii="Arial" w:hAnsi="Arial" w:cs="Arial"/>
                <w:color w:val="000000"/>
                <w:sz w:val="18"/>
                <w:szCs w:val="18"/>
                <w:shd w:val="clear" w:color="auto" w:fill="FFFFFF"/>
              </w:rPr>
              <w:t xml:space="preserve">&lt;0.001). HO-CDI incidence rate decreased from an average of 13.0 cases to 9.7 cases </w:t>
            </w:r>
            <w:r w:rsidRPr="007319A1">
              <w:rPr>
                <w:rFonts w:ascii="Arial" w:hAnsi="Arial" w:cs="Arial"/>
                <w:color w:val="000000"/>
                <w:sz w:val="18"/>
                <w:szCs w:val="18"/>
                <w:shd w:val="clear" w:color="auto" w:fill="FFFFFF"/>
              </w:rPr>
              <w:lastRenderedPageBreak/>
              <w:t>per 10,000 patient-days (</w:t>
            </w:r>
            <w:r w:rsidRPr="007319A1">
              <w:rPr>
                <w:rFonts w:ascii="Arial" w:hAnsi="Arial" w:cs="Arial"/>
                <w:iCs/>
                <w:color w:val="000000"/>
                <w:sz w:val="18"/>
                <w:szCs w:val="18"/>
                <w:shd w:val="clear" w:color="auto" w:fill="FFFFFF"/>
              </w:rPr>
              <w:t>p=</w:t>
            </w:r>
            <w:r w:rsidRPr="007319A1">
              <w:rPr>
                <w:rFonts w:ascii="Arial" w:hAnsi="Arial" w:cs="Arial"/>
                <w:color w:val="000000"/>
                <w:sz w:val="18"/>
                <w:szCs w:val="18"/>
                <w:shd w:val="clear" w:color="auto" w:fill="FFFFFF"/>
              </w:rPr>
              <w:t>0.008).</w:t>
            </w:r>
          </w:p>
        </w:tc>
        <w:tc>
          <w:tcPr>
            <w:tcW w:w="1479" w:type="dxa"/>
            <w:noWrap/>
          </w:tcPr>
          <w:p w14:paraId="7A7ADD76"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lastRenderedPageBreak/>
              <w:t>Not provided</w:t>
            </w:r>
          </w:p>
        </w:tc>
        <w:tc>
          <w:tcPr>
            <w:tcW w:w="1999" w:type="dxa"/>
          </w:tcPr>
          <w:p w14:paraId="568EF0CE" w14:textId="77777777" w:rsidR="000A266B" w:rsidRPr="007319A1" w:rsidRDefault="000A266B" w:rsidP="008A7983">
            <w:pPr>
              <w:pStyle w:val="Default"/>
              <w:rPr>
                <w:rFonts w:ascii="Arial" w:hAnsi="Arial" w:cs="Arial"/>
                <w:color w:val="auto"/>
                <w:sz w:val="18"/>
                <w:szCs w:val="18"/>
              </w:rPr>
            </w:pPr>
            <w:r w:rsidRPr="007319A1">
              <w:rPr>
                <w:rFonts w:ascii="Arial" w:hAnsi="Arial" w:cs="Arial"/>
                <w:sz w:val="18"/>
                <w:szCs w:val="18"/>
                <w:shd w:val="clear" w:color="auto" w:fill="FFFFFF"/>
              </w:rPr>
              <w:t>Real-time electronic clinical data tracking is an effective tool for verification of </w:t>
            </w:r>
            <w:r w:rsidRPr="007319A1">
              <w:rPr>
                <w:rFonts w:ascii="Arial" w:hAnsi="Arial" w:cs="Arial"/>
                <w:i/>
                <w:iCs/>
                <w:sz w:val="18"/>
                <w:szCs w:val="18"/>
                <w:shd w:val="clear" w:color="auto" w:fill="FFFFFF"/>
              </w:rPr>
              <w:t>C. difficile</w:t>
            </w:r>
            <w:r w:rsidRPr="007319A1">
              <w:rPr>
                <w:rFonts w:ascii="Arial" w:hAnsi="Arial" w:cs="Arial"/>
                <w:sz w:val="18"/>
                <w:szCs w:val="18"/>
                <w:shd w:val="clear" w:color="auto" w:fill="FFFFFF"/>
              </w:rPr>
              <w:t xml:space="preserve"> clinical testing criteria and safe reduction of inflated HO-CDI rates. Oral vancomycin days of therapy decreased from an average of 13.8 days to 9.4 days per </w:t>
            </w:r>
            <w:r w:rsidRPr="007319A1">
              <w:rPr>
                <w:rFonts w:ascii="Arial" w:hAnsi="Arial" w:cs="Arial"/>
                <w:sz w:val="18"/>
                <w:szCs w:val="18"/>
                <w:shd w:val="clear" w:color="auto" w:fill="FFFFFF"/>
              </w:rPr>
              <w:lastRenderedPageBreak/>
              <w:t>1,000 patient-days (</w:t>
            </w:r>
            <w:r w:rsidRPr="007319A1">
              <w:rPr>
                <w:rFonts w:ascii="Arial" w:hAnsi="Arial" w:cs="Arial"/>
                <w:iCs/>
                <w:sz w:val="18"/>
                <w:szCs w:val="18"/>
                <w:shd w:val="clear" w:color="auto" w:fill="FFFFFF"/>
              </w:rPr>
              <w:t>p</w:t>
            </w:r>
            <w:r w:rsidRPr="007319A1">
              <w:rPr>
                <w:rFonts w:ascii="Arial" w:hAnsi="Arial" w:cs="Arial"/>
                <w:sz w:val="18"/>
                <w:szCs w:val="18"/>
                <w:shd w:val="clear" w:color="auto" w:fill="FFFFFF"/>
              </w:rPr>
              <w:t>=0.009). Clinical complication rates were not significantly different in patients, with 375 canceled orders, compared with 869 episodes with diarrhea but negative </w:t>
            </w:r>
            <w:r w:rsidRPr="007319A1">
              <w:rPr>
                <w:rFonts w:ascii="Arial" w:hAnsi="Arial" w:cs="Arial"/>
                <w:i/>
                <w:iCs/>
                <w:sz w:val="18"/>
                <w:szCs w:val="18"/>
                <w:shd w:val="clear" w:color="auto" w:fill="FFFFFF"/>
              </w:rPr>
              <w:t>C. difficile</w:t>
            </w:r>
            <w:r w:rsidRPr="007319A1">
              <w:rPr>
                <w:rFonts w:ascii="Arial" w:hAnsi="Arial" w:cs="Arial"/>
                <w:sz w:val="18"/>
                <w:szCs w:val="18"/>
                <w:shd w:val="clear" w:color="auto" w:fill="FFFFFF"/>
              </w:rPr>
              <w:t> results.</w:t>
            </w:r>
          </w:p>
        </w:tc>
        <w:tc>
          <w:tcPr>
            <w:tcW w:w="1045" w:type="dxa"/>
          </w:tcPr>
          <w:p w14:paraId="44B8DFD5" w14:textId="77777777" w:rsidR="000A266B" w:rsidRPr="007319A1" w:rsidRDefault="000A266B" w:rsidP="008A7983">
            <w:pPr>
              <w:spacing w:after="0"/>
              <w:rPr>
                <w:rFonts w:ascii="Arial" w:hAnsi="Arial" w:cs="Arial"/>
                <w:sz w:val="18"/>
                <w:szCs w:val="18"/>
                <w:shd w:val="clear" w:color="auto" w:fill="FFFFFF"/>
              </w:rPr>
            </w:pPr>
            <w:r w:rsidRPr="007319A1">
              <w:rPr>
                <w:rFonts w:ascii="Arial" w:hAnsi="Arial" w:cs="Arial"/>
                <w:sz w:val="18"/>
                <w:szCs w:val="18"/>
                <w:shd w:val="clear" w:color="auto" w:fill="FFFFFF"/>
              </w:rPr>
              <w:lastRenderedPageBreak/>
              <w:t>Low</w:t>
            </w:r>
          </w:p>
        </w:tc>
        <w:tc>
          <w:tcPr>
            <w:tcW w:w="1127" w:type="dxa"/>
            <w:noWrap/>
          </w:tcPr>
          <w:p w14:paraId="036FD5C9" w14:textId="77777777" w:rsidR="000A266B" w:rsidRPr="007319A1" w:rsidRDefault="000A266B" w:rsidP="008A7983">
            <w:pPr>
              <w:spacing w:after="0"/>
              <w:rPr>
                <w:rFonts w:ascii="Arial" w:hAnsi="Arial" w:cs="Arial"/>
                <w:sz w:val="18"/>
                <w:szCs w:val="18"/>
                <w:shd w:val="clear" w:color="auto" w:fill="FFFFFF"/>
              </w:rPr>
            </w:pPr>
            <w:r w:rsidRPr="007319A1">
              <w:rPr>
                <w:rFonts w:ascii="Arial" w:hAnsi="Arial" w:cs="Arial"/>
                <w:sz w:val="18"/>
                <w:szCs w:val="18"/>
                <w:shd w:val="clear" w:color="auto" w:fill="FFFFFF"/>
              </w:rPr>
              <w:t>None</w:t>
            </w:r>
          </w:p>
        </w:tc>
      </w:tr>
      <w:tr w:rsidR="000A266B" w:rsidRPr="007319A1" w14:paraId="55240A26" w14:textId="77777777" w:rsidTr="002E39BB">
        <w:trPr>
          <w:jc w:val="center"/>
        </w:trPr>
        <w:tc>
          <w:tcPr>
            <w:tcW w:w="1525" w:type="dxa"/>
            <w:noWrap/>
          </w:tcPr>
          <w:p w14:paraId="00FAF70F" w14:textId="77777777" w:rsidR="000A266B" w:rsidRPr="00856120" w:rsidRDefault="000A266B" w:rsidP="008A7983">
            <w:pPr>
              <w:spacing w:after="0"/>
              <w:rPr>
                <w:rFonts w:ascii="Arial" w:hAnsi="Arial" w:cs="Arial"/>
                <w:b/>
                <w:sz w:val="18"/>
                <w:szCs w:val="18"/>
                <w:vertAlign w:val="superscript"/>
              </w:rPr>
            </w:pPr>
            <w:r w:rsidRPr="00856120">
              <w:rPr>
                <w:rFonts w:ascii="Arial" w:hAnsi="Arial" w:cs="Arial"/>
                <w:b/>
                <w:sz w:val="18"/>
                <w:szCs w:val="18"/>
                <w:shd w:val="clear" w:color="auto" w:fill="FFFFFF"/>
              </w:rPr>
              <w:lastRenderedPageBreak/>
              <w:t>Wilcox, et al., 2012</w:t>
            </w:r>
            <w:r w:rsidRPr="00856120">
              <w:rPr>
                <w:rFonts w:ascii="Arial" w:hAnsi="Arial" w:cs="Arial"/>
                <w:b/>
                <w:sz w:val="18"/>
                <w:szCs w:val="18"/>
                <w:shd w:val="clear" w:color="auto" w:fill="FFFFFF"/>
                <w:vertAlign w:val="superscript"/>
              </w:rPr>
              <w:t>39</w:t>
            </w:r>
          </w:p>
        </w:tc>
        <w:tc>
          <w:tcPr>
            <w:tcW w:w="1406" w:type="dxa"/>
          </w:tcPr>
          <w:p w14:paraId="36E4998C" w14:textId="77777777" w:rsidR="000A266B" w:rsidRPr="007319A1" w:rsidRDefault="000A266B" w:rsidP="008A7983">
            <w:pPr>
              <w:pStyle w:val="Default"/>
              <w:rPr>
                <w:rFonts w:ascii="Arial" w:hAnsi="Arial" w:cs="Arial"/>
                <w:color w:val="auto"/>
                <w:sz w:val="18"/>
                <w:szCs w:val="18"/>
              </w:rPr>
            </w:pPr>
            <w:r w:rsidRPr="007319A1">
              <w:rPr>
                <w:rFonts w:ascii="Arial" w:hAnsi="Arial" w:cs="Arial"/>
                <w:color w:val="auto"/>
                <w:sz w:val="18"/>
                <w:szCs w:val="18"/>
              </w:rPr>
              <w:t xml:space="preserve">Enhanced surveillance in England using the </w:t>
            </w:r>
            <w:r w:rsidRPr="007319A1">
              <w:rPr>
                <w:rFonts w:ascii="Arial" w:hAnsi="Arial" w:cs="Arial"/>
                <w:i/>
                <w:color w:val="auto"/>
                <w:sz w:val="18"/>
                <w:szCs w:val="18"/>
              </w:rPr>
              <w:t>Clostridium difficile</w:t>
            </w:r>
            <w:r w:rsidRPr="007319A1">
              <w:rPr>
                <w:rFonts w:ascii="Arial" w:hAnsi="Arial" w:cs="Arial"/>
                <w:color w:val="auto"/>
                <w:sz w:val="18"/>
                <w:szCs w:val="18"/>
              </w:rPr>
              <w:t xml:space="preserve"> Ribotyping Network</w:t>
            </w:r>
          </w:p>
        </w:tc>
        <w:tc>
          <w:tcPr>
            <w:tcW w:w="1585" w:type="dxa"/>
          </w:tcPr>
          <w:p w14:paraId="7AE351F2"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shd w:val="clear" w:color="auto" w:fill="FFFFFF"/>
              </w:rPr>
              <w:t>Case study/system evaluation. Criteria used to assess the service include investigation of increases in the frequency of CDI cases (or high baseline rates) and increased severity, recurrence, complications, or mortality associated with CDI. A standardized request form for clinical and epidemiological data is used and is available via a web-based electronic requesting (and reporting) portal.</w:t>
            </w:r>
          </w:p>
        </w:tc>
        <w:tc>
          <w:tcPr>
            <w:tcW w:w="1045" w:type="dxa"/>
            <w:noWrap/>
          </w:tcPr>
          <w:p w14:paraId="7DCB9E28" w14:textId="77777777" w:rsidR="000A266B" w:rsidRPr="007319A1" w:rsidRDefault="000A266B" w:rsidP="008A7983">
            <w:pPr>
              <w:pStyle w:val="Default"/>
              <w:rPr>
                <w:rFonts w:ascii="Arial" w:hAnsi="Arial" w:cs="Arial"/>
                <w:color w:val="auto"/>
                <w:sz w:val="18"/>
                <w:szCs w:val="18"/>
              </w:rPr>
            </w:pPr>
            <w:r w:rsidRPr="007319A1">
              <w:rPr>
                <w:rFonts w:ascii="Arial" w:hAnsi="Arial" w:cs="Arial"/>
                <w:color w:val="auto"/>
                <w:sz w:val="18"/>
                <w:szCs w:val="18"/>
              </w:rPr>
              <w:t>Regional, UK</w:t>
            </w:r>
          </w:p>
        </w:tc>
        <w:tc>
          <w:tcPr>
            <w:tcW w:w="1739" w:type="dxa"/>
            <w:noWrap/>
          </w:tcPr>
          <w:p w14:paraId="077F5E72"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shd w:val="clear" w:color="auto" w:fill="FFFFFF"/>
              </w:rPr>
              <w:t xml:space="preserve">Overall in England, mortality decreased, as did CDI incidence. In the first 3 years (2007 to 2010), the CDRN service processed 12,603 fecal specimens for culture and ribotyping. The average proportion of patients in England with reported CDI from whom samples were sent for ribotyping over the whole analysis period (2007 to 2010) was 10.8%. The reasons cited by requestors for referral to CDRN did not change over this time: case clusters (46% to 55%); unexplained increase in CDI rate (12% to 13%); and increased severity of symptoms (10% to </w:t>
            </w:r>
            <w:r w:rsidRPr="007319A1">
              <w:rPr>
                <w:rFonts w:ascii="Arial" w:hAnsi="Arial" w:cs="Arial"/>
                <w:sz w:val="18"/>
                <w:szCs w:val="18"/>
                <w:shd w:val="clear" w:color="auto" w:fill="FFFFFF"/>
              </w:rPr>
              <w:lastRenderedPageBreak/>
              <w:t>13%).</w:t>
            </w:r>
          </w:p>
        </w:tc>
        <w:tc>
          <w:tcPr>
            <w:tcW w:w="1479" w:type="dxa"/>
            <w:noWrap/>
          </w:tcPr>
          <w:p w14:paraId="3C56DCE8"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rPr>
              <w:lastRenderedPageBreak/>
              <w:t>Not provided</w:t>
            </w:r>
          </w:p>
        </w:tc>
        <w:tc>
          <w:tcPr>
            <w:tcW w:w="1999" w:type="dxa"/>
          </w:tcPr>
          <w:p w14:paraId="6B659189" w14:textId="77777777" w:rsidR="000A266B" w:rsidRPr="007319A1" w:rsidRDefault="000A266B" w:rsidP="008A7983">
            <w:pPr>
              <w:pStyle w:val="Default"/>
              <w:rPr>
                <w:rFonts w:ascii="Arial" w:hAnsi="Arial" w:cs="Arial"/>
                <w:color w:val="auto"/>
                <w:sz w:val="18"/>
                <w:szCs w:val="18"/>
              </w:rPr>
            </w:pPr>
            <w:r w:rsidRPr="007319A1">
              <w:rPr>
                <w:rFonts w:ascii="Arial" w:hAnsi="Arial" w:cs="Arial"/>
                <w:color w:val="auto"/>
                <w:sz w:val="18"/>
                <w:szCs w:val="18"/>
              </w:rPr>
              <w:t xml:space="preserve">Access to CDRN ribotyping </w:t>
            </w:r>
            <w:r w:rsidRPr="007319A1">
              <w:rPr>
                <w:rFonts w:ascii="Arial" w:hAnsi="Arial" w:cs="Arial"/>
                <w:color w:val="auto"/>
                <w:sz w:val="18"/>
                <w:szCs w:val="18"/>
                <w:shd w:val="clear" w:color="auto" w:fill="FFFFFF"/>
              </w:rPr>
              <w:t>is limited to several regional microbiology laboratories in England, which aim to provide timely access to </w:t>
            </w:r>
            <w:r w:rsidRPr="007319A1">
              <w:rPr>
                <w:rStyle w:val="Emphasis"/>
                <w:rFonts w:ascii="Arial" w:hAnsi="Arial" w:cs="Arial"/>
                <w:color w:val="auto"/>
                <w:sz w:val="18"/>
                <w:szCs w:val="18"/>
                <w:bdr w:val="none" w:sz="0" w:space="0" w:color="auto" w:frame="1"/>
                <w:shd w:val="clear" w:color="auto" w:fill="FFFFFF"/>
              </w:rPr>
              <w:t>C. difficile</w:t>
            </w:r>
            <w:r w:rsidRPr="007319A1">
              <w:rPr>
                <w:rFonts w:ascii="Arial" w:hAnsi="Arial" w:cs="Arial"/>
                <w:color w:val="auto"/>
                <w:sz w:val="18"/>
                <w:szCs w:val="18"/>
                <w:shd w:val="clear" w:color="auto" w:fill="FFFFFF"/>
              </w:rPr>
              <w:t> culture and ribotyping according to standardized criteria for submission of fecal samples. The target turnaround time for delivery of ribotyping results, is &lt;2 weeks. There was a 61% reduction in reports of </w:t>
            </w:r>
            <w:r w:rsidRPr="007319A1">
              <w:rPr>
                <w:rStyle w:val="Emphasis"/>
                <w:rFonts w:ascii="Arial" w:hAnsi="Arial" w:cs="Arial"/>
                <w:color w:val="auto"/>
                <w:sz w:val="18"/>
                <w:szCs w:val="18"/>
                <w:bdr w:val="none" w:sz="0" w:space="0" w:color="auto" w:frame="1"/>
                <w:shd w:val="clear" w:color="auto" w:fill="FFFFFF"/>
              </w:rPr>
              <w:t>C. difficile</w:t>
            </w:r>
            <w:r w:rsidRPr="007319A1">
              <w:rPr>
                <w:rFonts w:ascii="Arial" w:hAnsi="Arial" w:cs="Arial"/>
                <w:color w:val="auto"/>
                <w:sz w:val="18"/>
                <w:szCs w:val="18"/>
                <w:shd w:val="clear" w:color="auto" w:fill="FFFFFF"/>
              </w:rPr>
              <w:t xml:space="preserve"> in England (36,095, 25,604, and 21,698 in 2008 to 2009, 2009 to 2010, and 2010 to 2011, respectively). The reduction was coincident with the control of the epidemic </w:t>
            </w:r>
            <w:r w:rsidRPr="007319A1">
              <w:rPr>
                <w:rStyle w:val="Emphasis"/>
                <w:rFonts w:ascii="Arial" w:hAnsi="Arial" w:cs="Arial"/>
                <w:color w:val="auto"/>
                <w:sz w:val="18"/>
                <w:szCs w:val="18"/>
                <w:bdr w:val="none" w:sz="0" w:space="0" w:color="auto" w:frame="1"/>
                <w:shd w:val="clear" w:color="auto" w:fill="FFFFFF"/>
              </w:rPr>
              <w:t>C. difficile</w:t>
            </w:r>
            <w:r w:rsidRPr="007319A1">
              <w:rPr>
                <w:rFonts w:ascii="Arial" w:hAnsi="Arial" w:cs="Arial"/>
                <w:color w:val="auto"/>
                <w:sz w:val="18"/>
                <w:szCs w:val="18"/>
                <w:shd w:val="clear" w:color="auto" w:fill="FFFFFF"/>
              </w:rPr>
              <w:t xml:space="preserve"> ribotype 027, which accounted for 55%, 36%, and 21% of samples submitted to CDRN in 2007 to 2008, 2008 to 2009, and 2009 </w:t>
            </w:r>
            <w:r w:rsidRPr="007319A1">
              <w:rPr>
                <w:rFonts w:ascii="Arial" w:hAnsi="Arial" w:cs="Arial"/>
                <w:color w:val="auto"/>
                <w:sz w:val="18"/>
                <w:szCs w:val="18"/>
                <w:shd w:val="clear" w:color="auto" w:fill="FFFFFF"/>
              </w:rPr>
              <w:lastRenderedPageBreak/>
              <w:t>to 2010, respectively. </w:t>
            </w:r>
          </w:p>
        </w:tc>
        <w:tc>
          <w:tcPr>
            <w:tcW w:w="1045" w:type="dxa"/>
          </w:tcPr>
          <w:p w14:paraId="328D2C22"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shd w:val="clear" w:color="auto" w:fill="FFFFFF"/>
              </w:rPr>
              <w:lastRenderedPageBreak/>
              <w:t>Low to moderate</w:t>
            </w:r>
          </w:p>
        </w:tc>
        <w:tc>
          <w:tcPr>
            <w:tcW w:w="1127" w:type="dxa"/>
            <w:noWrap/>
          </w:tcPr>
          <w:p w14:paraId="6CE2D576" w14:textId="77777777" w:rsidR="000A266B" w:rsidRPr="007319A1" w:rsidRDefault="000A266B" w:rsidP="008A7983">
            <w:pPr>
              <w:spacing w:after="0"/>
              <w:rPr>
                <w:rFonts w:ascii="Arial" w:hAnsi="Arial" w:cs="Arial"/>
                <w:sz w:val="18"/>
                <w:szCs w:val="18"/>
              </w:rPr>
            </w:pPr>
            <w:r w:rsidRPr="007319A1">
              <w:rPr>
                <w:rFonts w:ascii="Arial" w:hAnsi="Arial" w:cs="Arial"/>
                <w:sz w:val="18"/>
                <w:szCs w:val="18"/>
                <w:shd w:val="clear" w:color="auto" w:fill="FFFFFF"/>
              </w:rPr>
              <w:t xml:space="preserve">Responding to a national public health need, the Health Protection Agency created the CDRN for England, as part of an enhanced surveillance program for </w:t>
            </w:r>
            <w:r w:rsidRPr="007319A1">
              <w:rPr>
                <w:rStyle w:val="Emphasis"/>
                <w:rFonts w:ascii="Arial" w:hAnsi="Arial" w:cs="Arial"/>
                <w:sz w:val="18"/>
                <w:szCs w:val="18"/>
                <w:bdr w:val="none" w:sz="0" w:space="0" w:color="auto" w:frame="1"/>
                <w:shd w:val="clear" w:color="auto" w:fill="FFFFFF"/>
              </w:rPr>
              <w:t xml:space="preserve">C. difficile </w:t>
            </w:r>
            <w:r w:rsidRPr="007319A1">
              <w:rPr>
                <w:rFonts w:ascii="Arial" w:hAnsi="Arial" w:cs="Arial"/>
                <w:sz w:val="18"/>
                <w:szCs w:val="18"/>
                <w:shd w:val="clear" w:color="auto" w:fill="FFFFFF"/>
              </w:rPr>
              <w:t xml:space="preserve">in 2007. </w:t>
            </w:r>
          </w:p>
        </w:tc>
      </w:tr>
    </w:tbl>
    <w:p w14:paraId="5F95825B" w14:textId="08DC7427" w:rsidR="0036180D" w:rsidRDefault="0036180D" w:rsidP="00C13EF3">
      <w:pPr>
        <w:pStyle w:val="BodyText"/>
      </w:pPr>
    </w:p>
    <w:sectPr w:rsidR="0036180D" w:rsidSect="00775327">
      <w:headerReference w:type="even" r:id="rId9"/>
      <w:headerReference w:type="default" r:id="rId10"/>
      <w:footerReference w:type="even" r:id="rId11"/>
      <w:footerReference w:type="default" r:id="rId12"/>
      <w:headerReference w:type="first" r:id="rId13"/>
      <w:footerReference w:type="first" r:id="rId14"/>
      <w:footnotePr>
        <w:numFmt w:val="lowerLetter"/>
      </w:footnotePr>
      <w:pgSz w:w="15840" w:h="12240" w:orient="landscape" w:code="1"/>
      <w:pgMar w:top="1440" w:right="1440" w:bottom="1440" w:left="1440" w:header="432" w:footer="720" w:gutter="0"/>
      <w:pgNumType w:start="13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ED6C80" w16cid:durableId="21C954A1"/>
  <w16cid:commentId w16cid:paraId="60FCE373" w16cid:durableId="21C954FC"/>
  <w16cid:commentId w16cid:paraId="0A254CA1" w16cid:durableId="21C95677"/>
  <w16cid:commentId w16cid:paraId="09F5D31C" w16cid:durableId="21C956F7"/>
  <w16cid:commentId w16cid:paraId="6FFBD5C0" w16cid:durableId="21C95A51"/>
  <w16cid:commentId w16cid:paraId="2C262794" w16cid:durableId="21C95A8E"/>
  <w16cid:commentId w16cid:paraId="632E4D50" w16cid:durableId="21C95E19"/>
  <w16cid:commentId w16cid:paraId="13FFF0B5" w16cid:durableId="21C95E44"/>
  <w16cid:commentId w16cid:paraId="5DB64561" w16cid:durableId="21C95E82"/>
  <w16cid:commentId w16cid:paraId="5795F8A6" w16cid:durableId="21C96B2A"/>
  <w16cid:commentId w16cid:paraId="672AF2ED" w16cid:durableId="21C96BB7"/>
  <w16cid:commentId w16cid:paraId="77B7E2E3" w16cid:durableId="21C96BE7"/>
  <w16cid:commentId w16cid:paraId="118C4AD1" w16cid:durableId="21C6D796"/>
  <w16cid:commentId w16cid:paraId="0B9CA40F" w16cid:durableId="21C96CC3"/>
  <w16cid:commentId w16cid:paraId="56A84D32" w16cid:durableId="21C96E47"/>
  <w16cid:commentId w16cid:paraId="382B5C52" w16cid:durableId="21C6D797"/>
  <w16cid:commentId w16cid:paraId="1DAC01E6" w16cid:durableId="21C970F4"/>
  <w16cid:commentId w16cid:paraId="1C00FF1E" w16cid:durableId="21C97131"/>
  <w16cid:commentId w16cid:paraId="5238B74A" w16cid:durableId="21C97185"/>
  <w16cid:commentId w16cid:paraId="17169820" w16cid:durableId="21C972DC"/>
  <w16cid:commentId w16cid:paraId="180C5FF3" w16cid:durableId="21C973E1"/>
  <w16cid:commentId w16cid:paraId="086A112B" w16cid:durableId="21C97410"/>
  <w16cid:commentId w16cid:paraId="3B139BAD" w16cid:durableId="21C97430"/>
  <w16cid:commentId w16cid:paraId="5540EB59" w16cid:durableId="21C9747B"/>
  <w16cid:commentId w16cid:paraId="0B7F56CC" w16cid:durableId="21C98E81"/>
  <w16cid:commentId w16cid:paraId="58B3EBBE" w16cid:durableId="21C98ECE"/>
  <w16cid:commentId w16cid:paraId="3308EE0C" w16cid:durableId="21C98F6C"/>
  <w16cid:commentId w16cid:paraId="1C37BF1F" w16cid:durableId="21C99181"/>
  <w16cid:commentId w16cid:paraId="3CA697F6" w16cid:durableId="21C99360"/>
  <w16cid:commentId w16cid:paraId="3DFC6074" w16cid:durableId="21C9939D"/>
  <w16cid:commentId w16cid:paraId="3FAF1C4C" w16cid:durableId="21C99433"/>
  <w16cid:commentId w16cid:paraId="61E06676" w16cid:durableId="21C994DF"/>
  <w16cid:commentId w16cid:paraId="6FFDA0AC" w16cid:durableId="21C995C4"/>
  <w16cid:commentId w16cid:paraId="4BECA8E3" w16cid:durableId="21C995E3"/>
  <w16cid:commentId w16cid:paraId="7877E929" w16cid:durableId="21C99654"/>
  <w16cid:commentId w16cid:paraId="2E7AA4C4" w16cid:durableId="21C9978D"/>
  <w16cid:commentId w16cid:paraId="27BCCC31" w16cid:durableId="21C997E8"/>
  <w16cid:commentId w16cid:paraId="19D19752" w16cid:durableId="21C99892"/>
  <w16cid:commentId w16cid:paraId="3E255A61" w16cid:durableId="21C99969"/>
  <w16cid:commentId w16cid:paraId="730FAD73" w16cid:durableId="21C999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1D904" w14:textId="77777777" w:rsidR="00E70F33" w:rsidRDefault="00E70F33" w:rsidP="00DC17F5">
      <w:r>
        <w:separator/>
      </w:r>
    </w:p>
  </w:endnote>
  <w:endnote w:type="continuationSeparator" w:id="0">
    <w:p w14:paraId="5F596CB7" w14:textId="77777777" w:rsidR="00E70F33" w:rsidRDefault="00E70F33" w:rsidP="00DC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Gotham">
    <w:altName w:val="Gotha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Helvetica">
    <w:panose1 w:val="020B0504020202020204"/>
    <w:charset w:val="00"/>
    <w:family w:val="modern"/>
    <w:notTrueType/>
    <w:pitch w:val="variable"/>
    <w:sig w:usb0="800000AF" w:usb1="4000004A" w:usb2="00000000" w:usb3="00000000" w:csb0="0000011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2677E" w14:textId="77777777" w:rsidR="0008060F" w:rsidRDefault="000806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046D7" w14:textId="38263A5F" w:rsidR="003A5562" w:rsidRDefault="003A5562" w:rsidP="0004788C">
    <w:pPr>
      <w:pStyle w:val="Footer"/>
      <w:tabs>
        <w:tab w:val="clear" w:pos="4680"/>
        <w:tab w:val="clear" w:pos="9360"/>
        <w:tab w:val="right" w:pos="12960"/>
      </w:tabs>
    </w:pPr>
    <w:r>
      <w:t xml:space="preserve">Appendix </w:t>
    </w:r>
    <w:r w:rsidR="0008060F">
      <w:t>B</w:t>
    </w:r>
    <w:r>
      <w:tab/>
    </w:r>
    <w:r w:rsidR="0073399F">
      <w:t>B</w:t>
    </w:r>
    <w:r>
      <w:t>-</w:t>
    </w:r>
    <w:r>
      <w:fldChar w:fldCharType="begin"/>
    </w:r>
    <w:r>
      <w:instrText xml:space="preserve"> PAGE   \* MERGEFORMAT </w:instrText>
    </w:r>
    <w:r>
      <w:fldChar w:fldCharType="separate"/>
    </w:r>
    <w:r w:rsidR="00775327">
      <w:rPr>
        <w:noProof/>
      </w:rPr>
      <w:t>144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0E61D" w14:textId="77777777" w:rsidR="0008060F" w:rsidRDefault="000806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C91B5F" w14:textId="77777777" w:rsidR="00E70F33" w:rsidRDefault="00E70F33" w:rsidP="00986558">
      <w:pPr>
        <w:spacing w:after="0"/>
      </w:pPr>
      <w:r>
        <w:separator/>
      </w:r>
    </w:p>
  </w:footnote>
  <w:footnote w:type="continuationSeparator" w:id="0">
    <w:p w14:paraId="1B12F379" w14:textId="77777777" w:rsidR="00E70F33" w:rsidRDefault="00E70F33" w:rsidP="00DC1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47324" w14:textId="77777777" w:rsidR="0008060F" w:rsidRDefault="000806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60BD1" w14:textId="77777777" w:rsidR="0008060F" w:rsidRDefault="000806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EC359" w14:textId="77777777" w:rsidR="0008060F" w:rsidRDefault="000806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350260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AE67F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ABA29D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A8805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56AC893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316CEA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4439E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86BC1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F6E0B3C"/>
    <w:lvl w:ilvl="0">
      <w:start w:val="1"/>
      <w:numFmt w:val="decimal"/>
      <w:pStyle w:val="ListNumber"/>
      <w:lvlText w:val="%1."/>
      <w:lvlJc w:val="left"/>
      <w:pPr>
        <w:tabs>
          <w:tab w:val="num" w:pos="360"/>
        </w:tabs>
        <w:ind w:left="360" w:hanging="360"/>
      </w:pPr>
    </w:lvl>
  </w:abstractNum>
  <w:abstractNum w:abstractNumId="9">
    <w:nsid w:val="FFFFFF89"/>
    <w:multiLevelType w:val="singleLevel"/>
    <w:tmpl w:val="5E52E53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057A7"/>
    <w:multiLevelType w:val="hybridMultilevel"/>
    <w:tmpl w:val="439A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5435BC"/>
    <w:multiLevelType w:val="hybridMultilevel"/>
    <w:tmpl w:val="4074000C"/>
    <w:lvl w:ilvl="0" w:tplc="88B2BD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F0F54A5"/>
    <w:multiLevelType w:val="hybridMultilevel"/>
    <w:tmpl w:val="6E201BDA"/>
    <w:lvl w:ilvl="0" w:tplc="07102F2C">
      <w:start w:val="1"/>
      <w:numFmt w:val="bullet"/>
      <w:lvlText w:val=""/>
      <w:lvlJc w:val="left"/>
      <w:pPr>
        <w:ind w:left="360" w:hanging="360"/>
      </w:pPr>
      <w:rPr>
        <w:rFonts w:ascii="Symbol" w:hAnsi="Symbol" w:hint="default"/>
      </w:rPr>
    </w:lvl>
    <w:lvl w:ilvl="1" w:tplc="F6CA6922">
      <w:start w:val="1"/>
      <w:numFmt w:val="bullet"/>
      <w:lvlText w:val="o"/>
      <w:lvlJc w:val="left"/>
      <w:pPr>
        <w:ind w:left="1080" w:hanging="360"/>
      </w:pPr>
      <w:rPr>
        <w:rFonts w:ascii="Courier New" w:hAnsi="Courier New" w:cs="Times New Roman" w:hint="default"/>
      </w:rPr>
    </w:lvl>
    <w:lvl w:ilvl="2" w:tplc="B2143BAA">
      <w:start w:val="1"/>
      <w:numFmt w:val="bullet"/>
      <w:lvlText w:val=""/>
      <w:lvlJc w:val="left"/>
      <w:pPr>
        <w:ind w:left="1800" w:hanging="360"/>
      </w:pPr>
      <w:rPr>
        <w:rFonts w:ascii="Wingdings" w:hAnsi="Wingdings" w:hint="default"/>
      </w:rPr>
    </w:lvl>
    <w:lvl w:ilvl="3" w:tplc="685CFB5C">
      <w:start w:val="1"/>
      <w:numFmt w:val="bullet"/>
      <w:lvlText w:val=""/>
      <w:lvlJc w:val="left"/>
      <w:pPr>
        <w:ind w:left="2520" w:hanging="360"/>
      </w:pPr>
      <w:rPr>
        <w:rFonts w:ascii="Symbol" w:hAnsi="Symbol" w:hint="default"/>
      </w:rPr>
    </w:lvl>
    <w:lvl w:ilvl="4" w:tplc="7DC0C2F2">
      <w:start w:val="1"/>
      <w:numFmt w:val="bullet"/>
      <w:lvlText w:val="o"/>
      <w:lvlJc w:val="left"/>
      <w:pPr>
        <w:ind w:left="3240" w:hanging="360"/>
      </w:pPr>
      <w:rPr>
        <w:rFonts w:ascii="Courier New" w:hAnsi="Courier New" w:cs="Times New Roman" w:hint="default"/>
      </w:rPr>
    </w:lvl>
    <w:lvl w:ilvl="5" w:tplc="74BCC60A">
      <w:start w:val="1"/>
      <w:numFmt w:val="bullet"/>
      <w:lvlText w:val=""/>
      <w:lvlJc w:val="left"/>
      <w:pPr>
        <w:ind w:left="3960" w:hanging="360"/>
      </w:pPr>
      <w:rPr>
        <w:rFonts w:ascii="Wingdings" w:hAnsi="Wingdings" w:hint="default"/>
      </w:rPr>
    </w:lvl>
    <w:lvl w:ilvl="6" w:tplc="08085C6C">
      <w:start w:val="1"/>
      <w:numFmt w:val="bullet"/>
      <w:lvlText w:val=""/>
      <w:lvlJc w:val="left"/>
      <w:pPr>
        <w:ind w:left="4680" w:hanging="360"/>
      </w:pPr>
      <w:rPr>
        <w:rFonts w:ascii="Symbol" w:hAnsi="Symbol" w:hint="default"/>
      </w:rPr>
    </w:lvl>
    <w:lvl w:ilvl="7" w:tplc="F042CF68">
      <w:start w:val="1"/>
      <w:numFmt w:val="bullet"/>
      <w:lvlText w:val="o"/>
      <w:lvlJc w:val="left"/>
      <w:pPr>
        <w:ind w:left="5400" w:hanging="360"/>
      </w:pPr>
      <w:rPr>
        <w:rFonts w:ascii="Courier New" w:hAnsi="Courier New" w:cs="Times New Roman" w:hint="default"/>
      </w:rPr>
    </w:lvl>
    <w:lvl w:ilvl="8" w:tplc="5EB49858">
      <w:start w:val="1"/>
      <w:numFmt w:val="bullet"/>
      <w:lvlText w:val=""/>
      <w:lvlJc w:val="left"/>
      <w:pPr>
        <w:ind w:left="6120" w:hanging="360"/>
      </w:pPr>
      <w:rPr>
        <w:rFonts w:ascii="Wingdings" w:hAnsi="Wingdings" w:hint="default"/>
      </w:rPr>
    </w:lvl>
  </w:abstractNum>
  <w:abstractNum w:abstractNumId="13">
    <w:nsid w:val="126B4230"/>
    <w:multiLevelType w:val="multilevel"/>
    <w:tmpl w:val="B492EE4E"/>
    <w:lvl w:ilvl="0">
      <w:start w:val="1"/>
      <w:numFmt w:val="bullet"/>
      <w:pStyle w:val="TableBullets"/>
      <w:lvlText w:val=""/>
      <w:lvlJc w:val="left"/>
      <w:pPr>
        <w:ind w:left="720" w:hanging="720"/>
      </w:pPr>
      <w:rPr>
        <w:rFonts w:ascii="Symbol" w:hAnsi="Symbol" w:hint="default"/>
        <w:color w:val="DA291C"/>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13B536BB"/>
    <w:multiLevelType w:val="hybridMultilevel"/>
    <w:tmpl w:val="7EC8213E"/>
    <w:lvl w:ilvl="0" w:tplc="AC3E37D0">
      <w:start w:val="1"/>
      <w:numFmt w:val="bullet"/>
      <w:pStyle w:val="Call-OutBoxBullet"/>
      <w:lvlText w:val=""/>
      <w:lvlJc w:val="left"/>
      <w:pPr>
        <w:ind w:left="360" w:hanging="360"/>
      </w:pPr>
      <w:rPr>
        <w:rFonts w:ascii="Symbol" w:hAnsi="Symbol" w:hint="default"/>
        <w:color w:val="000000" w:themeColor="text1"/>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4F403E"/>
    <w:multiLevelType w:val="hybridMultilevel"/>
    <w:tmpl w:val="83FAADD2"/>
    <w:lvl w:ilvl="0" w:tplc="463A9E64">
      <w:start w:val="1"/>
      <w:numFmt w:val="decimal"/>
      <w:lvlText w:val="%1."/>
      <w:lvlJc w:val="left"/>
      <w:pPr>
        <w:ind w:left="720" w:hanging="360"/>
      </w:pPr>
      <w:rPr>
        <w:rFonts w:hint="default"/>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131A09"/>
    <w:multiLevelType w:val="multilevel"/>
    <w:tmpl w:val="D5469D5E"/>
    <w:lvl w:ilvl="0">
      <w:start w:val="1"/>
      <w:numFmt w:val="decimal"/>
      <w:pStyle w:val="NumberedQuestion"/>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Roman"/>
      <w:lvlText w:val="%1.%2.%3."/>
      <w:lvlJc w:val="left"/>
      <w:pPr>
        <w:tabs>
          <w:tab w:val="num" w:pos="216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16922059"/>
    <w:multiLevelType w:val="hybridMultilevel"/>
    <w:tmpl w:val="4F50133E"/>
    <w:lvl w:ilvl="0" w:tplc="BD20F1D8">
      <w:start w:val="1"/>
      <w:numFmt w:val="bullet"/>
      <w:lvlText w:val=""/>
      <w:lvlJc w:val="left"/>
      <w:pPr>
        <w:ind w:left="720" w:hanging="360"/>
      </w:pPr>
      <w:rPr>
        <w:rFonts w:ascii="Symbol" w:hAnsi="Symbol" w:hint="default"/>
        <w:color w:val="000000" w:themeColor="text1"/>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580AC4"/>
    <w:multiLevelType w:val="hybridMultilevel"/>
    <w:tmpl w:val="B800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04709C"/>
    <w:multiLevelType w:val="hybridMultilevel"/>
    <w:tmpl w:val="D006EC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1EEE4CF6"/>
    <w:multiLevelType w:val="hybridMultilevel"/>
    <w:tmpl w:val="5CD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22">
    <w:nsid w:val="285D1F83"/>
    <w:multiLevelType w:val="multilevel"/>
    <w:tmpl w:val="11543FB8"/>
    <w:lvl w:ilvl="0">
      <w:start w:val="1"/>
      <w:numFmt w:val="decimal"/>
      <w:pStyle w:val="Heading1"/>
      <w:lvlText w:val="%1."/>
      <w:lvlJc w:val="left"/>
      <w:pPr>
        <w:tabs>
          <w:tab w:val="num" w:pos="864"/>
        </w:tabs>
        <w:ind w:left="864" w:hanging="864"/>
      </w:pPr>
      <w:rPr>
        <w:rFonts w:hint="default"/>
      </w:rPr>
    </w:lvl>
    <w:lvl w:ilvl="1">
      <w:start w:val="1"/>
      <w:numFmt w:val="decimal"/>
      <w:pStyle w:val="Heading2"/>
      <w:lvlText w:val="%1.%2"/>
      <w:lvlJc w:val="left"/>
      <w:pPr>
        <w:tabs>
          <w:tab w:val="num" w:pos="864"/>
        </w:tabs>
        <w:ind w:left="864" w:hanging="864"/>
      </w:pPr>
      <w:rPr>
        <w:rFonts w:hint="default"/>
      </w:rPr>
    </w:lvl>
    <w:lvl w:ilvl="2">
      <w:start w:val="1"/>
      <w:numFmt w:val="decimal"/>
      <w:pStyle w:val="Heading3"/>
      <w:lvlText w:val="%1.%2.%3"/>
      <w:lvlJc w:val="left"/>
      <w:pPr>
        <w:tabs>
          <w:tab w:val="num" w:pos="864"/>
        </w:tabs>
        <w:ind w:left="864" w:hanging="864"/>
      </w:pPr>
      <w:rPr>
        <w:rFonts w:hint="default"/>
      </w:rPr>
    </w:lvl>
    <w:lvl w:ilvl="3">
      <w:start w:val="1"/>
      <w:numFmt w:val="decimal"/>
      <w:lvlText w:val="%1.%2.%3.%4"/>
      <w:lvlJc w:val="left"/>
      <w:pPr>
        <w:tabs>
          <w:tab w:val="num" w:pos="1008"/>
        </w:tabs>
        <w:ind w:left="1008" w:hanging="1008"/>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3">
    <w:nsid w:val="298D3D2E"/>
    <w:multiLevelType w:val="hybridMultilevel"/>
    <w:tmpl w:val="AF38A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2B163F"/>
    <w:multiLevelType w:val="hybridMultilevel"/>
    <w:tmpl w:val="51D0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39768A"/>
    <w:multiLevelType w:val="multilevel"/>
    <w:tmpl w:val="3E4A00EC"/>
    <w:lvl w:ilvl="0">
      <w:start w:val="2"/>
      <w:numFmt w:val="decimal"/>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2214"/>
        </w:tabs>
        <w:ind w:left="2214" w:hanging="864"/>
      </w:pPr>
      <w:rPr>
        <w:rFonts w:hint="default"/>
      </w:rPr>
    </w:lvl>
    <w:lvl w:ilvl="3">
      <w:start w:val="1"/>
      <w:numFmt w:val="decimal"/>
      <w:lvlText w:val="%1.%2.%3.%4"/>
      <w:lvlJc w:val="left"/>
      <w:pPr>
        <w:tabs>
          <w:tab w:val="num" w:pos="864"/>
        </w:tabs>
        <w:ind w:left="864" w:hanging="86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2F051D52"/>
    <w:multiLevelType w:val="hybridMultilevel"/>
    <w:tmpl w:val="131E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F1F6E57"/>
    <w:multiLevelType w:val="hybridMultilevel"/>
    <w:tmpl w:val="BEE4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1181103"/>
    <w:multiLevelType w:val="hybridMultilevel"/>
    <w:tmpl w:val="918C1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7F25CB"/>
    <w:multiLevelType w:val="hybridMultilevel"/>
    <w:tmpl w:val="2776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5071BAF"/>
    <w:multiLevelType w:val="hybridMultilevel"/>
    <w:tmpl w:val="439A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763C1E"/>
    <w:multiLevelType w:val="hybridMultilevel"/>
    <w:tmpl w:val="1F766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5AD62A3"/>
    <w:multiLevelType w:val="hybridMultilevel"/>
    <w:tmpl w:val="A186051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6477BCF"/>
    <w:multiLevelType w:val="hybridMultilevel"/>
    <w:tmpl w:val="0324E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7532F03"/>
    <w:multiLevelType w:val="hybridMultilevel"/>
    <w:tmpl w:val="8A8E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BA26354"/>
    <w:multiLevelType w:val="hybridMultilevel"/>
    <w:tmpl w:val="9FD05A36"/>
    <w:lvl w:ilvl="0" w:tplc="463A9E64">
      <w:start w:val="1"/>
      <w:numFmt w:val="decimal"/>
      <w:lvlText w:val="%1."/>
      <w:lvlJc w:val="left"/>
      <w:pPr>
        <w:ind w:left="640" w:hanging="590"/>
      </w:pPr>
      <w:rPr>
        <w:rFonts w:hint="default"/>
        <w:color w:val="auto"/>
        <w:sz w:val="20"/>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6">
    <w:nsid w:val="3DB57D69"/>
    <w:multiLevelType w:val="multilevel"/>
    <w:tmpl w:val="8E0613B6"/>
    <w:lvl w:ilvl="0">
      <w:start w:val="1"/>
      <w:numFmt w:val="bullet"/>
      <w:pStyle w:val="ExhibitBullets"/>
      <w:lvlText w:val=""/>
      <w:lvlJc w:val="left"/>
      <w:pPr>
        <w:ind w:left="360" w:hanging="360"/>
      </w:pPr>
      <w:rPr>
        <w:rFonts w:ascii="Symbol" w:hAnsi="Symbol" w:hint="default"/>
      </w:rPr>
    </w:lvl>
    <w:lvl w:ilvl="1">
      <w:start w:val="1"/>
      <w:numFmt w:val="bullet"/>
      <w:pStyle w:val="ExhibitBullets2"/>
      <w:lvlText w:val="-"/>
      <w:lvlJc w:val="left"/>
      <w:pPr>
        <w:tabs>
          <w:tab w:val="num" w:pos="432"/>
        </w:tabs>
        <w:ind w:left="432" w:hanging="216"/>
      </w:pPr>
      <w:rPr>
        <w:rFonts w:ascii="Calibri" w:hAnsi="Calibri"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3F613B2F"/>
    <w:multiLevelType w:val="hybridMultilevel"/>
    <w:tmpl w:val="91981D7A"/>
    <w:lvl w:ilvl="0" w:tplc="3E8A967E">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3FF31602"/>
    <w:multiLevelType w:val="multilevel"/>
    <w:tmpl w:val="F0B6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2881F11"/>
    <w:multiLevelType w:val="hybridMultilevel"/>
    <w:tmpl w:val="9BA4540E"/>
    <w:lvl w:ilvl="0" w:tplc="2D7665AE">
      <w:start w:val="1"/>
      <w:numFmt w:val="bullet"/>
      <w:pStyle w:val="Resume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433752AA"/>
    <w:multiLevelType w:val="hybridMultilevel"/>
    <w:tmpl w:val="2B2EE7BC"/>
    <w:lvl w:ilvl="0" w:tplc="EB5CAA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nsid w:val="4A160541"/>
    <w:multiLevelType w:val="hybridMultilevel"/>
    <w:tmpl w:val="A2D6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C15193F"/>
    <w:multiLevelType w:val="hybridMultilevel"/>
    <w:tmpl w:val="31FAD39E"/>
    <w:lvl w:ilvl="0" w:tplc="ECCE5720">
      <w:start w:val="1"/>
      <w:numFmt w:val="bullet"/>
      <w:pStyle w:val="Table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4CA34CE9"/>
    <w:multiLevelType w:val="hybridMultilevel"/>
    <w:tmpl w:val="9690A91C"/>
    <w:lvl w:ilvl="0" w:tplc="BD20F1D8">
      <w:start w:val="1"/>
      <w:numFmt w:val="bullet"/>
      <w:lvlText w:val=""/>
      <w:lvlJc w:val="left"/>
      <w:pPr>
        <w:ind w:left="720" w:hanging="360"/>
      </w:pPr>
      <w:rPr>
        <w:rFonts w:ascii="Symbol" w:hAnsi="Symbol" w:hint="default"/>
        <w:color w:val="000000" w:themeColor="text1"/>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21A6804"/>
    <w:multiLevelType w:val="hybridMultilevel"/>
    <w:tmpl w:val="32CE5C7C"/>
    <w:lvl w:ilvl="0" w:tplc="8CC0227C">
      <w:start w:val="1"/>
      <w:numFmt w:val="decimal"/>
      <w:lvlText w:val="%1."/>
      <w:lvlJc w:val="left"/>
      <w:pPr>
        <w:ind w:left="720" w:hanging="360"/>
      </w:pPr>
      <w:rPr>
        <w:rFonts w:ascii="Calibri" w:eastAsia="Times New Roman" w:hAnsi="Calibri" w:cs="Times New Roman"/>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2C50CD2"/>
    <w:multiLevelType w:val="hybridMultilevel"/>
    <w:tmpl w:val="2B583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DE4405C"/>
    <w:multiLevelType w:val="hybridMultilevel"/>
    <w:tmpl w:val="2522E9DA"/>
    <w:lvl w:ilvl="0" w:tplc="098C840E">
      <w:start w:val="1"/>
      <w:numFmt w:val="bullet"/>
      <w:pStyle w:val="FrontPageCallOutBullet"/>
      <w:lvlText w:val=""/>
      <w:lvlJc w:val="left"/>
      <w:pPr>
        <w:ind w:left="720" w:hanging="360"/>
      </w:pPr>
      <w:rPr>
        <w:rFonts w:ascii="Symbol" w:hAnsi="Symbol" w:hint="default"/>
        <w:color w:val="48A9C5" w:themeColor="accent1"/>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5EDC6B48"/>
    <w:multiLevelType w:val="hybridMultilevel"/>
    <w:tmpl w:val="EAE0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F231826"/>
    <w:multiLevelType w:val="hybridMultilevel"/>
    <w:tmpl w:val="4418E04E"/>
    <w:lvl w:ilvl="0" w:tplc="EB5CAA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nsid w:val="625637FA"/>
    <w:multiLevelType w:val="hybridMultilevel"/>
    <w:tmpl w:val="8424D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3CD053F"/>
    <w:multiLevelType w:val="hybridMultilevel"/>
    <w:tmpl w:val="B4FEFC82"/>
    <w:lvl w:ilvl="0" w:tplc="01D23C04">
      <w:start w:val="1"/>
      <w:numFmt w:val="decimal"/>
      <w:lvlText w:val="%1."/>
      <w:lvlJc w:val="left"/>
      <w:pPr>
        <w:ind w:left="360" w:hanging="360"/>
      </w:pPr>
      <w:rPr>
        <w:rFonts w:ascii="Arial" w:hAnsi="Arial" w:cs="Times New Roman" w:hint="default"/>
        <w:color w:val="000000" w:themeColor="text1"/>
        <w:spacing w:val="-3"/>
        <w:w w:val="99"/>
        <w:sz w:val="18"/>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6AA933F8"/>
    <w:multiLevelType w:val="hybridMultilevel"/>
    <w:tmpl w:val="695EC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C4B3639"/>
    <w:multiLevelType w:val="hybridMultilevel"/>
    <w:tmpl w:val="B90462EE"/>
    <w:lvl w:ilvl="0" w:tplc="88B2BD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6F613DEF"/>
    <w:multiLevelType w:val="hybridMultilevel"/>
    <w:tmpl w:val="8144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F88171A"/>
    <w:multiLevelType w:val="hybridMultilevel"/>
    <w:tmpl w:val="230A82BA"/>
    <w:lvl w:ilvl="0" w:tplc="C15A4CBE">
      <w:start w:val="1"/>
      <w:numFmt w:val="bullet"/>
      <w:pStyle w:val="ExhibitBullet"/>
      <w:lvlText w:val=""/>
      <w:lvlJc w:val="left"/>
      <w:pPr>
        <w:ind w:left="360" w:hanging="360"/>
      </w:pPr>
      <w:rPr>
        <w:rFonts w:ascii="Symbol" w:hAnsi="Symbol" w:hint="default"/>
        <w:color w:val="C2113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71701A89"/>
    <w:multiLevelType w:val="hybridMultilevel"/>
    <w:tmpl w:val="63D8AA3C"/>
    <w:lvl w:ilvl="0" w:tplc="2B5E383A">
      <w:start w:val="1"/>
      <w:numFmt w:val="bullet"/>
      <w:pStyle w:val="PPBullet"/>
      <w:lvlText w:val="·"/>
      <w:lvlJc w:val="left"/>
      <w:pPr>
        <w:ind w:left="360" w:hanging="360"/>
      </w:pPr>
      <w:rPr>
        <w:rFonts w:ascii="Symbol" w:hAnsi="Symbol" w:hint="default"/>
        <w:color w:val="48A9C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57">
    <w:nsid w:val="73067291"/>
    <w:multiLevelType w:val="hybridMultilevel"/>
    <w:tmpl w:val="71706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77193A40"/>
    <w:multiLevelType w:val="hybridMultilevel"/>
    <w:tmpl w:val="C54C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777680A"/>
    <w:multiLevelType w:val="multilevel"/>
    <w:tmpl w:val="47BE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81E76E5"/>
    <w:multiLevelType w:val="multilevel"/>
    <w:tmpl w:val="7DE0686E"/>
    <w:lvl w:ilvl="0">
      <w:start w:val="1"/>
      <w:numFmt w:val="decimal"/>
      <w:lvlText w:val="%1"/>
      <w:lvlJc w:val="left"/>
      <w:pPr>
        <w:ind w:left="375" w:hanging="375"/>
      </w:pPr>
      <w:rPr>
        <w:rFonts w:hint="default"/>
      </w:rPr>
    </w:lvl>
    <w:lvl w:ilvl="1">
      <w:start w:val="1"/>
      <w:numFmt w:val="decimal"/>
      <w:lvlText w:val="%1.%2."/>
      <w:lvlJc w:val="left"/>
      <w:pPr>
        <w:tabs>
          <w:tab w:val="num" w:pos="1008"/>
        </w:tabs>
        <w:ind w:left="1008" w:hanging="1008"/>
      </w:pPr>
      <w:rPr>
        <w:rFonts w:hint="default"/>
      </w:rPr>
    </w:lvl>
    <w:lvl w:ilvl="2">
      <w:start w:val="1"/>
      <w:numFmt w:val="decimal"/>
      <w:lvlText w:val="%1.%2.%3"/>
      <w:lvlJc w:val="left"/>
      <w:pPr>
        <w:tabs>
          <w:tab w:val="num" w:pos="1008"/>
        </w:tabs>
        <w:ind w:left="1008" w:hanging="1008"/>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78A52FA2"/>
    <w:multiLevelType w:val="hybridMultilevel"/>
    <w:tmpl w:val="0A90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AD63DA6"/>
    <w:multiLevelType w:val="singleLevel"/>
    <w:tmpl w:val="C92C2EF8"/>
    <w:lvl w:ilvl="0">
      <w:start w:val="1"/>
      <w:numFmt w:val="bullet"/>
      <w:pStyle w:val="Bullets"/>
      <w:lvlText w:val=""/>
      <w:lvlJc w:val="left"/>
      <w:pPr>
        <w:ind w:left="360" w:hanging="360"/>
      </w:pPr>
      <w:rPr>
        <w:rFonts w:ascii="Symbol" w:hAnsi="Symbol" w:hint="default"/>
        <w:color w:val="000000" w:themeColor="text1"/>
        <w:sz w:val="22"/>
        <w:szCs w:val="24"/>
      </w:rPr>
    </w:lvl>
  </w:abstractNum>
  <w:abstractNum w:abstractNumId="63">
    <w:nsid w:val="7FCF753D"/>
    <w:multiLevelType w:val="hybridMultilevel"/>
    <w:tmpl w:val="37225A8E"/>
    <w:lvl w:ilvl="0" w:tplc="5122E43C">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56"/>
  </w:num>
  <w:num w:numId="3">
    <w:abstractNumId w:val="63"/>
  </w:num>
  <w:num w:numId="4">
    <w:abstractNumId w:val="13"/>
  </w:num>
  <w:num w:numId="5">
    <w:abstractNumId w:val="55"/>
  </w:num>
  <w:num w:numId="6">
    <w:abstractNumId w:val="14"/>
  </w:num>
  <w:num w:numId="7">
    <w:abstractNumId w:val="62"/>
  </w:num>
  <w:num w:numId="8">
    <w:abstractNumId w:val="60"/>
  </w:num>
  <w:num w:numId="9">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1008"/>
          </w:tabs>
          <w:ind w:left="1008" w:hanging="1008"/>
        </w:pPr>
        <w:rPr>
          <w:rFonts w:hint="default"/>
        </w:rPr>
      </w:lvl>
    </w:lvlOverride>
    <w:lvlOverride w:ilvl="3">
      <w:lvl w:ilvl="3">
        <w:start w:val="1"/>
        <w:numFmt w:val="decimal"/>
        <w:lvlText w:val="%1.%2.%3.%4"/>
        <w:lvlJc w:val="left"/>
        <w:pPr>
          <w:tabs>
            <w:tab w:val="num" w:pos="2448"/>
          </w:tabs>
          <w:ind w:left="2448" w:hanging="1008"/>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0">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1008"/>
          </w:tabs>
          <w:ind w:left="1008" w:hanging="1008"/>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1">
    <w:abstractNumId w:val="60"/>
    <w:lvlOverride w:ilvl="0">
      <w:lvl w:ilvl="0">
        <w:start w:val="1"/>
        <w:numFmt w:val="decimal"/>
        <w:lvlText w:val="%1"/>
        <w:lvlJc w:val="left"/>
        <w:pPr>
          <w:tabs>
            <w:tab w:val="num" w:pos="864"/>
          </w:tabs>
          <w:ind w:left="864" w:hanging="864"/>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decimal"/>
        <w:lvlText w:val="%1.%2.%3.%4"/>
        <w:lvlJc w:val="left"/>
        <w:pPr>
          <w:tabs>
            <w:tab w:val="num" w:pos="1008"/>
          </w:tabs>
          <w:ind w:left="1008" w:hanging="1008"/>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2">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3">
    <w:abstractNumId w:val="25"/>
  </w:num>
  <w:num w:numId="14">
    <w:abstractNumId w:val="25"/>
    <w:lvlOverride w:ilvl="0">
      <w:lvl w:ilvl="0">
        <w:start w:val="2"/>
        <w:numFmt w:val="decimal"/>
        <w:lvlText w:val="%1."/>
        <w:lvlJc w:val="left"/>
        <w:pPr>
          <w:tabs>
            <w:tab w:val="num" w:pos="1008"/>
          </w:tabs>
          <w:ind w:left="1008" w:hanging="1008"/>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none"/>
        <w:lvlText w:val=""/>
        <w:lvlJc w:val="left"/>
        <w:pPr>
          <w:tabs>
            <w:tab w:val="num" w:pos="0"/>
          </w:tabs>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upperLetter"/>
        <w:suff w:val="space"/>
        <w:lvlText w:val="Appendix %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5">
    <w:abstractNumId w:val="22"/>
  </w:num>
  <w:num w:numId="16">
    <w:abstractNumId w:val="31"/>
  </w:num>
  <w:num w:numId="17">
    <w:abstractNumId w:val="33"/>
  </w:num>
  <w:num w:numId="18">
    <w:abstractNumId w:val="57"/>
  </w:num>
  <w:num w:numId="19">
    <w:abstractNumId w:val="41"/>
  </w:num>
  <w:num w:numId="20">
    <w:abstractNumId w:val="29"/>
  </w:num>
  <w:num w:numId="21">
    <w:abstractNumId w:val="26"/>
  </w:num>
  <w:num w:numId="22">
    <w:abstractNumId w:val="24"/>
  </w:num>
  <w:num w:numId="23">
    <w:abstractNumId w:val="58"/>
  </w:num>
  <w:num w:numId="24">
    <w:abstractNumId w:val="34"/>
  </w:num>
  <w:num w:numId="25">
    <w:abstractNumId w:val="20"/>
  </w:num>
  <w:num w:numId="26">
    <w:abstractNumId w:val="47"/>
  </w:num>
  <w:num w:numId="27">
    <w:abstractNumId w:val="49"/>
  </w:num>
  <w:num w:numId="28">
    <w:abstractNumId w:val="61"/>
  </w:num>
  <w:num w:numId="29">
    <w:abstractNumId w:val="53"/>
  </w:num>
  <w:num w:numId="30">
    <w:abstractNumId w:val="32"/>
  </w:num>
  <w:num w:numId="31">
    <w:abstractNumId w:val="35"/>
  </w:num>
  <w:num w:numId="32">
    <w:abstractNumId w:val="15"/>
  </w:num>
  <w:num w:numId="33">
    <w:abstractNumId w:val="22"/>
    <w:lvlOverride w:ilvl="0">
      <w:lvl w:ilvl="0">
        <w:start w:val="1"/>
        <w:numFmt w:val="decimal"/>
        <w:pStyle w:val="Heading1"/>
        <w:lvlText w:val="%1."/>
        <w:lvlJc w:val="left"/>
        <w:pPr>
          <w:tabs>
            <w:tab w:val="num" w:pos="864"/>
          </w:tabs>
          <w:ind w:left="864" w:hanging="864"/>
        </w:pPr>
        <w:rPr>
          <w:rFonts w:hint="default"/>
        </w:rPr>
      </w:lvl>
    </w:lvlOverride>
    <w:lvlOverride w:ilvl="1">
      <w:lvl w:ilvl="1">
        <w:start w:val="1"/>
        <w:numFmt w:val="decimal"/>
        <w:pStyle w:val="Heading2"/>
        <w:lvlText w:val="%1.%2"/>
        <w:lvlJc w:val="left"/>
        <w:pPr>
          <w:tabs>
            <w:tab w:val="num" w:pos="864"/>
          </w:tabs>
          <w:ind w:left="864" w:hanging="864"/>
        </w:pPr>
        <w:rPr>
          <w:rFonts w:hint="default"/>
        </w:rPr>
      </w:lvl>
    </w:lvlOverride>
    <w:lvlOverride w:ilvl="2">
      <w:lvl w:ilvl="2">
        <w:start w:val="1"/>
        <w:numFmt w:val="decimal"/>
        <w:pStyle w:val="Heading3"/>
        <w:lvlText w:val="%1.%2.%3"/>
        <w:lvlJc w:val="left"/>
        <w:pPr>
          <w:tabs>
            <w:tab w:val="num" w:pos="864"/>
          </w:tabs>
          <w:ind w:left="864" w:hanging="864"/>
        </w:pPr>
        <w:rPr>
          <w:rFonts w:hint="default"/>
        </w:rPr>
      </w:lvl>
    </w:lvlOverride>
    <w:lvlOverride w:ilvl="3">
      <w:lvl w:ilvl="3">
        <w:start w:val="1"/>
        <w:numFmt w:val="decimal"/>
        <w:lvlText w:val="%1.%2.%3.%4"/>
        <w:lvlJc w:val="left"/>
        <w:pPr>
          <w:tabs>
            <w:tab w:val="num" w:pos="1152"/>
          </w:tabs>
          <w:ind w:left="1152" w:hanging="1152"/>
        </w:pPr>
        <w:rPr>
          <w:rFonts w:hint="default"/>
        </w:rPr>
      </w:lvl>
    </w:lvlOverride>
    <w:lvlOverride w:ilvl="4">
      <w:lvl w:ilvl="4">
        <w:start w:val="1"/>
        <w:numFmt w:val="none"/>
        <w:pStyle w:val="Heading5"/>
        <w:suff w:val="nothing"/>
        <w:lvlText w:val=""/>
        <w:lvlJc w:val="left"/>
        <w:pPr>
          <w:ind w:left="0" w:firstLine="0"/>
        </w:pPr>
        <w:rPr>
          <w:rFonts w:hint="default"/>
        </w:rPr>
      </w:lvl>
    </w:lvlOverride>
    <w:lvlOverride w:ilvl="5">
      <w:lvl w:ilvl="5">
        <w:start w:val="1"/>
        <w:numFmt w:val="none"/>
        <w:pStyle w:val="Heading6"/>
        <w:suff w:val="nothing"/>
        <w:lvlText w:val=""/>
        <w:lvlJc w:val="left"/>
        <w:pPr>
          <w:ind w:left="0" w:firstLine="0"/>
        </w:pPr>
        <w:rPr>
          <w:rFonts w:hint="default"/>
        </w:rPr>
      </w:lvl>
    </w:lvlOverride>
    <w:lvlOverride w:ilvl="6">
      <w:lvl w:ilvl="6">
        <w:start w:val="1"/>
        <w:numFmt w:val="upperLetter"/>
        <w:pStyle w:val="Heading7"/>
        <w:suff w:val="space"/>
        <w:lvlText w:val="Appendix %7"/>
        <w:lvlJc w:val="left"/>
        <w:pPr>
          <w:ind w:left="0" w:firstLine="0"/>
        </w:pPr>
        <w:rPr>
          <w:rFonts w:hint="default"/>
        </w:rPr>
      </w:lvl>
    </w:lvlOverride>
    <w:lvlOverride w:ilvl="7">
      <w:lvl w:ilvl="7">
        <w:start w:val="1"/>
        <w:numFmt w:val="none"/>
        <w:pStyle w:val="Heading8"/>
        <w:suff w:val="nothing"/>
        <w:lvlText w:val=""/>
        <w:lvlJc w:val="left"/>
        <w:pPr>
          <w:ind w:left="0" w:firstLine="0"/>
        </w:pPr>
        <w:rPr>
          <w:rFonts w:hint="default"/>
        </w:rPr>
      </w:lvl>
    </w:lvlOverride>
    <w:lvlOverride w:ilvl="8">
      <w:lvl w:ilvl="8">
        <w:start w:val="1"/>
        <w:numFmt w:val="none"/>
        <w:pStyle w:val="Heading9"/>
        <w:suff w:val="nothing"/>
        <w:lvlText w:val=""/>
        <w:lvlJc w:val="left"/>
        <w:pPr>
          <w:ind w:left="0" w:firstLine="0"/>
        </w:pPr>
        <w:rPr>
          <w:rFonts w:hint="default"/>
        </w:rPr>
      </w:lvl>
    </w:lvlOverride>
  </w:num>
  <w:num w:numId="34">
    <w:abstractNumId w:val="23"/>
  </w:num>
  <w:num w:numId="35">
    <w:abstractNumId w:val="25"/>
    <w:lvlOverride w:ilvl="0">
      <w:lvl w:ilvl="0">
        <w:start w:val="2"/>
        <w:numFmt w:val="decimal"/>
        <w:lvlText w:val="%1."/>
        <w:lvlJc w:val="left"/>
        <w:pPr>
          <w:tabs>
            <w:tab w:val="num" w:pos="864"/>
          </w:tabs>
          <w:ind w:left="864" w:hanging="864"/>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2214"/>
          </w:tabs>
          <w:ind w:left="2214" w:hanging="864"/>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none"/>
        <w:suff w:val="nothing"/>
        <w:lvlText w:val=""/>
        <w:lvlJc w:val="left"/>
        <w:pPr>
          <w:ind w:left="1152" w:hanging="1152"/>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upperLetter"/>
        <w:suff w:val="space"/>
        <w:lvlText w:val="Appendix %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36">
    <w:abstractNumId w:val="44"/>
  </w:num>
  <w:num w:numId="37">
    <w:abstractNumId w:val="18"/>
  </w:num>
  <w:num w:numId="38">
    <w:abstractNumId w:val="27"/>
  </w:num>
  <w:num w:numId="39">
    <w:abstractNumId w:val="59"/>
  </w:num>
  <w:num w:numId="40">
    <w:abstractNumId w:val="38"/>
  </w:num>
  <w:num w:numId="41">
    <w:abstractNumId w:val="30"/>
  </w:num>
  <w:num w:numId="42">
    <w:abstractNumId w:val="10"/>
  </w:num>
  <w:num w:numId="43">
    <w:abstractNumId w:val="28"/>
  </w:num>
  <w:num w:numId="44">
    <w:abstractNumId w:val="43"/>
  </w:num>
  <w:num w:numId="45">
    <w:abstractNumId w:val="17"/>
  </w:num>
  <w:num w:numId="46">
    <w:abstractNumId w:val="45"/>
  </w:num>
  <w:num w:numId="47">
    <w:abstractNumId w:val="42"/>
  </w:num>
  <w:num w:numId="48">
    <w:abstractNumId w:val="54"/>
  </w:num>
  <w:num w:numId="49">
    <w:abstractNumId w:val="37"/>
  </w:num>
  <w:num w:numId="50">
    <w:abstractNumId w:val="46"/>
  </w:num>
  <w:num w:numId="51">
    <w:abstractNumId w:val="36"/>
  </w:num>
  <w:num w:numId="52">
    <w:abstractNumId w:val="39"/>
  </w:num>
  <w:num w:numId="53">
    <w:abstractNumId w:val="16"/>
  </w:num>
  <w:num w:numId="54">
    <w:abstractNumId w:val="11"/>
  </w:num>
  <w:num w:numId="55">
    <w:abstractNumId w:val="52"/>
  </w:num>
  <w:num w:numId="56">
    <w:abstractNumId w:val="19"/>
  </w:num>
  <w:num w:numId="57">
    <w:abstractNumId w:val="12"/>
  </w:num>
  <w:num w:numId="58">
    <w:abstractNumId w:val="40"/>
  </w:num>
  <w:num w:numId="59">
    <w:abstractNumId w:val="48"/>
  </w:num>
  <w:num w:numId="60">
    <w:abstractNumId w:val="9"/>
  </w:num>
  <w:num w:numId="61">
    <w:abstractNumId w:val="7"/>
  </w:num>
  <w:num w:numId="62">
    <w:abstractNumId w:val="6"/>
  </w:num>
  <w:num w:numId="63">
    <w:abstractNumId w:val="5"/>
  </w:num>
  <w:num w:numId="64">
    <w:abstractNumId w:val="4"/>
  </w:num>
  <w:num w:numId="65">
    <w:abstractNumId w:val="8"/>
  </w:num>
  <w:num w:numId="66">
    <w:abstractNumId w:val="3"/>
  </w:num>
  <w:num w:numId="67">
    <w:abstractNumId w:val="2"/>
  </w:num>
  <w:num w:numId="68">
    <w:abstractNumId w:val="1"/>
  </w:num>
  <w:num w:numId="69">
    <w:abstractNumId w:val="0"/>
  </w:num>
  <w:num w:numId="70">
    <w:abstractNumId w:val="50"/>
    <w:lvlOverride w:ilvl="0">
      <w:startOverride w:val="1"/>
    </w:lvlOverride>
    <w:lvlOverride w:ilvl="1"/>
    <w:lvlOverride w:ilvl="2"/>
    <w:lvlOverride w:ilvl="3"/>
    <w:lvlOverride w:ilvl="4"/>
    <w:lvlOverride w:ilvl="5"/>
    <w:lvlOverride w:ilvl="6"/>
    <w:lvlOverride w:ilvl="7"/>
    <w:lvlOverride w:ilvl="8"/>
  </w:num>
  <w:num w:numId="71">
    <w:abstractNumId w:val="5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8" w:dllVersion="513" w:checkStyle="1"/>
  <w:proofState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e1e1ff,#069,#bad1e8,#afd787,#cde6b4,#d1e8ba,#0000ac"/>
    </o:shapedefaults>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wtdwrzzm2sarae0sd95fxe8dtt9z9exv0az&quot;&gt;DxE&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3&lt;/item&gt;&lt;item&gt;44&lt;/item&gt;&lt;item&gt;45&lt;/item&gt;&lt;item&gt;46&lt;/item&gt;&lt;item&gt;47&lt;/item&gt;&lt;item&gt;49&lt;/item&gt;&lt;item&gt;50&lt;/item&gt;&lt;item&gt;51&lt;/item&gt;&lt;item&gt;52&lt;/item&gt;&lt;item&gt;53&lt;/item&gt;&lt;item&gt;54&lt;/item&gt;&lt;item&gt;55&lt;/item&gt;&lt;item&gt;56&lt;/item&gt;&lt;item&gt;57&lt;/item&gt;&lt;item&gt;58&lt;/item&gt;&lt;item&gt;59&lt;/item&gt;&lt;item&gt;62&lt;/item&gt;&lt;item&gt;63&lt;/item&gt;&lt;item&gt;64&lt;/item&gt;&lt;item&gt;65&lt;/item&gt;&lt;item&gt;66&lt;/item&gt;&lt;item&gt;67&lt;/item&gt;&lt;item&gt;68&lt;/item&gt;&lt;item&gt;69&lt;/item&gt;&lt;item&gt;71&lt;/item&gt;&lt;item&gt;72&lt;/item&gt;&lt;item&gt;73&lt;/item&gt;&lt;item&gt;74&lt;/item&gt;&lt;item&gt;75&lt;/item&gt;&lt;item&gt;77&lt;/item&gt;&lt;item&gt;78&lt;/item&gt;&lt;item&gt;79&lt;/item&gt;&lt;item&gt;80&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1&lt;/item&gt;&lt;item&gt;102&lt;/item&gt;&lt;item&gt;105&lt;/item&gt;&lt;item&gt;106&lt;/item&gt;&lt;item&gt;107&lt;/item&gt;&lt;item&gt;108&lt;/item&gt;&lt;item&gt;109&lt;/item&gt;&lt;item&gt;110&lt;/item&gt;&lt;item&gt;111&lt;/item&gt;&lt;item&gt;113&lt;/item&gt;&lt;item&gt;114&lt;/item&gt;&lt;item&gt;115&lt;/item&gt;&lt;item&gt;116&lt;/item&gt;&lt;item&gt;117&lt;/item&gt;&lt;item&gt;118&lt;/item&gt;&lt;item&gt;119&lt;/item&gt;&lt;item&gt;120&lt;/item&gt;&lt;item&gt;121&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9&lt;/item&gt;&lt;item&gt;140&lt;/item&gt;&lt;item&gt;141&lt;/item&gt;&lt;item&gt;142&lt;/item&gt;&lt;item&gt;143&lt;/item&gt;&lt;item&gt;144&lt;/item&gt;&lt;item&gt;145&lt;/item&gt;&lt;item&gt;147&lt;/item&gt;&lt;item&gt;148&lt;/item&gt;&lt;item&gt;149&lt;/item&gt;&lt;item&gt;150&lt;/item&gt;&lt;item&gt;151&lt;/item&gt;&lt;item&gt;152&lt;/item&gt;&lt;item&gt;153&lt;/item&gt;&lt;item&gt;154&lt;/item&gt;&lt;item&gt;155&lt;/item&gt;&lt;item&gt;156&lt;/item&gt;&lt;item&gt;158&lt;/item&gt;&lt;item&gt;159&lt;/item&gt;&lt;item&gt;161&lt;/item&gt;&lt;item&gt;162&lt;/item&gt;&lt;item&gt;163&lt;/item&gt;&lt;item&gt;164&lt;/item&gt;&lt;item&gt;165&lt;/item&gt;&lt;item&gt;166&lt;/item&gt;&lt;item&gt;167&lt;/item&gt;&lt;/record-ids&gt;&lt;/item&gt;&lt;/Libraries&gt;"/>
  </w:docVars>
  <w:rsids>
    <w:rsidRoot w:val="00AA4C10"/>
    <w:rsid w:val="00003518"/>
    <w:rsid w:val="00003A2C"/>
    <w:rsid w:val="00003CA6"/>
    <w:rsid w:val="000056C2"/>
    <w:rsid w:val="00006909"/>
    <w:rsid w:val="00006B3A"/>
    <w:rsid w:val="00007D19"/>
    <w:rsid w:val="00012536"/>
    <w:rsid w:val="000136F3"/>
    <w:rsid w:val="00014775"/>
    <w:rsid w:val="00016E17"/>
    <w:rsid w:val="00017630"/>
    <w:rsid w:val="00020303"/>
    <w:rsid w:val="0002216E"/>
    <w:rsid w:val="000247F7"/>
    <w:rsid w:val="00026F54"/>
    <w:rsid w:val="000338F5"/>
    <w:rsid w:val="00034C85"/>
    <w:rsid w:val="000365E4"/>
    <w:rsid w:val="00040E00"/>
    <w:rsid w:val="000456AA"/>
    <w:rsid w:val="000466C7"/>
    <w:rsid w:val="00046728"/>
    <w:rsid w:val="0004788C"/>
    <w:rsid w:val="000525E0"/>
    <w:rsid w:val="00052D00"/>
    <w:rsid w:val="00053EEF"/>
    <w:rsid w:val="000543DC"/>
    <w:rsid w:val="00055022"/>
    <w:rsid w:val="0005750B"/>
    <w:rsid w:val="00060318"/>
    <w:rsid w:val="0006045E"/>
    <w:rsid w:val="00061BB4"/>
    <w:rsid w:val="0006587B"/>
    <w:rsid w:val="0006787D"/>
    <w:rsid w:val="00070322"/>
    <w:rsid w:val="000714F4"/>
    <w:rsid w:val="00071DCF"/>
    <w:rsid w:val="00077AF2"/>
    <w:rsid w:val="0008060F"/>
    <w:rsid w:val="00082D01"/>
    <w:rsid w:val="0008488D"/>
    <w:rsid w:val="0008514F"/>
    <w:rsid w:val="000876CC"/>
    <w:rsid w:val="00087856"/>
    <w:rsid w:val="00087E2E"/>
    <w:rsid w:val="00087FD2"/>
    <w:rsid w:val="00090122"/>
    <w:rsid w:val="000902AA"/>
    <w:rsid w:val="000902BC"/>
    <w:rsid w:val="000957C0"/>
    <w:rsid w:val="00095D40"/>
    <w:rsid w:val="000A00A2"/>
    <w:rsid w:val="000A1C6D"/>
    <w:rsid w:val="000A2212"/>
    <w:rsid w:val="000A266B"/>
    <w:rsid w:val="000A7D69"/>
    <w:rsid w:val="000B04AE"/>
    <w:rsid w:val="000B1FA7"/>
    <w:rsid w:val="000B33D1"/>
    <w:rsid w:val="000B4342"/>
    <w:rsid w:val="000B6AD7"/>
    <w:rsid w:val="000B6CB5"/>
    <w:rsid w:val="000B788A"/>
    <w:rsid w:val="000C07C9"/>
    <w:rsid w:val="000C0A39"/>
    <w:rsid w:val="000C3040"/>
    <w:rsid w:val="000C52AD"/>
    <w:rsid w:val="000D05C1"/>
    <w:rsid w:val="000D53F1"/>
    <w:rsid w:val="000D5777"/>
    <w:rsid w:val="000E6B75"/>
    <w:rsid w:val="000F53F4"/>
    <w:rsid w:val="00102C61"/>
    <w:rsid w:val="001034D7"/>
    <w:rsid w:val="001037B1"/>
    <w:rsid w:val="00104709"/>
    <w:rsid w:val="00104792"/>
    <w:rsid w:val="00104F2A"/>
    <w:rsid w:val="0010581A"/>
    <w:rsid w:val="00107A04"/>
    <w:rsid w:val="0011170B"/>
    <w:rsid w:val="00111A75"/>
    <w:rsid w:val="00115691"/>
    <w:rsid w:val="00115ACC"/>
    <w:rsid w:val="00116F3F"/>
    <w:rsid w:val="001178CA"/>
    <w:rsid w:val="00121270"/>
    <w:rsid w:val="00123056"/>
    <w:rsid w:val="00123131"/>
    <w:rsid w:val="00124131"/>
    <w:rsid w:val="001272C7"/>
    <w:rsid w:val="001307A5"/>
    <w:rsid w:val="00132441"/>
    <w:rsid w:val="00137389"/>
    <w:rsid w:val="001411D7"/>
    <w:rsid w:val="00152153"/>
    <w:rsid w:val="00157E04"/>
    <w:rsid w:val="00160657"/>
    <w:rsid w:val="00160B87"/>
    <w:rsid w:val="00162A42"/>
    <w:rsid w:val="00162E9A"/>
    <w:rsid w:val="001677DC"/>
    <w:rsid w:val="00167C08"/>
    <w:rsid w:val="00172119"/>
    <w:rsid w:val="001817A8"/>
    <w:rsid w:val="0018399E"/>
    <w:rsid w:val="00187B0F"/>
    <w:rsid w:val="00191B60"/>
    <w:rsid w:val="00193C1A"/>
    <w:rsid w:val="00195A11"/>
    <w:rsid w:val="001A04CE"/>
    <w:rsid w:val="001A0E0A"/>
    <w:rsid w:val="001A23B5"/>
    <w:rsid w:val="001A28B4"/>
    <w:rsid w:val="001A2EB4"/>
    <w:rsid w:val="001A403F"/>
    <w:rsid w:val="001A4633"/>
    <w:rsid w:val="001A71DA"/>
    <w:rsid w:val="001B0EA1"/>
    <w:rsid w:val="001B4509"/>
    <w:rsid w:val="001B5333"/>
    <w:rsid w:val="001B7B33"/>
    <w:rsid w:val="001C0891"/>
    <w:rsid w:val="001C10AF"/>
    <w:rsid w:val="001C5984"/>
    <w:rsid w:val="001D4FDD"/>
    <w:rsid w:val="001D6C62"/>
    <w:rsid w:val="001E2CF1"/>
    <w:rsid w:val="001F2D0D"/>
    <w:rsid w:val="001F2EF4"/>
    <w:rsid w:val="0020079F"/>
    <w:rsid w:val="00200BD1"/>
    <w:rsid w:val="00200E58"/>
    <w:rsid w:val="00203A3C"/>
    <w:rsid w:val="002064D3"/>
    <w:rsid w:val="002106BF"/>
    <w:rsid w:val="0021417B"/>
    <w:rsid w:val="00214B73"/>
    <w:rsid w:val="002155ED"/>
    <w:rsid w:val="002176B8"/>
    <w:rsid w:val="002216AD"/>
    <w:rsid w:val="00221D99"/>
    <w:rsid w:val="00223A9F"/>
    <w:rsid w:val="0022674D"/>
    <w:rsid w:val="00227977"/>
    <w:rsid w:val="00231BB8"/>
    <w:rsid w:val="0023449A"/>
    <w:rsid w:val="00235F34"/>
    <w:rsid w:val="00235F88"/>
    <w:rsid w:val="002409BE"/>
    <w:rsid w:val="00240E92"/>
    <w:rsid w:val="0024676F"/>
    <w:rsid w:val="0024797A"/>
    <w:rsid w:val="00252616"/>
    <w:rsid w:val="00252803"/>
    <w:rsid w:val="00253983"/>
    <w:rsid w:val="00253EAC"/>
    <w:rsid w:val="00254104"/>
    <w:rsid w:val="00255975"/>
    <w:rsid w:val="002607C5"/>
    <w:rsid w:val="00264FBA"/>
    <w:rsid w:val="00270058"/>
    <w:rsid w:val="002700AE"/>
    <w:rsid w:val="002702F7"/>
    <w:rsid w:val="0027051B"/>
    <w:rsid w:val="00271005"/>
    <w:rsid w:val="00272763"/>
    <w:rsid w:val="00273EAA"/>
    <w:rsid w:val="002745DD"/>
    <w:rsid w:val="00276702"/>
    <w:rsid w:val="002778A6"/>
    <w:rsid w:val="00282787"/>
    <w:rsid w:val="0028328D"/>
    <w:rsid w:val="002838F5"/>
    <w:rsid w:val="00284B0C"/>
    <w:rsid w:val="00285BB6"/>
    <w:rsid w:val="00285BFD"/>
    <w:rsid w:val="0029491C"/>
    <w:rsid w:val="00297E9E"/>
    <w:rsid w:val="002A0CC0"/>
    <w:rsid w:val="002A2C59"/>
    <w:rsid w:val="002A4078"/>
    <w:rsid w:val="002A5CE0"/>
    <w:rsid w:val="002A5D8A"/>
    <w:rsid w:val="002A6748"/>
    <w:rsid w:val="002B2F3C"/>
    <w:rsid w:val="002C003B"/>
    <w:rsid w:val="002C24EF"/>
    <w:rsid w:val="002C32AB"/>
    <w:rsid w:val="002C41F9"/>
    <w:rsid w:val="002C4495"/>
    <w:rsid w:val="002C5AC8"/>
    <w:rsid w:val="002C61F0"/>
    <w:rsid w:val="002C6E58"/>
    <w:rsid w:val="002C76AB"/>
    <w:rsid w:val="002D4536"/>
    <w:rsid w:val="002E059A"/>
    <w:rsid w:val="002E1003"/>
    <w:rsid w:val="002E39BB"/>
    <w:rsid w:val="002E5291"/>
    <w:rsid w:val="002F29D2"/>
    <w:rsid w:val="002F48C8"/>
    <w:rsid w:val="002F55CE"/>
    <w:rsid w:val="002F76F5"/>
    <w:rsid w:val="0030082F"/>
    <w:rsid w:val="00304AF9"/>
    <w:rsid w:val="0030621D"/>
    <w:rsid w:val="00307FE6"/>
    <w:rsid w:val="0031161C"/>
    <w:rsid w:val="00312920"/>
    <w:rsid w:val="00314A8A"/>
    <w:rsid w:val="00320C20"/>
    <w:rsid w:val="00324EC2"/>
    <w:rsid w:val="003265A2"/>
    <w:rsid w:val="00326AF1"/>
    <w:rsid w:val="003277E1"/>
    <w:rsid w:val="003279F2"/>
    <w:rsid w:val="00342BA9"/>
    <w:rsid w:val="00345342"/>
    <w:rsid w:val="003453BD"/>
    <w:rsid w:val="003455BC"/>
    <w:rsid w:val="003470C3"/>
    <w:rsid w:val="00351257"/>
    <w:rsid w:val="00354273"/>
    <w:rsid w:val="00354503"/>
    <w:rsid w:val="00356209"/>
    <w:rsid w:val="0035745C"/>
    <w:rsid w:val="0036180D"/>
    <w:rsid w:val="00361F94"/>
    <w:rsid w:val="003623F0"/>
    <w:rsid w:val="00370164"/>
    <w:rsid w:val="003711CD"/>
    <w:rsid w:val="00372773"/>
    <w:rsid w:val="00372DF9"/>
    <w:rsid w:val="00376F00"/>
    <w:rsid w:val="00380DB1"/>
    <w:rsid w:val="00381943"/>
    <w:rsid w:val="00383BFC"/>
    <w:rsid w:val="00383C0E"/>
    <w:rsid w:val="00383F9D"/>
    <w:rsid w:val="00384611"/>
    <w:rsid w:val="00384CA0"/>
    <w:rsid w:val="00386EC3"/>
    <w:rsid w:val="003870BA"/>
    <w:rsid w:val="00395A89"/>
    <w:rsid w:val="00396F55"/>
    <w:rsid w:val="00397FCC"/>
    <w:rsid w:val="003A2FA8"/>
    <w:rsid w:val="003A3403"/>
    <w:rsid w:val="003A3926"/>
    <w:rsid w:val="003A5562"/>
    <w:rsid w:val="003A77FD"/>
    <w:rsid w:val="003B0708"/>
    <w:rsid w:val="003B4770"/>
    <w:rsid w:val="003C0E05"/>
    <w:rsid w:val="003C20BF"/>
    <w:rsid w:val="003C589F"/>
    <w:rsid w:val="003C634B"/>
    <w:rsid w:val="003D1E6C"/>
    <w:rsid w:val="003D313E"/>
    <w:rsid w:val="003D5616"/>
    <w:rsid w:val="003D5623"/>
    <w:rsid w:val="003D6ECB"/>
    <w:rsid w:val="003D7950"/>
    <w:rsid w:val="003E0946"/>
    <w:rsid w:val="003E115B"/>
    <w:rsid w:val="003E1AE2"/>
    <w:rsid w:val="003E45D1"/>
    <w:rsid w:val="003E666B"/>
    <w:rsid w:val="003F1A40"/>
    <w:rsid w:val="003F3225"/>
    <w:rsid w:val="003F35A4"/>
    <w:rsid w:val="003F3E19"/>
    <w:rsid w:val="00402864"/>
    <w:rsid w:val="00403FAE"/>
    <w:rsid w:val="00404223"/>
    <w:rsid w:val="004070E5"/>
    <w:rsid w:val="00423092"/>
    <w:rsid w:val="004253E8"/>
    <w:rsid w:val="0042544A"/>
    <w:rsid w:val="00426D9E"/>
    <w:rsid w:val="00426FB5"/>
    <w:rsid w:val="00427193"/>
    <w:rsid w:val="00427EA9"/>
    <w:rsid w:val="00430DF1"/>
    <w:rsid w:val="00430F2C"/>
    <w:rsid w:val="004319B2"/>
    <w:rsid w:val="004319BC"/>
    <w:rsid w:val="004350B0"/>
    <w:rsid w:val="0043620D"/>
    <w:rsid w:val="00436CE5"/>
    <w:rsid w:val="0044013C"/>
    <w:rsid w:val="00453289"/>
    <w:rsid w:val="00457BE1"/>
    <w:rsid w:val="00470AB4"/>
    <w:rsid w:val="00472498"/>
    <w:rsid w:val="00472E16"/>
    <w:rsid w:val="004734DF"/>
    <w:rsid w:val="00474298"/>
    <w:rsid w:val="004743F1"/>
    <w:rsid w:val="00474D59"/>
    <w:rsid w:val="00476911"/>
    <w:rsid w:val="004812AC"/>
    <w:rsid w:val="004813F5"/>
    <w:rsid w:val="00486943"/>
    <w:rsid w:val="00493392"/>
    <w:rsid w:val="00493A48"/>
    <w:rsid w:val="00493B2D"/>
    <w:rsid w:val="00495B91"/>
    <w:rsid w:val="004A226F"/>
    <w:rsid w:val="004A5408"/>
    <w:rsid w:val="004A74FC"/>
    <w:rsid w:val="004A7695"/>
    <w:rsid w:val="004B237E"/>
    <w:rsid w:val="004B3401"/>
    <w:rsid w:val="004C0E4F"/>
    <w:rsid w:val="004C18DF"/>
    <w:rsid w:val="004C24AC"/>
    <w:rsid w:val="004C29E5"/>
    <w:rsid w:val="004C2B46"/>
    <w:rsid w:val="004C4A9F"/>
    <w:rsid w:val="004D359E"/>
    <w:rsid w:val="004D4C6D"/>
    <w:rsid w:val="004E01A4"/>
    <w:rsid w:val="004E7E7B"/>
    <w:rsid w:val="004F4E33"/>
    <w:rsid w:val="004F568E"/>
    <w:rsid w:val="004F6742"/>
    <w:rsid w:val="004F709B"/>
    <w:rsid w:val="00503049"/>
    <w:rsid w:val="00503B16"/>
    <w:rsid w:val="0050515E"/>
    <w:rsid w:val="005074D6"/>
    <w:rsid w:val="0051312E"/>
    <w:rsid w:val="00514193"/>
    <w:rsid w:val="00521A55"/>
    <w:rsid w:val="0052257A"/>
    <w:rsid w:val="00522C2B"/>
    <w:rsid w:val="00527B81"/>
    <w:rsid w:val="00527E93"/>
    <w:rsid w:val="0053086A"/>
    <w:rsid w:val="00534B03"/>
    <w:rsid w:val="00534C33"/>
    <w:rsid w:val="00536DB4"/>
    <w:rsid w:val="0054025D"/>
    <w:rsid w:val="005413D2"/>
    <w:rsid w:val="00545D61"/>
    <w:rsid w:val="0054673C"/>
    <w:rsid w:val="00550C9F"/>
    <w:rsid w:val="0055123E"/>
    <w:rsid w:val="005547AE"/>
    <w:rsid w:val="00556D78"/>
    <w:rsid w:val="0056130D"/>
    <w:rsid w:val="00565EDE"/>
    <w:rsid w:val="005662EE"/>
    <w:rsid w:val="00566930"/>
    <w:rsid w:val="005707D6"/>
    <w:rsid w:val="005744D5"/>
    <w:rsid w:val="00574572"/>
    <w:rsid w:val="005747CA"/>
    <w:rsid w:val="005758D9"/>
    <w:rsid w:val="00575FD0"/>
    <w:rsid w:val="00583C82"/>
    <w:rsid w:val="00585CA4"/>
    <w:rsid w:val="00597948"/>
    <w:rsid w:val="00597B60"/>
    <w:rsid w:val="005A0823"/>
    <w:rsid w:val="005A3F92"/>
    <w:rsid w:val="005A3FCF"/>
    <w:rsid w:val="005A4304"/>
    <w:rsid w:val="005A4B86"/>
    <w:rsid w:val="005B01AC"/>
    <w:rsid w:val="005B1AC5"/>
    <w:rsid w:val="005B6A25"/>
    <w:rsid w:val="005C122B"/>
    <w:rsid w:val="005C25FB"/>
    <w:rsid w:val="005C4647"/>
    <w:rsid w:val="005C5890"/>
    <w:rsid w:val="005C67AD"/>
    <w:rsid w:val="005C69B6"/>
    <w:rsid w:val="005D1798"/>
    <w:rsid w:val="005D2A87"/>
    <w:rsid w:val="005D7C70"/>
    <w:rsid w:val="005E0CF2"/>
    <w:rsid w:val="005E0F79"/>
    <w:rsid w:val="005E1073"/>
    <w:rsid w:val="005E21AE"/>
    <w:rsid w:val="005E25AE"/>
    <w:rsid w:val="005E2AEA"/>
    <w:rsid w:val="005E5DF3"/>
    <w:rsid w:val="005E6B70"/>
    <w:rsid w:val="005E6E51"/>
    <w:rsid w:val="005F0E38"/>
    <w:rsid w:val="00605298"/>
    <w:rsid w:val="00607927"/>
    <w:rsid w:val="00611323"/>
    <w:rsid w:val="006122D8"/>
    <w:rsid w:val="0061247A"/>
    <w:rsid w:val="00615938"/>
    <w:rsid w:val="00615ACB"/>
    <w:rsid w:val="00624BEA"/>
    <w:rsid w:val="0063014E"/>
    <w:rsid w:val="00630D01"/>
    <w:rsid w:val="00631A2C"/>
    <w:rsid w:val="00640143"/>
    <w:rsid w:val="00642CAE"/>
    <w:rsid w:val="00643DA0"/>
    <w:rsid w:val="00644B14"/>
    <w:rsid w:val="00645684"/>
    <w:rsid w:val="00647826"/>
    <w:rsid w:val="0065112D"/>
    <w:rsid w:val="00656413"/>
    <w:rsid w:val="00657E37"/>
    <w:rsid w:val="0066134E"/>
    <w:rsid w:val="0066417F"/>
    <w:rsid w:val="006654A7"/>
    <w:rsid w:val="00666902"/>
    <w:rsid w:val="00671837"/>
    <w:rsid w:val="006771D9"/>
    <w:rsid w:val="00680DD9"/>
    <w:rsid w:val="006814BB"/>
    <w:rsid w:val="006816AE"/>
    <w:rsid w:val="00684002"/>
    <w:rsid w:val="00684041"/>
    <w:rsid w:val="006840EB"/>
    <w:rsid w:val="0068555A"/>
    <w:rsid w:val="00687C1D"/>
    <w:rsid w:val="006900A6"/>
    <w:rsid w:val="00690E21"/>
    <w:rsid w:val="00692DAD"/>
    <w:rsid w:val="00693143"/>
    <w:rsid w:val="0069342C"/>
    <w:rsid w:val="006937DD"/>
    <w:rsid w:val="00694056"/>
    <w:rsid w:val="006940BD"/>
    <w:rsid w:val="006967E0"/>
    <w:rsid w:val="00696F05"/>
    <w:rsid w:val="006A2E30"/>
    <w:rsid w:val="006A3799"/>
    <w:rsid w:val="006A541C"/>
    <w:rsid w:val="006A5B3B"/>
    <w:rsid w:val="006B0B4A"/>
    <w:rsid w:val="006B1D27"/>
    <w:rsid w:val="006B38DE"/>
    <w:rsid w:val="006C1434"/>
    <w:rsid w:val="006C1475"/>
    <w:rsid w:val="006C3045"/>
    <w:rsid w:val="006C3171"/>
    <w:rsid w:val="006C61C5"/>
    <w:rsid w:val="006C7A4C"/>
    <w:rsid w:val="006D1378"/>
    <w:rsid w:val="006D2A36"/>
    <w:rsid w:val="006D3DFF"/>
    <w:rsid w:val="006D406B"/>
    <w:rsid w:val="006D5494"/>
    <w:rsid w:val="006E2B32"/>
    <w:rsid w:val="006E3F67"/>
    <w:rsid w:val="006F0A18"/>
    <w:rsid w:val="006F1856"/>
    <w:rsid w:val="006F2B34"/>
    <w:rsid w:val="006F2B7D"/>
    <w:rsid w:val="006F3DE4"/>
    <w:rsid w:val="006F4C91"/>
    <w:rsid w:val="0070283A"/>
    <w:rsid w:val="007057ED"/>
    <w:rsid w:val="0070672F"/>
    <w:rsid w:val="007105A6"/>
    <w:rsid w:val="007151B2"/>
    <w:rsid w:val="00715417"/>
    <w:rsid w:val="00720176"/>
    <w:rsid w:val="0072220A"/>
    <w:rsid w:val="00722B9A"/>
    <w:rsid w:val="0072434E"/>
    <w:rsid w:val="00726DD4"/>
    <w:rsid w:val="007307C7"/>
    <w:rsid w:val="00730F56"/>
    <w:rsid w:val="0073399F"/>
    <w:rsid w:val="00736781"/>
    <w:rsid w:val="007367C3"/>
    <w:rsid w:val="007406DD"/>
    <w:rsid w:val="00744E2C"/>
    <w:rsid w:val="00746497"/>
    <w:rsid w:val="007473C9"/>
    <w:rsid w:val="00752119"/>
    <w:rsid w:val="00752A1F"/>
    <w:rsid w:val="00754408"/>
    <w:rsid w:val="007564E8"/>
    <w:rsid w:val="0076012A"/>
    <w:rsid w:val="007631C7"/>
    <w:rsid w:val="00763CCC"/>
    <w:rsid w:val="00775327"/>
    <w:rsid w:val="00776C72"/>
    <w:rsid w:val="0078258F"/>
    <w:rsid w:val="00782E74"/>
    <w:rsid w:val="007846BC"/>
    <w:rsid w:val="00785FEC"/>
    <w:rsid w:val="0078684B"/>
    <w:rsid w:val="007878DF"/>
    <w:rsid w:val="00794B6E"/>
    <w:rsid w:val="00795656"/>
    <w:rsid w:val="007969A4"/>
    <w:rsid w:val="007A0114"/>
    <w:rsid w:val="007A0799"/>
    <w:rsid w:val="007B1321"/>
    <w:rsid w:val="007B1904"/>
    <w:rsid w:val="007B24B7"/>
    <w:rsid w:val="007C3E61"/>
    <w:rsid w:val="007C68A9"/>
    <w:rsid w:val="007D55CF"/>
    <w:rsid w:val="007D56E8"/>
    <w:rsid w:val="007D6370"/>
    <w:rsid w:val="007D668A"/>
    <w:rsid w:val="007E092F"/>
    <w:rsid w:val="007E5EC0"/>
    <w:rsid w:val="007E772D"/>
    <w:rsid w:val="007F5611"/>
    <w:rsid w:val="007F6BD8"/>
    <w:rsid w:val="0080098A"/>
    <w:rsid w:val="00801761"/>
    <w:rsid w:val="00810A20"/>
    <w:rsid w:val="008111EB"/>
    <w:rsid w:val="008130C9"/>
    <w:rsid w:val="00813D02"/>
    <w:rsid w:val="00814833"/>
    <w:rsid w:val="00816B5B"/>
    <w:rsid w:val="0082033D"/>
    <w:rsid w:val="008222AD"/>
    <w:rsid w:val="0082561D"/>
    <w:rsid w:val="00830C0A"/>
    <w:rsid w:val="0083104D"/>
    <w:rsid w:val="0083311A"/>
    <w:rsid w:val="008349AE"/>
    <w:rsid w:val="008355D2"/>
    <w:rsid w:val="00835BFD"/>
    <w:rsid w:val="008366F7"/>
    <w:rsid w:val="0084511B"/>
    <w:rsid w:val="00846D77"/>
    <w:rsid w:val="00847DB9"/>
    <w:rsid w:val="00852480"/>
    <w:rsid w:val="00853EC9"/>
    <w:rsid w:val="00856120"/>
    <w:rsid w:val="00856632"/>
    <w:rsid w:val="00866489"/>
    <w:rsid w:val="00867308"/>
    <w:rsid w:val="0087273E"/>
    <w:rsid w:val="0088393C"/>
    <w:rsid w:val="008877CC"/>
    <w:rsid w:val="00891692"/>
    <w:rsid w:val="008938E0"/>
    <w:rsid w:val="008A0E05"/>
    <w:rsid w:val="008A2201"/>
    <w:rsid w:val="008A7983"/>
    <w:rsid w:val="008B0543"/>
    <w:rsid w:val="008B4532"/>
    <w:rsid w:val="008B592F"/>
    <w:rsid w:val="008B6D66"/>
    <w:rsid w:val="008B77AD"/>
    <w:rsid w:val="008C0888"/>
    <w:rsid w:val="008C3505"/>
    <w:rsid w:val="008C6195"/>
    <w:rsid w:val="008D30EA"/>
    <w:rsid w:val="008D5287"/>
    <w:rsid w:val="008D55C8"/>
    <w:rsid w:val="008D5EA9"/>
    <w:rsid w:val="008D6E29"/>
    <w:rsid w:val="008D75A1"/>
    <w:rsid w:val="008D7633"/>
    <w:rsid w:val="008E20DE"/>
    <w:rsid w:val="008E71DF"/>
    <w:rsid w:val="008F1465"/>
    <w:rsid w:val="008F1770"/>
    <w:rsid w:val="008F55DE"/>
    <w:rsid w:val="008F61A6"/>
    <w:rsid w:val="008F6C7A"/>
    <w:rsid w:val="008F71CC"/>
    <w:rsid w:val="0090106D"/>
    <w:rsid w:val="009013C5"/>
    <w:rsid w:val="009061A4"/>
    <w:rsid w:val="00906E60"/>
    <w:rsid w:val="00910216"/>
    <w:rsid w:val="00912E02"/>
    <w:rsid w:val="00916F1F"/>
    <w:rsid w:val="00920222"/>
    <w:rsid w:val="00927566"/>
    <w:rsid w:val="00932013"/>
    <w:rsid w:val="00932425"/>
    <w:rsid w:val="00936B40"/>
    <w:rsid w:val="009375EB"/>
    <w:rsid w:val="00942024"/>
    <w:rsid w:val="009432C7"/>
    <w:rsid w:val="00944550"/>
    <w:rsid w:val="00947565"/>
    <w:rsid w:val="009550AD"/>
    <w:rsid w:val="0095725F"/>
    <w:rsid w:val="00960D9E"/>
    <w:rsid w:val="00961AAE"/>
    <w:rsid w:val="00963263"/>
    <w:rsid w:val="00965363"/>
    <w:rsid w:val="00967375"/>
    <w:rsid w:val="00967D7C"/>
    <w:rsid w:val="00967FE8"/>
    <w:rsid w:val="00971251"/>
    <w:rsid w:val="0097320B"/>
    <w:rsid w:val="009732AC"/>
    <w:rsid w:val="00973C73"/>
    <w:rsid w:val="00975EE7"/>
    <w:rsid w:val="00977D73"/>
    <w:rsid w:val="00980425"/>
    <w:rsid w:val="00981271"/>
    <w:rsid w:val="009813D8"/>
    <w:rsid w:val="009826A8"/>
    <w:rsid w:val="00986558"/>
    <w:rsid w:val="0099262A"/>
    <w:rsid w:val="00996799"/>
    <w:rsid w:val="009A05F3"/>
    <w:rsid w:val="009A4ABA"/>
    <w:rsid w:val="009B22C0"/>
    <w:rsid w:val="009B27A2"/>
    <w:rsid w:val="009B56DA"/>
    <w:rsid w:val="009B7442"/>
    <w:rsid w:val="009C0A96"/>
    <w:rsid w:val="009C7BF9"/>
    <w:rsid w:val="009D07D0"/>
    <w:rsid w:val="009D13BB"/>
    <w:rsid w:val="009D1D3B"/>
    <w:rsid w:val="009D278A"/>
    <w:rsid w:val="009D2DE8"/>
    <w:rsid w:val="009D50EB"/>
    <w:rsid w:val="009D6E84"/>
    <w:rsid w:val="009E146E"/>
    <w:rsid w:val="009E32F5"/>
    <w:rsid w:val="009E5055"/>
    <w:rsid w:val="009E6153"/>
    <w:rsid w:val="009E6279"/>
    <w:rsid w:val="009E7A90"/>
    <w:rsid w:val="009F0238"/>
    <w:rsid w:val="009F2219"/>
    <w:rsid w:val="009F2649"/>
    <w:rsid w:val="009F26A5"/>
    <w:rsid w:val="009F467F"/>
    <w:rsid w:val="009F704C"/>
    <w:rsid w:val="009F7147"/>
    <w:rsid w:val="009F7350"/>
    <w:rsid w:val="009F7C58"/>
    <w:rsid w:val="00A000CA"/>
    <w:rsid w:val="00A008C7"/>
    <w:rsid w:val="00A0215D"/>
    <w:rsid w:val="00A039F4"/>
    <w:rsid w:val="00A04591"/>
    <w:rsid w:val="00A055C3"/>
    <w:rsid w:val="00A06666"/>
    <w:rsid w:val="00A105E0"/>
    <w:rsid w:val="00A11284"/>
    <w:rsid w:val="00A15A1F"/>
    <w:rsid w:val="00A3018B"/>
    <w:rsid w:val="00A3056E"/>
    <w:rsid w:val="00A3128D"/>
    <w:rsid w:val="00A324EA"/>
    <w:rsid w:val="00A33A46"/>
    <w:rsid w:val="00A33F63"/>
    <w:rsid w:val="00A429C1"/>
    <w:rsid w:val="00A44BE6"/>
    <w:rsid w:val="00A45B43"/>
    <w:rsid w:val="00A45E44"/>
    <w:rsid w:val="00A4794A"/>
    <w:rsid w:val="00A533DE"/>
    <w:rsid w:val="00A53E2B"/>
    <w:rsid w:val="00A546BE"/>
    <w:rsid w:val="00A549B6"/>
    <w:rsid w:val="00A61B13"/>
    <w:rsid w:val="00A61C2A"/>
    <w:rsid w:val="00A63110"/>
    <w:rsid w:val="00A65398"/>
    <w:rsid w:val="00A65B0B"/>
    <w:rsid w:val="00A65EBA"/>
    <w:rsid w:val="00A70531"/>
    <w:rsid w:val="00A70E0D"/>
    <w:rsid w:val="00A736C6"/>
    <w:rsid w:val="00A7437A"/>
    <w:rsid w:val="00A817CE"/>
    <w:rsid w:val="00A87CBC"/>
    <w:rsid w:val="00A928FA"/>
    <w:rsid w:val="00A95EED"/>
    <w:rsid w:val="00AA003E"/>
    <w:rsid w:val="00AA356F"/>
    <w:rsid w:val="00AA4C10"/>
    <w:rsid w:val="00AA5EE2"/>
    <w:rsid w:val="00AA7B0B"/>
    <w:rsid w:val="00AB24B8"/>
    <w:rsid w:val="00AB32CF"/>
    <w:rsid w:val="00AB5636"/>
    <w:rsid w:val="00AB604A"/>
    <w:rsid w:val="00AC2700"/>
    <w:rsid w:val="00AC36D6"/>
    <w:rsid w:val="00AC5650"/>
    <w:rsid w:val="00AC59EB"/>
    <w:rsid w:val="00AD2235"/>
    <w:rsid w:val="00AD229E"/>
    <w:rsid w:val="00AD3B21"/>
    <w:rsid w:val="00AD3FE6"/>
    <w:rsid w:val="00AE0388"/>
    <w:rsid w:val="00AE2274"/>
    <w:rsid w:val="00AF251E"/>
    <w:rsid w:val="00B0119F"/>
    <w:rsid w:val="00B02599"/>
    <w:rsid w:val="00B06309"/>
    <w:rsid w:val="00B1289D"/>
    <w:rsid w:val="00B14060"/>
    <w:rsid w:val="00B16B3C"/>
    <w:rsid w:val="00B16BCA"/>
    <w:rsid w:val="00B23889"/>
    <w:rsid w:val="00B25EE3"/>
    <w:rsid w:val="00B269D4"/>
    <w:rsid w:val="00B319C4"/>
    <w:rsid w:val="00B3357C"/>
    <w:rsid w:val="00B344BC"/>
    <w:rsid w:val="00B34FE2"/>
    <w:rsid w:val="00B35CD8"/>
    <w:rsid w:val="00B36112"/>
    <w:rsid w:val="00B362DD"/>
    <w:rsid w:val="00B3778A"/>
    <w:rsid w:val="00B42404"/>
    <w:rsid w:val="00B47D4F"/>
    <w:rsid w:val="00B55470"/>
    <w:rsid w:val="00B619DA"/>
    <w:rsid w:val="00B61C4A"/>
    <w:rsid w:val="00B61EC9"/>
    <w:rsid w:val="00B62302"/>
    <w:rsid w:val="00B679AD"/>
    <w:rsid w:val="00B70A4B"/>
    <w:rsid w:val="00B71F3B"/>
    <w:rsid w:val="00B7502B"/>
    <w:rsid w:val="00B7744A"/>
    <w:rsid w:val="00B82D4D"/>
    <w:rsid w:val="00B83E6E"/>
    <w:rsid w:val="00B8573D"/>
    <w:rsid w:val="00B87B47"/>
    <w:rsid w:val="00B87EE6"/>
    <w:rsid w:val="00B9148E"/>
    <w:rsid w:val="00B9260A"/>
    <w:rsid w:val="00B9521E"/>
    <w:rsid w:val="00B96ABD"/>
    <w:rsid w:val="00BA3D77"/>
    <w:rsid w:val="00BA4C30"/>
    <w:rsid w:val="00BA5EC9"/>
    <w:rsid w:val="00BA6235"/>
    <w:rsid w:val="00BA7B29"/>
    <w:rsid w:val="00BB3B99"/>
    <w:rsid w:val="00BB69CD"/>
    <w:rsid w:val="00BB7D7A"/>
    <w:rsid w:val="00BC3552"/>
    <w:rsid w:val="00BD0C86"/>
    <w:rsid w:val="00BD6B76"/>
    <w:rsid w:val="00BE4641"/>
    <w:rsid w:val="00BE5A43"/>
    <w:rsid w:val="00BE646F"/>
    <w:rsid w:val="00BE64E1"/>
    <w:rsid w:val="00BF0C41"/>
    <w:rsid w:val="00BF12F4"/>
    <w:rsid w:val="00BF18DC"/>
    <w:rsid w:val="00C01516"/>
    <w:rsid w:val="00C01AC6"/>
    <w:rsid w:val="00C03D92"/>
    <w:rsid w:val="00C04B4F"/>
    <w:rsid w:val="00C10906"/>
    <w:rsid w:val="00C10B70"/>
    <w:rsid w:val="00C119E4"/>
    <w:rsid w:val="00C11B18"/>
    <w:rsid w:val="00C12FF4"/>
    <w:rsid w:val="00C13283"/>
    <w:rsid w:val="00C13DE2"/>
    <w:rsid w:val="00C13EF3"/>
    <w:rsid w:val="00C14408"/>
    <w:rsid w:val="00C14776"/>
    <w:rsid w:val="00C1796D"/>
    <w:rsid w:val="00C17F58"/>
    <w:rsid w:val="00C2140F"/>
    <w:rsid w:val="00C21938"/>
    <w:rsid w:val="00C27267"/>
    <w:rsid w:val="00C277D8"/>
    <w:rsid w:val="00C307E7"/>
    <w:rsid w:val="00C33C0B"/>
    <w:rsid w:val="00C34A92"/>
    <w:rsid w:val="00C34C87"/>
    <w:rsid w:val="00C35829"/>
    <w:rsid w:val="00C370A7"/>
    <w:rsid w:val="00C4454D"/>
    <w:rsid w:val="00C5322D"/>
    <w:rsid w:val="00C54074"/>
    <w:rsid w:val="00C551F9"/>
    <w:rsid w:val="00C57E90"/>
    <w:rsid w:val="00C62F1C"/>
    <w:rsid w:val="00C6380F"/>
    <w:rsid w:val="00C64FB4"/>
    <w:rsid w:val="00C65661"/>
    <w:rsid w:val="00C70041"/>
    <w:rsid w:val="00C744A3"/>
    <w:rsid w:val="00C74784"/>
    <w:rsid w:val="00C81DB5"/>
    <w:rsid w:val="00C8522A"/>
    <w:rsid w:val="00C87528"/>
    <w:rsid w:val="00C87A7A"/>
    <w:rsid w:val="00C900FF"/>
    <w:rsid w:val="00C914D1"/>
    <w:rsid w:val="00C9589C"/>
    <w:rsid w:val="00C97EC9"/>
    <w:rsid w:val="00CB3FC8"/>
    <w:rsid w:val="00CB442A"/>
    <w:rsid w:val="00CB62E6"/>
    <w:rsid w:val="00CB7EB3"/>
    <w:rsid w:val="00CC3C60"/>
    <w:rsid w:val="00CC6D25"/>
    <w:rsid w:val="00CD4B2E"/>
    <w:rsid w:val="00CD4DE4"/>
    <w:rsid w:val="00CD604F"/>
    <w:rsid w:val="00CD6527"/>
    <w:rsid w:val="00CD6B3F"/>
    <w:rsid w:val="00CE11C3"/>
    <w:rsid w:val="00CE3F09"/>
    <w:rsid w:val="00CF017D"/>
    <w:rsid w:val="00CF1BF1"/>
    <w:rsid w:val="00CF223E"/>
    <w:rsid w:val="00CF3002"/>
    <w:rsid w:val="00CF3E63"/>
    <w:rsid w:val="00CF561E"/>
    <w:rsid w:val="00CF56B3"/>
    <w:rsid w:val="00CF6BAE"/>
    <w:rsid w:val="00CF7A1A"/>
    <w:rsid w:val="00D0022F"/>
    <w:rsid w:val="00D00796"/>
    <w:rsid w:val="00D0088B"/>
    <w:rsid w:val="00D0206F"/>
    <w:rsid w:val="00D10073"/>
    <w:rsid w:val="00D107AD"/>
    <w:rsid w:val="00D143BA"/>
    <w:rsid w:val="00D20DD2"/>
    <w:rsid w:val="00D227DA"/>
    <w:rsid w:val="00D257AB"/>
    <w:rsid w:val="00D25E2C"/>
    <w:rsid w:val="00D318C5"/>
    <w:rsid w:val="00D32C67"/>
    <w:rsid w:val="00D338A6"/>
    <w:rsid w:val="00D34EEE"/>
    <w:rsid w:val="00D3746D"/>
    <w:rsid w:val="00D37BAF"/>
    <w:rsid w:val="00D45CDF"/>
    <w:rsid w:val="00D51B1E"/>
    <w:rsid w:val="00D540F5"/>
    <w:rsid w:val="00D57A41"/>
    <w:rsid w:val="00D615D2"/>
    <w:rsid w:val="00D628A0"/>
    <w:rsid w:val="00D71BA9"/>
    <w:rsid w:val="00D7267E"/>
    <w:rsid w:val="00D745F3"/>
    <w:rsid w:val="00D80627"/>
    <w:rsid w:val="00D901EC"/>
    <w:rsid w:val="00D94184"/>
    <w:rsid w:val="00D95829"/>
    <w:rsid w:val="00D95ADC"/>
    <w:rsid w:val="00D96598"/>
    <w:rsid w:val="00D979EA"/>
    <w:rsid w:val="00DA02B9"/>
    <w:rsid w:val="00DA42EA"/>
    <w:rsid w:val="00DA7A1C"/>
    <w:rsid w:val="00DA7FEA"/>
    <w:rsid w:val="00DB269B"/>
    <w:rsid w:val="00DB2C8A"/>
    <w:rsid w:val="00DB3BA2"/>
    <w:rsid w:val="00DC02B5"/>
    <w:rsid w:val="00DC17F5"/>
    <w:rsid w:val="00DC6CBA"/>
    <w:rsid w:val="00DD1FD4"/>
    <w:rsid w:val="00DD27D1"/>
    <w:rsid w:val="00DD2FB2"/>
    <w:rsid w:val="00DE12CC"/>
    <w:rsid w:val="00DE221A"/>
    <w:rsid w:val="00DE2334"/>
    <w:rsid w:val="00DE53F6"/>
    <w:rsid w:val="00DE5C1E"/>
    <w:rsid w:val="00DF68F0"/>
    <w:rsid w:val="00DF6CDE"/>
    <w:rsid w:val="00DF6E39"/>
    <w:rsid w:val="00E0113D"/>
    <w:rsid w:val="00E02BF5"/>
    <w:rsid w:val="00E039CB"/>
    <w:rsid w:val="00E06C1F"/>
    <w:rsid w:val="00E104A3"/>
    <w:rsid w:val="00E126F4"/>
    <w:rsid w:val="00E12A47"/>
    <w:rsid w:val="00E13114"/>
    <w:rsid w:val="00E1423B"/>
    <w:rsid w:val="00E17D08"/>
    <w:rsid w:val="00E20299"/>
    <w:rsid w:val="00E232E9"/>
    <w:rsid w:val="00E25D0C"/>
    <w:rsid w:val="00E317E1"/>
    <w:rsid w:val="00E31FB8"/>
    <w:rsid w:val="00E35CBD"/>
    <w:rsid w:val="00E3608D"/>
    <w:rsid w:val="00E4622F"/>
    <w:rsid w:val="00E53F1D"/>
    <w:rsid w:val="00E55337"/>
    <w:rsid w:val="00E55BF9"/>
    <w:rsid w:val="00E570B7"/>
    <w:rsid w:val="00E60866"/>
    <w:rsid w:val="00E617EF"/>
    <w:rsid w:val="00E6186E"/>
    <w:rsid w:val="00E639A2"/>
    <w:rsid w:val="00E63CEA"/>
    <w:rsid w:val="00E63F75"/>
    <w:rsid w:val="00E6467F"/>
    <w:rsid w:val="00E64D33"/>
    <w:rsid w:val="00E70F33"/>
    <w:rsid w:val="00E718B9"/>
    <w:rsid w:val="00E72F03"/>
    <w:rsid w:val="00E7429A"/>
    <w:rsid w:val="00E75D89"/>
    <w:rsid w:val="00E7694A"/>
    <w:rsid w:val="00E76E73"/>
    <w:rsid w:val="00E8205A"/>
    <w:rsid w:val="00E834B0"/>
    <w:rsid w:val="00E84434"/>
    <w:rsid w:val="00E87B4C"/>
    <w:rsid w:val="00E94ACE"/>
    <w:rsid w:val="00EA0512"/>
    <w:rsid w:val="00EA46CB"/>
    <w:rsid w:val="00EB30F5"/>
    <w:rsid w:val="00EB489C"/>
    <w:rsid w:val="00EB5C8B"/>
    <w:rsid w:val="00EB6BD2"/>
    <w:rsid w:val="00EC1D6E"/>
    <w:rsid w:val="00EC47CA"/>
    <w:rsid w:val="00EC5ABD"/>
    <w:rsid w:val="00EC6597"/>
    <w:rsid w:val="00ED18BA"/>
    <w:rsid w:val="00ED1C1B"/>
    <w:rsid w:val="00ED263C"/>
    <w:rsid w:val="00ED294B"/>
    <w:rsid w:val="00ED2A92"/>
    <w:rsid w:val="00ED503D"/>
    <w:rsid w:val="00EE11FD"/>
    <w:rsid w:val="00EE1D07"/>
    <w:rsid w:val="00EE292A"/>
    <w:rsid w:val="00EE4A71"/>
    <w:rsid w:val="00EE63C6"/>
    <w:rsid w:val="00EF4191"/>
    <w:rsid w:val="00F04F63"/>
    <w:rsid w:val="00F05643"/>
    <w:rsid w:val="00F06B50"/>
    <w:rsid w:val="00F1092C"/>
    <w:rsid w:val="00F12519"/>
    <w:rsid w:val="00F13235"/>
    <w:rsid w:val="00F1323B"/>
    <w:rsid w:val="00F13342"/>
    <w:rsid w:val="00F14117"/>
    <w:rsid w:val="00F1494E"/>
    <w:rsid w:val="00F15BEA"/>
    <w:rsid w:val="00F21D6D"/>
    <w:rsid w:val="00F23798"/>
    <w:rsid w:val="00F23C15"/>
    <w:rsid w:val="00F260AC"/>
    <w:rsid w:val="00F26DFB"/>
    <w:rsid w:val="00F27043"/>
    <w:rsid w:val="00F27776"/>
    <w:rsid w:val="00F32C0E"/>
    <w:rsid w:val="00F32E6E"/>
    <w:rsid w:val="00F330F8"/>
    <w:rsid w:val="00F366BC"/>
    <w:rsid w:val="00F40BA6"/>
    <w:rsid w:val="00F40E65"/>
    <w:rsid w:val="00F4134A"/>
    <w:rsid w:val="00F4263A"/>
    <w:rsid w:val="00F42A46"/>
    <w:rsid w:val="00F47587"/>
    <w:rsid w:val="00F47E96"/>
    <w:rsid w:val="00F50A3A"/>
    <w:rsid w:val="00F62A1E"/>
    <w:rsid w:val="00F639EC"/>
    <w:rsid w:val="00F64B8F"/>
    <w:rsid w:val="00F64DB9"/>
    <w:rsid w:val="00F65513"/>
    <w:rsid w:val="00F6551A"/>
    <w:rsid w:val="00F65CD2"/>
    <w:rsid w:val="00F71ADF"/>
    <w:rsid w:val="00F75E8F"/>
    <w:rsid w:val="00F8373E"/>
    <w:rsid w:val="00F83E6F"/>
    <w:rsid w:val="00F85399"/>
    <w:rsid w:val="00F93183"/>
    <w:rsid w:val="00F9390D"/>
    <w:rsid w:val="00F94055"/>
    <w:rsid w:val="00FA035F"/>
    <w:rsid w:val="00FA686C"/>
    <w:rsid w:val="00FA6932"/>
    <w:rsid w:val="00FA7445"/>
    <w:rsid w:val="00FA7EB0"/>
    <w:rsid w:val="00FB21F3"/>
    <w:rsid w:val="00FB3972"/>
    <w:rsid w:val="00FB68DC"/>
    <w:rsid w:val="00FB70DE"/>
    <w:rsid w:val="00FC2BD1"/>
    <w:rsid w:val="00FC31EB"/>
    <w:rsid w:val="00FD17C2"/>
    <w:rsid w:val="00FD634F"/>
    <w:rsid w:val="00FE0A7C"/>
    <w:rsid w:val="00FE1A4A"/>
    <w:rsid w:val="00FE2611"/>
    <w:rsid w:val="00FE2DBE"/>
    <w:rsid w:val="00FE780D"/>
    <w:rsid w:val="00FF02A1"/>
    <w:rsid w:val="00FF2067"/>
    <w:rsid w:val="00FF3FFA"/>
    <w:rsid w:val="00FF4EC5"/>
    <w:rsid w:val="00FF5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e1ff,#069,#bad1e8,#afd787,#cde6b4,#d1e8ba,#0000ac"/>
    </o:shapedefaults>
    <o:shapelayout v:ext="edit">
      <o:idmap v:ext="edit" data="1"/>
    </o:shapelayout>
  </w:shapeDefaults>
  <w:decimalSymbol w:val="."/>
  <w:listSeparator w:val=","/>
  <w14:docId w14:val="02A2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B3"/>
    <w:pPr>
      <w:spacing w:after="180"/>
    </w:pPr>
    <w:rPr>
      <w:sz w:val="22"/>
    </w:rPr>
  </w:style>
  <w:style w:type="paragraph" w:styleId="Heading1">
    <w:name w:val="heading 1"/>
    <w:aliases w:val="Heading 1 Parts"/>
    <w:basedOn w:val="Normal"/>
    <w:next w:val="BodyText"/>
    <w:link w:val="Heading1Char"/>
    <w:uiPriority w:val="9"/>
    <w:qFormat/>
    <w:rsid w:val="00472498"/>
    <w:pPr>
      <w:pageBreakBefore/>
      <w:numPr>
        <w:numId w:val="15"/>
      </w:numPr>
      <w:spacing w:after="0" w:line="259" w:lineRule="auto"/>
      <w:outlineLvl w:val="0"/>
    </w:pPr>
    <w:rPr>
      <w:rFonts w:ascii="Arial" w:eastAsiaTheme="minorHAnsi" w:hAnsi="Arial" w:cs="Arial"/>
      <w:b/>
      <w:noProof/>
      <w:color w:val="205493"/>
      <w:sz w:val="36"/>
      <w:szCs w:val="22"/>
    </w:rPr>
  </w:style>
  <w:style w:type="paragraph" w:styleId="Heading2">
    <w:name w:val="heading 2"/>
    <w:aliases w:val="Heading 2 Sub Parts No Numbering"/>
    <w:basedOn w:val="Normal"/>
    <w:next w:val="BodyText"/>
    <w:link w:val="Heading2Char"/>
    <w:uiPriority w:val="9"/>
    <w:qFormat/>
    <w:rsid w:val="00472498"/>
    <w:pPr>
      <w:keepNext/>
      <w:numPr>
        <w:ilvl w:val="1"/>
        <w:numId w:val="15"/>
      </w:numPr>
      <w:spacing w:after="0" w:line="259" w:lineRule="auto"/>
      <w:outlineLvl w:val="1"/>
    </w:pPr>
    <w:rPr>
      <w:rFonts w:ascii="Arial" w:hAnsi="Arial" w:cs="Arial"/>
      <w:b/>
      <w:bCs/>
      <w:iCs/>
      <w:color w:val="205493"/>
      <w:sz w:val="32"/>
      <w:szCs w:val="28"/>
    </w:rPr>
  </w:style>
  <w:style w:type="paragraph" w:styleId="Heading3">
    <w:name w:val="heading 3"/>
    <w:basedOn w:val="Normal"/>
    <w:next w:val="BodyText"/>
    <w:link w:val="Heading3Char"/>
    <w:qFormat/>
    <w:rsid w:val="00472498"/>
    <w:pPr>
      <w:keepNext/>
      <w:numPr>
        <w:ilvl w:val="2"/>
        <w:numId w:val="15"/>
      </w:numPr>
      <w:spacing w:after="0" w:line="259" w:lineRule="auto"/>
      <w:outlineLvl w:val="2"/>
    </w:pPr>
    <w:rPr>
      <w:rFonts w:eastAsiaTheme="minorHAnsi"/>
      <w:b/>
      <w:color w:val="205493"/>
      <w:sz w:val="32"/>
      <w:szCs w:val="22"/>
    </w:rPr>
  </w:style>
  <w:style w:type="paragraph" w:styleId="Heading4">
    <w:name w:val="heading 4"/>
    <w:aliases w:val="Heading 4 Subtasks"/>
    <w:basedOn w:val="Normal"/>
    <w:next w:val="BodyText"/>
    <w:link w:val="Heading4Char"/>
    <w:qFormat/>
    <w:rsid w:val="00A000CA"/>
    <w:pPr>
      <w:keepNext/>
      <w:spacing w:after="0" w:line="259" w:lineRule="auto"/>
      <w:ind w:left="1152" w:hanging="1152"/>
      <w:outlineLvl w:val="3"/>
    </w:pPr>
    <w:rPr>
      <w:rFonts w:ascii="Arial" w:hAnsi="Arial"/>
      <w:b/>
      <w:color w:val="205493"/>
      <w:sz w:val="28"/>
    </w:rPr>
  </w:style>
  <w:style w:type="paragraph" w:styleId="Heading5">
    <w:name w:val="heading 5"/>
    <w:basedOn w:val="Normal"/>
    <w:next w:val="BodyText"/>
    <w:link w:val="Heading5Char"/>
    <w:qFormat/>
    <w:rsid w:val="00C1796D"/>
    <w:pPr>
      <w:keepNext/>
      <w:keepLines/>
      <w:numPr>
        <w:ilvl w:val="4"/>
        <w:numId w:val="15"/>
      </w:numPr>
      <w:spacing w:after="0" w:line="259" w:lineRule="auto"/>
      <w:ind w:left="1152" w:hanging="1152"/>
      <w:outlineLvl w:val="4"/>
    </w:pPr>
    <w:rPr>
      <w:rFonts w:cs="Arial"/>
      <w:b/>
      <w:color w:val="205493"/>
      <w:sz w:val="28"/>
    </w:rPr>
  </w:style>
  <w:style w:type="paragraph" w:styleId="Heading6">
    <w:name w:val="heading 6"/>
    <w:basedOn w:val="Normal"/>
    <w:next w:val="Normal"/>
    <w:link w:val="Heading6Char"/>
    <w:qFormat/>
    <w:rsid w:val="00495B91"/>
    <w:pPr>
      <w:numPr>
        <w:ilvl w:val="5"/>
        <w:numId w:val="15"/>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5"/>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5"/>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2498"/>
    <w:pPr>
      <w:spacing w:after="160" w:line="259" w:lineRule="auto"/>
    </w:pPr>
    <w:rPr>
      <w:rFonts w:ascii="Calibri" w:hAnsi="Calibri"/>
      <w:lang w:val="en"/>
    </w:rPr>
  </w:style>
  <w:style w:type="character" w:customStyle="1" w:styleId="BodyTextChar">
    <w:name w:val="Body Text Char"/>
    <w:basedOn w:val="DefaultParagraphFont"/>
    <w:link w:val="BodyText"/>
    <w:rsid w:val="00472498"/>
    <w:rPr>
      <w:rFonts w:ascii="Calibri" w:hAnsi="Calibri"/>
      <w:sz w:val="22"/>
      <w:lang w:val="en"/>
    </w:rPr>
  </w:style>
  <w:style w:type="character" w:customStyle="1" w:styleId="Heading1Char">
    <w:name w:val="Heading 1 Char"/>
    <w:aliases w:val="Heading 1 Parts Char"/>
    <w:basedOn w:val="DefaultParagraphFont"/>
    <w:link w:val="Heading1"/>
    <w:uiPriority w:val="9"/>
    <w:rsid w:val="00472498"/>
    <w:rPr>
      <w:rFonts w:ascii="Arial" w:eastAsiaTheme="minorHAnsi" w:hAnsi="Arial" w:cs="Arial"/>
      <w:b/>
      <w:noProof/>
      <w:color w:val="205493"/>
      <w:sz w:val="36"/>
      <w:szCs w:val="22"/>
    </w:rPr>
  </w:style>
  <w:style w:type="character" w:customStyle="1" w:styleId="Heading2Char">
    <w:name w:val="Heading 2 Char"/>
    <w:aliases w:val="Heading 2 Sub Parts No Numbering Char"/>
    <w:basedOn w:val="DefaultParagraphFont"/>
    <w:link w:val="Heading2"/>
    <w:uiPriority w:val="9"/>
    <w:rsid w:val="00472498"/>
    <w:rPr>
      <w:rFonts w:ascii="Arial" w:hAnsi="Arial" w:cs="Arial"/>
      <w:b/>
      <w:bCs/>
      <w:iCs/>
      <w:color w:val="205493"/>
      <w:sz w:val="32"/>
      <w:szCs w:val="28"/>
    </w:rPr>
  </w:style>
  <w:style w:type="character" w:customStyle="1" w:styleId="Heading3Char">
    <w:name w:val="Heading 3 Char"/>
    <w:basedOn w:val="DefaultParagraphFont"/>
    <w:link w:val="Heading3"/>
    <w:rsid w:val="00666902"/>
    <w:rPr>
      <w:rFonts w:eastAsiaTheme="minorHAnsi"/>
      <w:b/>
      <w:color w:val="205493"/>
      <w:sz w:val="32"/>
      <w:szCs w:val="22"/>
    </w:rPr>
  </w:style>
  <w:style w:type="character" w:customStyle="1" w:styleId="Heading4Char">
    <w:name w:val="Heading 4 Char"/>
    <w:aliases w:val="Heading 4 Subtasks Char"/>
    <w:basedOn w:val="DefaultParagraphFont"/>
    <w:link w:val="Heading4"/>
    <w:rsid w:val="00A000CA"/>
    <w:rPr>
      <w:rFonts w:ascii="Arial" w:hAnsi="Arial"/>
      <w:b/>
      <w:color w:val="205493"/>
      <w:sz w:val="28"/>
    </w:rPr>
  </w:style>
  <w:style w:type="character" w:customStyle="1" w:styleId="Heading5Char">
    <w:name w:val="Heading 5 Char"/>
    <w:basedOn w:val="DefaultParagraphFont"/>
    <w:link w:val="Heading5"/>
    <w:rsid w:val="00666902"/>
    <w:rPr>
      <w:rFonts w:cs="Arial"/>
      <w:b/>
      <w:color w:val="205493"/>
      <w:sz w:val="28"/>
    </w:rPr>
  </w:style>
  <w:style w:type="character" w:customStyle="1" w:styleId="Heading6Char">
    <w:name w:val="Heading 6 Char"/>
    <w:basedOn w:val="DefaultParagraphFont"/>
    <w:link w:val="Heading6"/>
    <w:rsid w:val="00666902"/>
    <w:rPr>
      <w:b/>
      <w:bCs/>
      <w:sz w:val="22"/>
      <w:szCs w:val="22"/>
    </w:rPr>
  </w:style>
  <w:style w:type="character" w:customStyle="1" w:styleId="Heading7Char">
    <w:name w:val="Heading 7 Char"/>
    <w:basedOn w:val="DefaultParagraphFont"/>
    <w:link w:val="Heading7"/>
    <w:rsid w:val="0036180D"/>
    <w:rPr>
      <w:sz w:val="24"/>
      <w:szCs w:val="24"/>
    </w:rPr>
  </w:style>
  <w:style w:type="character" w:customStyle="1" w:styleId="Heading8Char">
    <w:name w:val="Heading 8 Char"/>
    <w:basedOn w:val="DefaultParagraphFont"/>
    <w:link w:val="Heading8"/>
    <w:rsid w:val="0036180D"/>
    <w:rPr>
      <w:i/>
      <w:iCs/>
      <w:sz w:val="24"/>
      <w:szCs w:val="24"/>
    </w:rPr>
  </w:style>
  <w:style w:type="character" w:customStyle="1" w:styleId="Heading9Char">
    <w:name w:val="Heading 9 Char"/>
    <w:basedOn w:val="DefaultParagraphFont"/>
    <w:link w:val="Heading9"/>
    <w:rsid w:val="0036180D"/>
    <w:rPr>
      <w:rFonts w:ascii="Arial" w:hAnsi="Arial" w:cs="Arial"/>
      <w:sz w:val="22"/>
      <w:szCs w:val="22"/>
    </w:rPr>
  </w:style>
  <w:style w:type="paragraph" w:styleId="Footer">
    <w:name w:val="footer"/>
    <w:basedOn w:val="Normal"/>
    <w:link w:val="FooterChar"/>
    <w:rsid w:val="00640143"/>
    <w:pPr>
      <w:tabs>
        <w:tab w:val="center" w:pos="4680"/>
        <w:tab w:val="right" w:pos="9360"/>
      </w:tabs>
      <w:spacing w:after="0"/>
    </w:pPr>
    <w:rPr>
      <w:rFonts w:ascii="Calibri" w:hAnsi="Calibri" w:cs="Arial"/>
    </w:rPr>
  </w:style>
  <w:style w:type="character" w:customStyle="1" w:styleId="FooterChar">
    <w:name w:val="Footer Char"/>
    <w:basedOn w:val="DefaultParagraphFont"/>
    <w:link w:val="Footer"/>
    <w:rsid w:val="00640143"/>
    <w:rPr>
      <w:rFonts w:ascii="Calibri" w:hAnsi="Calibri" w:cs="Arial"/>
      <w:sz w:val="22"/>
    </w:rPr>
  </w:style>
  <w:style w:type="paragraph" w:customStyle="1" w:styleId="TableRowHeader">
    <w:name w:val="Table Row Header"/>
    <w:rsid w:val="009732AC"/>
    <w:pPr>
      <w:spacing w:before="20" w:after="20"/>
    </w:pPr>
    <w:rPr>
      <w:rFonts w:ascii="Arial Narrow" w:hAnsi="Arial Narrow"/>
      <w:b/>
      <w:color w:val="FFFFFF" w:themeColor="background1"/>
    </w:rPr>
  </w:style>
  <w:style w:type="character" w:styleId="PageNumber">
    <w:name w:val="page number"/>
    <w:basedOn w:val="DefaultParagraphFont"/>
    <w:rsid w:val="00235F34"/>
    <w:rPr>
      <w:rFonts w:ascii="Arial" w:hAnsi="Arial"/>
      <w:color w:val="48A9C5" w:themeColor="accent1"/>
      <w:sz w:val="18"/>
    </w:rPr>
  </w:style>
  <w:style w:type="paragraph" w:customStyle="1" w:styleId="Bullets">
    <w:name w:val="Bullets"/>
    <w:basedOn w:val="BodyText"/>
    <w:link w:val="BulletsChar"/>
    <w:rsid w:val="00200BD1"/>
    <w:pPr>
      <w:numPr>
        <w:numId w:val="7"/>
      </w:numPr>
      <w:tabs>
        <w:tab w:val="left" w:pos="360"/>
      </w:tabs>
      <w:spacing w:after="120"/>
    </w:pPr>
  </w:style>
  <w:style w:type="character" w:customStyle="1" w:styleId="BulletsChar">
    <w:name w:val="Bullets Char"/>
    <w:basedOn w:val="BodyTextChar"/>
    <w:link w:val="Bullets"/>
    <w:locked/>
    <w:rsid w:val="0036180D"/>
    <w:rPr>
      <w:rFonts w:ascii="Calibri" w:hAnsi="Calibri"/>
      <w:sz w:val="22"/>
      <w:lang w:val="en"/>
    </w:r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styleId="TOC1">
    <w:name w:val="toc 1"/>
    <w:basedOn w:val="Normal"/>
    <w:next w:val="BodyText"/>
    <w:uiPriority w:val="39"/>
    <w:rsid w:val="00C27267"/>
    <w:pPr>
      <w:keepNext/>
      <w:tabs>
        <w:tab w:val="left" w:pos="720"/>
        <w:tab w:val="right" w:leader="dot" w:pos="9360"/>
      </w:tabs>
      <w:spacing w:before="120" w:after="0"/>
      <w:ind w:right="540"/>
    </w:pPr>
    <w:rPr>
      <w:rFonts w:ascii="Arial" w:eastAsia="Calibri" w:hAnsi="Arial" w:cs="Arial"/>
      <w:b/>
      <w:noProof/>
      <w:szCs w:val="24"/>
      <w:u w:color="7F7F7F" w:themeColor="text1" w:themeTint="80"/>
    </w:rPr>
  </w:style>
  <w:style w:type="character" w:styleId="CommentReference">
    <w:name w:val="annotation reference"/>
    <w:basedOn w:val="DefaultParagraphFont"/>
    <w:uiPriority w:val="99"/>
    <w:rPr>
      <w:sz w:val="16"/>
    </w:rPr>
  </w:style>
  <w:style w:type="paragraph" w:styleId="TOC2">
    <w:name w:val="toc 2"/>
    <w:next w:val="BodyText"/>
    <w:uiPriority w:val="39"/>
    <w:rsid w:val="00254104"/>
    <w:pPr>
      <w:tabs>
        <w:tab w:val="left" w:pos="1260"/>
        <w:tab w:val="right" w:leader="dot" w:pos="9360"/>
      </w:tabs>
      <w:ind w:left="1260" w:right="540" w:hanging="540"/>
    </w:pPr>
    <w:rPr>
      <w:rFonts w:ascii="Arial" w:hAnsi="Arial" w:cs="Arial"/>
      <w:noProof/>
      <w:sz w:val="22"/>
    </w:rPr>
  </w:style>
  <w:style w:type="paragraph" w:styleId="TOC3">
    <w:name w:val="toc 3"/>
    <w:next w:val="BodyText"/>
    <w:uiPriority w:val="39"/>
    <w:rsid w:val="00254104"/>
    <w:pPr>
      <w:tabs>
        <w:tab w:val="left" w:pos="1980"/>
        <w:tab w:val="right" w:leader="dot" w:pos="9360"/>
      </w:tabs>
      <w:ind w:left="1980" w:right="540"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rsid w:val="00CB7EB3"/>
    <w:pPr>
      <w:spacing w:after="0"/>
    </w:pPr>
  </w:style>
  <w:style w:type="paragraph" w:styleId="TOC9">
    <w:name w:val="toc 9"/>
    <w:basedOn w:val="Normal"/>
    <w:next w:val="Normal"/>
    <w:autoRedefine/>
    <w:uiPriority w:val="39"/>
    <w:pPr>
      <w:ind w:left="1920"/>
    </w:pPr>
  </w:style>
  <w:style w:type="character" w:styleId="FootnoteReference">
    <w:name w:val="footnote reference"/>
    <w:aliases w:val="*Footnote Reference"/>
    <w:basedOn w:val="DefaultParagraphFont"/>
    <w:uiPriority w:val="99"/>
    <w:rsid w:val="007B1904"/>
    <w:rPr>
      <w:vertAlign w:val="superscript"/>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iPriority w:val="99"/>
    <w:qFormat/>
    <w:rsid w:val="0024676F"/>
    <w:pPr>
      <w:spacing w:after="0"/>
    </w:pPr>
    <w:rPr>
      <w:rFonts w:ascii="Calibri" w:hAnsi="Calibri"/>
      <w:sz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uiPriority w:val="99"/>
    <w:rsid w:val="0024676F"/>
    <w:rPr>
      <w:rFonts w:ascii="Calibri" w:hAnsi="Calibri"/>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24676F"/>
  </w:style>
  <w:style w:type="paragraph" w:styleId="CommentSubject">
    <w:name w:val="annotation subject"/>
    <w:basedOn w:val="CommentText"/>
    <w:next w:val="CommentText"/>
    <w:link w:val="CommentSubjectChar"/>
    <w:rsid w:val="00D34EEE"/>
    <w:rPr>
      <w:b/>
      <w:bCs/>
    </w:rPr>
  </w:style>
  <w:style w:type="character" w:customStyle="1" w:styleId="CommentSubjectChar">
    <w:name w:val="Comment Subject Char"/>
    <w:basedOn w:val="CommentTextChar"/>
    <w:link w:val="CommentSubject"/>
    <w:uiPriority w:val="99"/>
    <w:rsid w:val="00304AF9"/>
    <w:rPr>
      <w:b/>
      <w:bCs/>
    </w:rPr>
  </w:style>
  <w:style w:type="paragraph" w:styleId="BalloonText">
    <w:name w:val="Balloon Text"/>
    <w:basedOn w:val="Normal"/>
    <w:link w:val="BalloonTextChar"/>
    <w:uiPriority w:val="99"/>
    <w:rsid w:val="00D34EEE"/>
    <w:rPr>
      <w:rFonts w:ascii="Tahoma" w:hAnsi="Tahoma" w:cs="Tahoma"/>
      <w:sz w:val="16"/>
      <w:szCs w:val="16"/>
    </w:rPr>
  </w:style>
  <w:style w:type="character" w:customStyle="1" w:styleId="BalloonTextChar">
    <w:name w:val="Balloon Text Char"/>
    <w:basedOn w:val="DefaultParagraphFont"/>
    <w:link w:val="BalloonText"/>
    <w:uiPriority w:val="99"/>
    <w:rsid w:val="00A15A1F"/>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253EAC"/>
    <w:pPr>
      <w:keepNext/>
      <w:tabs>
        <w:tab w:val="left" w:pos="1260"/>
      </w:tabs>
      <w:spacing w:after="120"/>
    </w:pPr>
    <w:rPr>
      <w:rFonts w:ascii="Calibri" w:eastAsiaTheme="minorHAnsi" w:hAnsi="Calibri" w:cs="Arial"/>
      <w:b/>
      <w:szCs w:val="22"/>
    </w:rPr>
  </w:style>
  <w:style w:type="character" w:customStyle="1" w:styleId="CaptionChar">
    <w:name w:val="Caption Char"/>
    <w:basedOn w:val="DefaultParagraphFont"/>
    <w:link w:val="Caption"/>
    <w:locked/>
    <w:rsid w:val="00253EAC"/>
    <w:rPr>
      <w:rFonts w:ascii="Calibri" w:eastAsiaTheme="minorHAnsi" w:hAnsi="Calibri" w:cs="Arial"/>
      <w:b/>
      <w:sz w:val="22"/>
      <w:szCs w:val="22"/>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200BD1"/>
    <w:pPr>
      <w:numPr>
        <w:numId w:val="3"/>
      </w:numPr>
      <w:spacing w:after="120" w:line="259" w:lineRule="auto"/>
    </w:pPr>
    <w:rPr>
      <w:rFonts w:ascii="Calibri" w:hAnsi="Calibri"/>
    </w:r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48A9C5"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TableText">
    <w:name w:val="Table Text"/>
    <w:basedOn w:val="Normal"/>
    <w:qFormat/>
    <w:rsid w:val="0024676F"/>
    <w:pPr>
      <w:spacing w:after="0"/>
    </w:pPr>
    <w:rPr>
      <w:rFonts w:ascii="Arial" w:hAnsi="Arial"/>
      <w:sz w:val="18"/>
    </w:rPr>
  </w:style>
  <w:style w:type="paragraph" w:customStyle="1" w:styleId="TableSource">
    <w:name w:val="Table Source"/>
    <w:basedOn w:val="Normal"/>
    <w:next w:val="BodyText"/>
    <w:qFormat/>
    <w:rsid w:val="0024676F"/>
    <w:pPr>
      <w:spacing w:before="120"/>
    </w:pPr>
    <w:rPr>
      <w:rFonts w:ascii="Arial" w:hAnsi="Arial"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254104"/>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SubtitleChar">
    <w:name w:val="Subtitle Char"/>
    <w:basedOn w:val="DefaultParagraphFont"/>
    <w:link w:val="Subtitle"/>
    <w:uiPriority w:val="11"/>
    <w:rsid w:val="00254104"/>
    <w:rPr>
      <w:rFonts w:asciiTheme="minorHAnsi" w:eastAsiaTheme="minorHAnsi" w:hAnsiTheme="minorHAnsi" w:cstheme="minorHAnsi"/>
      <w:i/>
      <w:color w:val="FFFFFF" w:themeColor="background1"/>
      <w:sz w:val="40"/>
      <w:szCs w:val="24"/>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paragraph" w:customStyle="1" w:styleId="Call-OutBoxHeader">
    <w:name w:val="Call-Out Box Header"/>
    <w:basedOn w:val="Normal"/>
    <w:next w:val="Call-OutBoxText"/>
    <w:qFormat/>
    <w:rsid w:val="009E146E"/>
    <w:pPr>
      <w:spacing w:after="120" w:line="259" w:lineRule="auto"/>
    </w:pPr>
    <w:rPr>
      <w:rFonts w:ascii="Arial" w:eastAsiaTheme="minorHAnsi" w:hAnsi="Arial" w:cs="Arial"/>
      <w:b/>
      <w:color w:val="000000" w:themeColor="text1"/>
      <w:sz w:val="18"/>
      <w:szCs w:val="22"/>
    </w:rPr>
  </w:style>
  <w:style w:type="paragraph" w:customStyle="1" w:styleId="Call-OutBoxText">
    <w:name w:val="Call-Out Box Text"/>
    <w:basedOn w:val="Normal"/>
    <w:qFormat/>
    <w:rsid w:val="009E146E"/>
    <w:pPr>
      <w:spacing w:after="0" w:line="259" w:lineRule="auto"/>
    </w:pPr>
    <w:rPr>
      <w:rFonts w:ascii="Arial" w:eastAsiaTheme="minorHAnsi" w:hAnsi="Arial" w:cs="Arial"/>
      <w:color w:val="000000" w:themeColor="text1"/>
      <w:sz w:val="18"/>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link w:val="Heading3NoNumberingChar"/>
    <w:qFormat/>
    <w:rsid w:val="009F7147"/>
    <w:pPr>
      <w:numPr>
        <w:ilvl w:val="0"/>
        <w:numId w:val="0"/>
      </w:numPr>
    </w:pPr>
  </w:style>
  <w:style w:type="character" w:customStyle="1" w:styleId="Heading3NoNumberingChar">
    <w:name w:val="Heading 3 No Numbering Char"/>
    <w:basedOn w:val="Heading3Char"/>
    <w:link w:val="Heading3NoNumbering"/>
    <w:rsid w:val="00F94055"/>
    <w:rPr>
      <w:rFonts w:eastAsiaTheme="minorHAnsi"/>
      <w:b/>
      <w:color w:val="205493"/>
      <w:sz w:val="32"/>
      <w:szCs w:val="22"/>
    </w:rPr>
  </w:style>
  <w:style w:type="paragraph" w:customStyle="1" w:styleId="TableBullets">
    <w:name w:val="Table Bullets"/>
    <w:basedOn w:val="ListParagraph"/>
    <w:qFormat/>
    <w:rsid w:val="00E55BF9"/>
    <w:pPr>
      <w:numPr>
        <w:numId w:val="4"/>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BodyTextNoSpaceAfter">
    <w:name w:val="Body Text No Space After"/>
    <w:basedOn w:val="BodyText"/>
    <w:qFormat/>
    <w:rsid w:val="00372DF9"/>
    <w:pPr>
      <w:spacing w:after="0"/>
    </w:pPr>
  </w:style>
  <w:style w:type="paragraph" w:customStyle="1" w:styleId="Heading1NoNumbering">
    <w:name w:val="Heading 1 No Numbering"/>
    <w:basedOn w:val="Heading1"/>
    <w:qFormat/>
    <w:rsid w:val="006C1475"/>
    <w:pPr>
      <w:numPr>
        <w:numId w:val="0"/>
      </w:numPr>
      <w:spacing w:line="252" w:lineRule="auto"/>
    </w:pPr>
  </w:style>
  <w:style w:type="paragraph" w:customStyle="1" w:styleId="TableColumnHeader">
    <w:name w:val="Table Column Header"/>
    <w:basedOn w:val="Normal"/>
    <w:qFormat/>
    <w:rsid w:val="0024676F"/>
    <w:pPr>
      <w:spacing w:after="0"/>
      <w:jc w:val="center"/>
    </w:pPr>
    <w:rPr>
      <w:rFonts w:ascii="Arial" w:hAnsi="Arial"/>
      <w:b/>
      <w:color w:val="000000" w:themeColor="text1"/>
      <w:sz w:val="18"/>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21417B"/>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PPText">
    <w:name w:val="PP Text"/>
    <w:basedOn w:val="Normal"/>
    <w:qFormat/>
    <w:rsid w:val="003F1A40"/>
    <w:pPr>
      <w:spacing w:after="120"/>
    </w:pPr>
    <w:rPr>
      <w:rFonts w:ascii="Arial Narrow" w:hAnsi="Arial Narrow"/>
      <w:sz w:val="20"/>
    </w:rPr>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9E146E"/>
    <w:pPr>
      <w:numPr>
        <w:numId w:val="6"/>
      </w:numPr>
      <w:ind w:left="216" w:hanging="216"/>
      <w:contextualSpacing/>
    </w:pPr>
  </w:style>
  <w:style w:type="paragraph" w:customStyle="1" w:styleId="PPBullet">
    <w:name w:val="PP Bullet"/>
    <w:qFormat/>
    <w:rsid w:val="0021417B"/>
    <w:pPr>
      <w:widowControl w:val="0"/>
      <w:numPr>
        <w:numId w:val="5"/>
      </w:numPr>
      <w:spacing w:after="120"/>
      <w:ind w:left="259" w:hanging="259"/>
      <w:contextualSpacing/>
    </w:pPr>
    <w:rPr>
      <w:rFonts w:ascii="Arial Narrow" w:eastAsiaTheme="minorHAnsi" w:hAnsi="Arial Narrow"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eastAsiaTheme="minorHAnsi" w:hAnsi="Century Gothic" w:cstheme="minorBidi"/>
      <w:b/>
      <w:i/>
      <w:color w:val="DA291C"/>
      <w:spacing w:val="20"/>
      <w:sz w:val="28"/>
      <w:szCs w:val="22"/>
    </w:rPr>
  </w:style>
  <w:style w:type="paragraph" w:customStyle="1" w:styleId="Heading2NoNumbering">
    <w:name w:val="Heading 2 No Numbering"/>
    <w:next w:val="BodyText"/>
    <w:link w:val="Heading2NoNumberingChar"/>
    <w:qFormat/>
    <w:rsid w:val="00472498"/>
    <w:pPr>
      <w:keepNext/>
      <w:spacing w:line="259" w:lineRule="auto"/>
    </w:pPr>
    <w:rPr>
      <w:rFonts w:ascii="Arial" w:eastAsiaTheme="minorHAnsi" w:hAnsi="Arial" w:cs="Arial"/>
      <w:b/>
      <w:color w:val="205493"/>
      <w:sz w:val="32"/>
      <w:szCs w:val="22"/>
    </w:rPr>
  </w:style>
  <w:style w:type="character" w:customStyle="1" w:styleId="Heading2NoNumberingChar">
    <w:name w:val="Heading 2 No Numbering Char"/>
    <w:basedOn w:val="Heading2Char"/>
    <w:link w:val="Heading2NoNumbering"/>
    <w:rsid w:val="00F94055"/>
    <w:rPr>
      <w:rFonts w:ascii="Arial" w:eastAsiaTheme="minorHAnsi" w:hAnsi="Arial" w:cs="Arial"/>
      <w:b/>
      <w:bCs w:val="0"/>
      <w:iCs w:val="0"/>
      <w:color w:val="205493"/>
      <w:sz w:val="32"/>
      <w:szCs w:val="2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48A9C5" w:themeColor="accent1"/>
      <w:szCs w:val="24"/>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uiPriority w:val="10"/>
    <w:qFormat/>
    <w:rsid w:val="006D3DFF"/>
    <w:pPr>
      <w:spacing w:after="600"/>
    </w:pPr>
    <w:rPr>
      <w:rFonts w:ascii="Arial" w:hAnsi="Arial" w:cs="Arial"/>
      <w:b/>
      <w:sz w:val="36"/>
      <w:szCs w:val="36"/>
    </w:rPr>
  </w:style>
  <w:style w:type="character" w:customStyle="1" w:styleId="TitleChar">
    <w:name w:val="Title Char"/>
    <w:basedOn w:val="DefaultParagraphFont"/>
    <w:link w:val="Title"/>
    <w:uiPriority w:val="10"/>
    <w:rsid w:val="006D3DFF"/>
    <w:rPr>
      <w:rFonts w:ascii="Arial" w:hAnsi="Arial" w:cs="Arial"/>
      <w:b/>
      <w:sz w:val="36"/>
      <w:szCs w:val="36"/>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961AAE"/>
    <w:pPr>
      <w:spacing w:after="0"/>
    </w:pPr>
    <w:rPr>
      <w:rFonts w:ascii="Arial Narrow" w:hAnsi="Arial Narrow"/>
      <w:b/>
      <w:color w:val="FFFFFF" w:themeColor="background1"/>
      <w:sz w:val="40"/>
    </w:rPr>
  </w:style>
  <w:style w:type="paragraph" w:customStyle="1" w:styleId="CoverSubmitted">
    <w:name w:val="Cover Submitted"/>
    <w:basedOn w:val="Normal"/>
    <w:qFormat/>
    <w:rsid w:val="00961AAE"/>
    <w:pPr>
      <w:spacing w:after="0"/>
    </w:pPr>
    <w:rPr>
      <w:rFonts w:ascii="Arial Narrow" w:hAnsi="Arial Narrow"/>
      <w:color w:val="FFFFFF" w:themeColor="background1"/>
      <w:sz w:val="32"/>
      <w:szCs w:val="32"/>
    </w:rPr>
  </w:style>
  <w:style w:type="paragraph" w:styleId="NoSpacing">
    <w:name w:val="No Spacing"/>
    <w:link w:val="NoSpacingChar"/>
    <w:uiPriority w:val="1"/>
    <w:qFormat/>
    <w:rsid w:val="009E146E"/>
    <w:rPr>
      <w:rFonts w:asciiTheme="minorHAnsi" w:eastAsiaTheme="minorEastAsia" w:hAnsiTheme="minorHAnsi" w:cstheme="minorBidi"/>
    </w:rPr>
  </w:style>
  <w:style w:type="character" w:customStyle="1" w:styleId="NoSpacingChar">
    <w:name w:val="No Spacing Char"/>
    <w:basedOn w:val="DefaultParagraphFont"/>
    <w:link w:val="NoSpacing"/>
    <w:uiPriority w:val="1"/>
    <w:locked/>
    <w:rsid w:val="0036180D"/>
    <w:rPr>
      <w:rFonts w:asciiTheme="minorHAnsi" w:eastAsiaTheme="minorEastAsia" w:hAnsiTheme="minorHAnsi" w:cstheme="minorBidi"/>
    </w:rPr>
  </w:style>
  <w:style w:type="table" w:customStyle="1" w:styleId="PlainTable2">
    <w:name w:val="Plain Table 2"/>
    <w:basedOn w:val="TableNormal"/>
    <w:uiPriority w:val="42"/>
    <w:rsid w:val="0024676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FC31EB"/>
    <w:pPr>
      <w:spacing w:after="0" w:line="259" w:lineRule="auto"/>
      <w:ind w:left="720" w:hanging="720"/>
    </w:pPr>
    <w:rPr>
      <w:rFonts w:ascii="Calibri" w:eastAsiaTheme="minorHAnsi" w:hAnsi="Calibri" w:cs="Calibri"/>
      <w:noProof/>
      <w:szCs w:val="22"/>
    </w:rPr>
  </w:style>
  <w:style w:type="character" w:customStyle="1" w:styleId="EndNoteBibliographyChar">
    <w:name w:val="EndNote Bibliography Char"/>
    <w:basedOn w:val="DefaultParagraphFont"/>
    <w:link w:val="EndNoteBibliography"/>
    <w:rsid w:val="00FC31EB"/>
    <w:rPr>
      <w:rFonts w:ascii="Calibri" w:eastAsiaTheme="minorHAnsi" w:hAnsi="Calibri" w:cs="Calibri"/>
      <w:noProof/>
      <w:sz w:val="22"/>
      <w:szCs w:val="22"/>
    </w:rPr>
  </w:style>
  <w:style w:type="paragraph" w:styleId="NormalWeb">
    <w:name w:val="Normal (Web)"/>
    <w:basedOn w:val="Normal"/>
    <w:uiPriority w:val="99"/>
    <w:unhideWhenUsed/>
    <w:rsid w:val="004E7E7B"/>
    <w:pPr>
      <w:spacing w:before="100" w:beforeAutospacing="1" w:after="100" w:afterAutospacing="1"/>
    </w:pPr>
    <w:rPr>
      <w:rFonts w:eastAsiaTheme="minorEastAsia"/>
      <w:sz w:val="24"/>
      <w:szCs w:val="24"/>
    </w:rPr>
  </w:style>
  <w:style w:type="character" w:customStyle="1" w:styleId="highlight">
    <w:name w:val="highlight"/>
    <w:basedOn w:val="DefaultParagraphFont"/>
    <w:rsid w:val="009826A8"/>
  </w:style>
  <w:style w:type="paragraph" w:customStyle="1" w:styleId="EndNoteBibliographyTitle">
    <w:name w:val="EndNote Bibliography Title"/>
    <w:basedOn w:val="Normal"/>
    <w:link w:val="EndNoteBibliographyTitleChar"/>
    <w:rsid w:val="002155ED"/>
    <w:pPr>
      <w:spacing w:after="0"/>
      <w:jc w:val="center"/>
    </w:pPr>
    <w:rPr>
      <w:rFonts w:ascii="Calibri" w:hAnsi="Calibri" w:cs="Calibri"/>
      <w:noProof/>
    </w:rPr>
  </w:style>
  <w:style w:type="character" w:customStyle="1" w:styleId="EndNoteBibliographyTitleChar">
    <w:name w:val="EndNote Bibliography Title Char"/>
    <w:basedOn w:val="BodyTextChar"/>
    <w:link w:val="EndNoteBibliographyTitle"/>
    <w:rsid w:val="002155ED"/>
    <w:rPr>
      <w:rFonts w:ascii="Calibri" w:hAnsi="Calibri" w:cs="Calibri"/>
      <w:noProof/>
      <w:sz w:val="22"/>
      <w:lang w:val="en"/>
    </w:rPr>
  </w:style>
  <w:style w:type="character" w:styleId="FollowedHyperlink">
    <w:name w:val="FollowedHyperlink"/>
    <w:basedOn w:val="DefaultParagraphFont"/>
    <w:semiHidden/>
    <w:unhideWhenUsed/>
    <w:rsid w:val="000338F5"/>
    <w:rPr>
      <w:color w:val="800080" w:themeColor="followedHyperlink"/>
      <w:u w:val="single"/>
    </w:rPr>
  </w:style>
  <w:style w:type="paragraph" w:styleId="Revision">
    <w:name w:val="Revision"/>
    <w:hidden/>
    <w:uiPriority w:val="99"/>
    <w:rsid w:val="00BE646F"/>
    <w:rPr>
      <w:sz w:val="22"/>
    </w:rPr>
  </w:style>
  <w:style w:type="character" w:customStyle="1" w:styleId="UnresolvedMention">
    <w:name w:val="Unresolved Mention"/>
    <w:basedOn w:val="DefaultParagraphFont"/>
    <w:uiPriority w:val="99"/>
    <w:semiHidden/>
    <w:unhideWhenUsed/>
    <w:rsid w:val="00052D00"/>
    <w:rPr>
      <w:color w:val="605E5C"/>
      <w:shd w:val="clear" w:color="auto" w:fill="E1DFDD"/>
    </w:rPr>
  </w:style>
  <w:style w:type="character" w:styleId="PlaceholderText">
    <w:name w:val="Placeholder Text"/>
    <w:basedOn w:val="DefaultParagraphFont"/>
    <w:uiPriority w:val="99"/>
    <w:semiHidden/>
    <w:rsid w:val="00A15A1F"/>
    <w:rPr>
      <w:color w:val="808080"/>
    </w:rPr>
  </w:style>
  <w:style w:type="table" w:customStyle="1" w:styleId="PlainTable21">
    <w:name w:val="Plain Table 21"/>
    <w:basedOn w:val="TableNormal"/>
    <w:uiPriority w:val="42"/>
    <w:rsid w:val="00F32C0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32C0E"/>
    <w:rPr>
      <w:i/>
      <w:iCs/>
    </w:rPr>
  </w:style>
  <w:style w:type="character" w:customStyle="1" w:styleId="italic">
    <w:name w:val="italic"/>
    <w:basedOn w:val="DefaultParagraphFont"/>
    <w:rsid w:val="00F32C0E"/>
  </w:style>
  <w:style w:type="character" w:customStyle="1" w:styleId="named-content">
    <w:name w:val="named-content"/>
    <w:basedOn w:val="DefaultParagraphFont"/>
    <w:rsid w:val="00F32C0E"/>
  </w:style>
  <w:style w:type="character" w:styleId="Strong">
    <w:name w:val="Strong"/>
    <w:basedOn w:val="DefaultParagraphFont"/>
    <w:uiPriority w:val="22"/>
    <w:qFormat/>
    <w:rsid w:val="00F32C0E"/>
    <w:rPr>
      <w:b/>
      <w:bCs/>
    </w:rPr>
  </w:style>
  <w:style w:type="character" w:customStyle="1" w:styleId="tp-size">
    <w:name w:val="tp-size"/>
    <w:basedOn w:val="DefaultParagraphFont"/>
    <w:rsid w:val="00F32C0E"/>
  </w:style>
  <w:style w:type="paragraph" w:customStyle="1" w:styleId="Header3">
    <w:name w:val="Header 3"/>
    <w:qFormat/>
    <w:rsid w:val="00F32C0E"/>
    <w:pPr>
      <w:spacing w:before="400" w:line="259" w:lineRule="auto"/>
    </w:pPr>
    <w:rPr>
      <w:rFonts w:ascii="Times" w:eastAsiaTheme="minorHAnsi" w:hAnsi="Times" w:cs="Times New Roman (Body CS)"/>
      <w:b/>
      <w:color w:val="000000"/>
      <w:sz w:val="30"/>
      <w:szCs w:val="22"/>
    </w:rPr>
  </w:style>
  <w:style w:type="table" w:customStyle="1" w:styleId="GridTableLight">
    <w:name w:val="Grid Table Light"/>
    <w:basedOn w:val="TableNormal"/>
    <w:uiPriority w:val="40"/>
    <w:rsid w:val="00F32C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lfld-title">
    <w:name w:val="hlfld-title"/>
    <w:basedOn w:val="DefaultParagraphFont"/>
    <w:rsid w:val="00F32C0E"/>
  </w:style>
  <w:style w:type="paragraph" w:styleId="EndnoteText">
    <w:name w:val="endnote text"/>
    <w:basedOn w:val="Normal"/>
    <w:link w:val="EndnoteTextChar"/>
    <w:semiHidden/>
    <w:unhideWhenUsed/>
    <w:rsid w:val="00F32C0E"/>
    <w:pPr>
      <w:spacing w:after="0"/>
    </w:pPr>
    <w:rPr>
      <w:sz w:val="20"/>
    </w:rPr>
  </w:style>
  <w:style w:type="character" w:customStyle="1" w:styleId="EndnoteTextChar">
    <w:name w:val="Endnote Text Char"/>
    <w:basedOn w:val="DefaultParagraphFont"/>
    <w:link w:val="EndnoteText"/>
    <w:semiHidden/>
    <w:rsid w:val="00F32C0E"/>
  </w:style>
  <w:style w:type="character" w:styleId="EndnoteReference">
    <w:name w:val="endnote reference"/>
    <w:basedOn w:val="DefaultParagraphFont"/>
    <w:uiPriority w:val="99"/>
    <w:semiHidden/>
    <w:unhideWhenUsed/>
    <w:rsid w:val="00F32C0E"/>
    <w:rPr>
      <w:vertAlign w:val="superscript"/>
    </w:rPr>
  </w:style>
  <w:style w:type="character" w:customStyle="1" w:styleId="fulltext-it">
    <w:name w:val="fulltext-it"/>
    <w:basedOn w:val="DefaultParagraphFont"/>
    <w:rsid w:val="00F32C0E"/>
  </w:style>
  <w:style w:type="character" w:customStyle="1" w:styleId="titledefault">
    <w:name w:val="title_default"/>
    <w:basedOn w:val="DefaultParagraphFont"/>
    <w:rsid w:val="00304AF9"/>
  </w:style>
  <w:style w:type="character" w:customStyle="1" w:styleId="normaltextrun">
    <w:name w:val="normaltextrun"/>
    <w:basedOn w:val="DefaultParagraphFont"/>
    <w:rsid w:val="00304AF9"/>
  </w:style>
  <w:style w:type="table" w:customStyle="1" w:styleId="PlainTable4">
    <w:name w:val="Plain Table 4"/>
    <w:basedOn w:val="TableNormal"/>
    <w:uiPriority w:val="44"/>
    <w:rsid w:val="00304AF9"/>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04AF9"/>
    <w:rPr>
      <w:color w:val="605E5C"/>
      <w:shd w:val="clear" w:color="auto" w:fill="E1DFDD"/>
    </w:rPr>
  </w:style>
  <w:style w:type="character" w:customStyle="1" w:styleId="e24kjd">
    <w:name w:val="e24kjd"/>
    <w:basedOn w:val="DefaultParagraphFont"/>
    <w:rsid w:val="00A11284"/>
  </w:style>
  <w:style w:type="table" w:customStyle="1" w:styleId="PlainTable22">
    <w:name w:val="Plain Table 22"/>
    <w:basedOn w:val="TableNormal"/>
    <w:uiPriority w:val="42"/>
    <w:rsid w:val="00A11284"/>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1">
    <w:name w:val="st1"/>
    <w:basedOn w:val="DefaultParagraphFont"/>
    <w:rsid w:val="00A000CA"/>
  </w:style>
  <w:style w:type="paragraph" w:customStyle="1" w:styleId="Header4">
    <w:name w:val="Header 4"/>
    <w:basedOn w:val="Normal"/>
    <w:qFormat/>
    <w:rsid w:val="008F61A6"/>
    <w:pPr>
      <w:spacing w:before="100" w:after="0" w:line="288" w:lineRule="auto"/>
    </w:pPr>
    <w:rPr>
      <w:rFonts w:ascii="Times" w:eastAsiaTheme="minorHAnsi" w:hAnsi="Times" w:cstheme="minorBidi"/>
      <w:i/>
      <w:sz w:val="26"/>
      <w:szCs w:val="22"/>
    </w:rPr>
  </w:style>
  <w:style w:type="paragraph" w:customStyle="1" w:styleId="Heading4NoNumbering">
    <w:name w:val="Heading 4 No Numbering"/>
    <w:basedOn w:val="Heading4"/>
    <w:link w:val="Heading4NoNumberingChar"/>
    <w:qFormat/>
    <w:rsid w:val="008F61A6"/>
    <w:pPr>
      <w:ind w:left="0" w:firstLine="0"/>
    </w:pPr>
  </w:style>
  <w:style w:type="character" w:customStyle="1" w:styleId="Heading4NoNumberingChar">
    <w:name w:val="Heading 4 No Numbering Char"/>
    <w:basedOn w:val="Heading4Char"/>
    <w:link w:val="Heading4NoNumbering"/>
    <w:rsid w:val="008F61A6"/>
    <w:rPr>
      <w:rFonts w:ascii="Arial" w:hAnsi="Arial"/>
      <w:b/>
      <w:color w:val="205493"/>
      <w:sz w:val="28"/>
    </w:rPr>
  </w:style>
  <w:style w:type="character" w:customStyle="1" w:styleId="doi2">
    <w:name w:val="doi2"/>
    <w:basedOn w:val="DefaultParagraphFont"/>
    <w:rsid w:val="00666902"/>
  </w:style>
  <w:style w:type="character" w:customStyle="1" w:styleId="citation-url">
    <w:name w:val="citation-url"/>
    <w:basedOn w:val="DefaultParagraphFont"/>
    <w:rsid w:val="00666902"/>
  </w:style>
  <w:style w:type="paragraph" w:customStyle="1" w:styleId="Exhibitlabels">
    <w:name w:val="Exhibit labels"/>
    <w:basedOn w:val="Normal"/>
    <w:qFormat/>
    <w:rsid w:val="00666902"/>
    <w:pPr>
      <w:spacing w:before="100" w:after="160" w:line="288" w:lineRule="auto"/>
    </w:pPr>
    <w:rPr>
      <w:rFonts w:ascii="Arial" w:eastAsiaTheme="minorHAnsi" w:hAnsi="Arial" w:cstheme="minorBidi"/>
      <w:sz w:val="16"/>
      <w:szCs w:val="16"/>
    </w:rPr>
  </w:style>
  <w:style w:type="character" w:customStyle="1" w:styleId="ref-journal">
    <w:name w:val="ref-journal"/>
    <w:basedOn w:val="DefaultParagraphFont"/>
    <w:rsid w:val="00666902"/>
  </w:style>
  <w:style w:type="character" w:customStyle="1" w:styleId="ref-vol">
    <w:name w:val="ref-vol"/>
    <w:basedOn w:val="DefaultParagraphFont"/>
    <w:rsid w:val="00666902"/>
  </w:style>
  <w:style w:type="character" w:customStyle="1" w:styleId="titleseparator">
    <w:name w:val="titleseparator"/>
    <w:basedOn w:val="DefaultParagraphFont"/>
    <w:rsid w:val="00666902"/>
  </w:style>
  <w:style w:type="character" w:customStyle="1" w:styleId="citation-volume-pages">
    <w:name w:val="citation-volume-pages"/>
    <w:basedOn w:val="DefaultParagraphFont"/>
    <w:rsid w:val="00666902"/>
  </w:style>
  <w:style w:type="character" w:customStyle="1" w:styleId="ref-title">
    <w:name w:val="ref-title"/>
    <w:basedOn w:val="DefaultParagraphFont"/>
    <w:rsid w:val="00666902"/>
  </w:style>
  <w:style w:type="character" w:customStyle="1" w:styleId="colon-for-citation-subtitle">
    <w:name w:val="colon-for-citation-subtitle"/>
    <w:basedOn w:val="DefaultParagraphFont"/>
    <w:rsid w:val="00666902"/>
  </w:style>
  <w:style w:type="character" w:customStyle="1" w:styleId="Subtitle3">
    <w:name w:val="Subtitle3"/>
    <w:basedOn w:val="DefaultParagraphFont"/>
    <w:rsid w:val="00666902"/>
  </w:style>
  <w:style w:type="character" w:customStyle="1" w:styleId="bkprnt1">
    <w:name w:val="bk_prnt1"/>
    <w:basedOn w:val="DefaultParagraphFont"/>
    <w:rsid w:val="00666902"/>
    <w:rPr>
      <w:vanish/>
      <w:webHidden w:val="0"/>
      <w:specVanish w:val="0"/>
    </w:rPr>
  </w:style>
  <w:style w:type="character" w:customStyle="1" w:styleId="UnresolvedMention2">
    <w:name w:val="Unresolved Mention2"/>
    <w:basedOn w:val="DefaultParagraphFont"/>
    <w:uiPriority w:val="99"/>
    <w:unhideWhenUsed/>
    <w:rsid w:val="00666902"/>
    <w:rPr>
      <w:color w:val="605E5C"/>
      <w:shd w:val="clear" w:color="auto" w:fill="E1DFDD"/>
    </w:rPr>
  </w:style>
  <w:style w:type="character" w:customStyle="1" w:styleId="apple-converted-space">
    <w:name w:val="apple-converted-space"/>
    <w:basedOn w:val="DefaultParagraphFont"/>
    <w:rsid w:val="008D5287"/>
  </w:style>
  <w:style w:type="table" w:customStyle="1" w:styleId="GridTable4Accent6">
    <w:name w:val="Grid Table 4 Accent 6"/>
    <w:basedOn w:val="TableNormal"/>
    <w:uiPriority w:val="49"/>
    <w:rsid w:val="00F94055"/>
    <w:rPr>
      <w:rFonts w:asciiTheme="minorHAnsi" w:eastAsiaTheme="minorHAnsi" w:hAnsiTheme="minorHAnsi" w:cstheme="minorBidi"/>
      <w:sz w:val="22"/>
      <w:szCs w:val="22"/>
    </w:rPr>
    <w:tblPr>
      <w:tblStyleRowBandSize w:val="1"/>
      <w:tblStyleColBandSize w:val="1"/>
      <w:tblBorders>
        <w:top w:val="single" w:sz="4" w:space="0" w:color="D3DEE4" w:themeColor="accent6" w:themeTint="99"/>
        <w:left w:val="single" w:sz="4" w:space="0" w:color="D3DEE4" w:themeColor="accent6" w:themeTint="99"/>
        <w:bottom w:val="single" w:sz="4" w:space="0" w:color="D3DEE4" w:themeColor="accent6" w:themeTint="99"/>
        <w:right w:val="single" w:sz="4" w:space="0" w:color="D3DEE4" w:themeColor="accent6" w:themeTint="99"/>
        <w:insideH w:val="single" w:sz="4" w:space="0" w:color="D3DEE4" w:themeColor="accent6" w:themeTint="99"/>
        <w:insideV w:val="single" w:sz="4" w:space="0" w:color="D3DEE4" w:themeColor="accent6" w:themeTint="99"/>
      </w:tblBorders>
    </w:tblPr>
    <w:tblStylePr w:type="firstRow">
      <w:rPr>
        <w:b/>
        <w:bCs/>
        <w:color w:val="FFFFFF" w:themeColor="background1"/>
      </w:rPr>
      <w:tblPr/>
      <w:tcPr>
        <w:tcBorders>
          <w:top w:val="single" w:sz="4" w:space="0" w:color="B7C9D3" w:themeColor="accent6"/>
          <w:left w:val="single" w:sz="4" w:space="0" w:color="B7C9D3" w:themeColor="accent6"/>
          <w:bottom w:val="single" w:sz="4" w:space="0" w:color="B7C9D3" w:themeColor="accent6"/>
          <w:right w:val="single" w:sz="4" w:space="0" w:color="B7C9D3" w:themeColor="accent6"/>
          <w:insideH w:val="nil"/>
          <w:insideV w:val="nil"/>
        </w:tcBorders>
        <w:shd w:val="clear" w:color="auto" w:fill="B7C9D3" w:themeFill="accent6"/>
      </w:tcPr>
    </w:tblStylePr>
    <w:tblStylePr w:type="lastRow">
      <w:rPr>
        <w:b/>
        <w:bCs/>
      </w:rPr>
      <w:tblPr/>
      <w:tcPr>
        <w:tcBorders>
          <w:top w:val="double" w:sz="4" w:space="0" w:color="B7C9D3" w:themeColor="accent6"/>
        </w:tcBorders>
      </w:tcPr>
    </w:tblStylePr>
    <w:tblStylePr w:type="firstCol">
      <w:rPr>
        <w:b/>
        <w:bCs/>
      </w:rPr>
    </w:tblStylePr>
    <w:tblStylePr w:type="lastCol">
      <w:rPr>
        <w:b/>
        <w:bCs/>
      </w:rPr>
    </w:tblStylePr>
    <w:tblStylePr w:type="band1Vert">
      <w:tblPr/>
      <w:tcPr>
        <w:shd w:val="clear" w:color="auto" w:fill="F0F4F6" w:themeFill="accent6" w:themeFillTint="33"/>
      </w:tcPr>
    </w:tblStylePr>
    <w:tblStylePr w:type="band1Horz">
      <w:tblPr/>
      <w:tcPr>
        <w:shd w:val="clear" w:color="auto" w:fill="F0F4F6" w:themeFill="accent6" w:themeFillTint="33"/>
      </w:tcPr>
    </w:tblStylePr>
  </w:style>
  <w:style w:type="table" w:customStyle="1" w:styleId="TableGridLight1">
    <w:name w:val="Table Grid Light1"/>
    <w:basedOn w:val="TableNormal"/>
    <w:uiPriority w:val="40"/>
    <w:rsid w:val="00B344BC"/>
    <w:pPr>
      <w:spacing w:after="200" w:line="288" w:lineRule="auto"/>
    </w:pPr>
    <w:rPr>
      <w:rFonts w:ascii="Times" w:eastAsiaTheme="minorHAnsi" w:hAnsi="Times" w:cs="Times New Roman (Body CS)"/>
      <w:color w:val="000000" w:themeColor="text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Pr>
    <w:tcPr>
      <w:tcMar>
        <w:top w:w="86" w:type="dxa"/>
        <w:left w:w="115" w:type="dxa"/>
        <w:bottom w:w="0" w:type="dxa"/>
        <w:right w:w="115" w:type="dxa"/>
      </w:tcMar>
      <w:vAlign w:val="bottom"/>
    </w:tcPr>
  </w:style>
  <w:style w:type="paragraph" w:customStyle="1" w:styleId="TableRow1">
    <w:name w:val="Table Row 1"/>
    <w:basedOn w:val="Normal"/>
    <w:qFormat/>
    <w:rsid w:val="00B344BC"/>
    <w:pPr>
      <w:spacing w:after="160" w:line="288" w:lineRule="auto"/>
    </w:pPr>
    <w:rPr>
      <w:rFonts w:ascii="Times" w:eastAsiaTheme="minorHAnsi" w:hAnsi="Times" w:cs="Times New Roman (Body CS)"/>
      <w:b/>
      <w:color w:val="000000" w:themeColor="text1"/>
      <w:sz w:val="16"/>
      <w:szCs w:val="22"/>
    </w:rPr>
  </w:style>
  <w:style w:type="paragraph" w:customStyle="1" w:styleId="TableColumn1">
    <w:name w:val="Table Column 1"/>
    <w:basedOn w:val="Normal"/>
    <w:qFormat/>
    <w:rsid w:val="00B344BC"/>
    <w:pPr>
      <w:spacing w:after="160" w:line="288" w:lineRule="auto"/>
    </w:pPr>
    <w:rPr>
      <w:rFonts w:ascii="Times" w:eastAsiaTheme="minorHAnsi" w:hAnsi="Times" w:cs="Times New Roman (Body CS)"/>
      <w:b/>
      <w:i/>
      <w:color w:val="000000" w:themeColor="text1"/>
      <w:sz w:val="16"/>
      <w:szCs w:val="22"/>
    </w:rPr>
  </w:style>
  <w:style w:type="paragraph" w:customStyle="1" w:styleId="Tabletext0">
    <w:name w:val="Table text"/>
    <w:basedOn w:val="Normal"/>
    <w:link w:val="TabletextChar"/>
    <w:qFormat/>
    <w:rsid w:val="00B344BC"/>
    <w:pPr>
      <w:spacing w:after="200" w:line="288" w:lineRule="auto"/>
    </w:pPr>
    <w:rPr>
      <w:rFonts w:ascii="Times" w:eastAsiaTheme="minorHAnsi" w:hAnsi="Times" w:cs="Times New Roman (Body CS)"/>
      <w:color w:val="000000" w:themeColor="text1"/>
      <w:sz w:val="16"/>
      <w:szCs w:val="22"/>
    </w:rPr>
  </w:style>
  <w:style w:type="character" w:customStyle="1" w:styleId="TabletextChar">
    <w:name w:val="Table text Char"/>
    <w:basedOn w:val="DefaultParagraphFont"/>
    <w:link w:val="Tabletext0"/>
    <w:rsid w:val="00B344BC"/>
    <w:rPr>
      <w:rFonts w:ascii="Times" w:eastAsiaTheme="minorHAnsi" w:hAnsi="Times" w:cs="Times New Roman (Body CS)"/>
      <w:color w:val="000000" w:themeColor="text1"/>
      <w:sz w:val="16"/>
      <w:szCs w:val="22"/>
    </w:rPr>
  </w:style>
  <w:style w:type="character" w:customStyle="1" w:styleId="Heading1Char1">
    <w:name w:val="Heading 1 Char1"/>
    <w:aliases w:val="Heading 1 Parts Char1"/>
    <w:basedOn w:val="DefaultParagraphFont"/>
    <w:uiPriority w:val="9"/>
    <w:rsid w:val="0036180D"/>
    <w:rPr>
      <w:rFonts w:asciiTheme="majorHAnsi" w:eastAsiaTheme="majorEastAsia" w:hAnsiTheme="majorHAnsi" w:cstheme="majorBidi"/>
      <w:color w:val="308198" w:themeColor="accent1" w:themeShade="BF"/>
      <w:sz w:val="32"/>
      <w:szCs w:val="32"/>
    </w:rPr>
  </w:style>
  <w:style w:type="character" w:customStyle="1" w:styleId="Heading2Char1">
    <w:name w:val="Heading 2 Char1"/>
    <w:aliases w:val="Heading 2 Sub Parts No Numbering Char1"/>
    <w:basedOn w:val="DefaultParagraphFont"/>
    <w:uiPriority w:val="9"/>
    <w:semiHidden/>
    <w:rsid w:val="0036180D"/>
    <w:rPr>
      <w:rFonts w:asciiTheme="majorHAnsi" w:eastAsiaTheme="majorEastAsia" w:hAnsiTheme="majorHAnsi" w:cstheme="majorBidi"/>
      <w:color w:val="308198" w:themeColor="accent1" w:themeShade="BF"/>
      <w:sz w:val="26"/>
      <w:szCs w:val="26"/>
    </w:rPr>
  </w:style>
  <w:style w:type="character" w:customStyle="1" w:styleId="Heading4Char1">
    <w:name w:val="Heading 4 Char1"/>
    <w:aliases w:val="Heading 4 Subtasks Char1"/>
    <w:basedOn w:val="DefaultParagraphFont"/>
    <w:semiHidden/>
    <w:rsid w:val="0036180D"/>
    <w:rPr>
      <w:rFonts w:asciiTheme="majorHAnsi" w:eastAsiaTheme="majorEastAsia" w:hAnsiTheme="majorHAnsi" w:cstheme="majorBidi"/>
      <w:i/>
      <w:iCs/>
      <w:color w:val="308198" w:themeColor="accent1" w:themeShade="BF"/>
      <w:sz w:val="22"/>
    </w:rPr>
  </w:style>
  <w:style w:type="character" w:customStyle="1" w:styleId="FootnoteTextChar1">
    <w:name w:val="Footnote Text Char1"/>
    <w:aliases w:val="F1 Char1,*Footnote Text Char1,Footnote Text Char Char Char Char Char1,Footnote Text Char Char Char1,Footnote Text ERA Char1,Footnote Text ERA1 Char1,Footnote Text ERA2 Char1,Footnote Text ERA11 Char1,Footnote Text ERA3 Char1,fn Char1"/>
    <w:basedOn w:val="DefaultParagraphFont"/>
    <w:semiHidden/>
    <w:rsid w:val="0036180D"/>
    <w:rPr>
      <w:rFonts w:eastAsiaTheme="minorHAnsi"/>
    </w:rPr>
  </w:style>
  <w:style w:type="paragraph" w:styleId="TableofFigures">
    <w:name w:val="table of figures"/>
    <w:basedOn w:val="Normal"/>
    <w:next w:val="Normal"/>
    <w:semiHidden/>
    <w:unhideWhenUsed/>
    <w:rsid w:val="0036180D"/>
    <w:pPr>
      <w:spacing w:after="0" w:line="264" w:lineRule="auto"/>
    </w:pPr>
  </w:style>
  <w:style w:type="paragraph" w:styleId="BodyText2">
    <w:name w:val="Body Text 2"/>
    <w:basedOn w:val="Normal"/>
    <w:link w:val="BodyText2Char"/>
    <w:semiHidden/>
    <w:unhideWhenUsed/>
    <w:rsid w:val="0036180D"/>
    <w:pPr>
      <w:spacing w:after="120" w:line="480" w:lineRule="auto"/>
    </w:pPr>
  </w:style>
  <w:style w:type="character" w:customStyle="1" w:styleId="BodyText2Char">
    <w:name w:val="Body Text 2 Char"/>
    <w:basedOn w:val="DefaultParagraphFont"/>
    <w:link w:val="BodyText2"/>
    <w:semiHidden/>
    <w:rsid w:val="0036180D"/>
    <w:rPr>
      <w:sz w:val="22"/>
    </w:rPr>
  </w:style>
  <w:style w:type="paragraph" w:styleId="PlainText">
    <w:name w:val="Plain Text"/>
    <w:basedOn w:val="Normal"/>
    <w:link w:val="PlainTextChar"/>
    <w:semiHidden/>
    <w:unhideWhenUsed/>
    <w:rsid w:val="0036180D"/>
    <w:pPr>
      <w:spacing w:after="0"/>
    </w:pPr>
    <w:rPr>
      <w:rFonts w:ascii="Calibri" w:eastAsiaTheme="minorHAnsi" w:hAnsi="Calibri"/>
      <w:szCs w:val="22"/>
    </w:rPr>
  </w:style>
  <w:style w:type="character" w:customStyle="1" w:styleId="PlainTextChar">
    <w:name w:val="Plain Text Char"/>
    <w:basedOn w:val="DefaultParagraphFont"/>
    <w:link w:val="PlainText"/>
    <w:semiHidden/>
    <w:rsid w:val="0036180D"/>
    <w:rPr>
      <w:rFonts w:ascii="Calibri" w:eastAsiaTheme="minorHAnsi" w:hAnsi="Calibri"/>
      <w:sz w:val="22"/>
      <w:szCs w:val="22"/>
    </w:rPr>
  </w:style>
  <w:style w:type="paragraph" w:styleId="TOCHeading">
    <w:name w:val="TOC Heading"/>
    <w:basedOn w:val="Heading1"/>
    <w:next w:val="Normal"/>
    <w:uiPriority w:val="39"/>
    <w:semiHidden/>
    <w:unhideWhenUsed/>
    <w:qFormat/>
    <w:rsid w:val="0036180D"/>
    <w:pPr>
      <w:keepNext/>
      <w:keepLines/>
      <w:pageBreakBefore w:val="0"/>
      <w:numPr>
        <w:numId w:val="0"/>
      </w:numPr>
      <w:spacing w:before="240" w:line="256" w:lineRule="auto"/>
      <w:outlineLvl w:val="9"/>
    </w:pPr>
    <w:rPr>
      <w:rFonts w:asciiTheme="majorHAnsi" w:eastAsiaTheme="majorEastAsia" w:hAnsiTheme="majorHAnsi" w:cstheme="majorBidi"/>
      <w:b w:val="0"/>
      <w:noProof w:val="0"/>
      <w:color w:val="308198" w:themeColor="accent1" w:themeShade="BF"/>
      <w:sz w:val="32"/>
      <w:szCs w:val="32"/>
    </w:rPr>
  </w:style>
  <w:style w:type="character" w:customStyle="1" w:styleId="AbbreviationsChar">
    <w:name w:val="Abbreviations Char"/>
    <w:basedOn w:val="BodyTextChar"/>
    <w:link w:val="Abbreviations"/>
    <w:locked/>
    <w:rsid w:val="0036180D"/>
    <w:rPr>
      <w:rFonts w:ascii="Calibri" w:eastAsiaTheme="minorEastAsia" w:hAnsi="Calibri"/>
      <w:sz w:val="22"/>
      <w:lang w:val="en"/>
    </w:rPr>
  </w:style>
  <w:style w:type="paragraph" w:customStyle="1" w:styleId="Abbreviations">
    <w:name w:val="Abbreviations"/>
    <w:basedOn w:val="BodyText"/>
    <w:link w:val="AbbreviationsChar"/>
    <w:qFormat/>
    <w:rsid w:val="0036180D"/>
    <w:pPr>
      <w:spacing w:after="180" w:line="264" w:lineRule="auto"/>
      <w:ind w:left="1440" w:hanging="1440"/>
    </w:pPr>
    <w:rPr>
      <w:rFonts w:ascii="Times New Roman" w:eastAsiaTheme="minorEastAsia" w:hAnsi="Times New Roman"/>
      <w:lang w:val="en-US"/>
    </w:rPr>
  </w:style>
  <w:style w:type="paragraph" w:customStyle="1" w:styleId="Author">
    <w:name w:val="Author"/>
    <w:basedOn w:val="Normal"/>
    <w:uiPriority w:val="99"/>
    <w:qFormat/>
    <w:rsid w:val="0036180D"/>
    <w:pPr>
      <w:spacing w:after="200" w:line="276" w:lineRule="auto"/>
      <w:jc w:val="center"/>
    </w:pPr>
    <w:rPr>
      <w:rFonts w:ascii="Arial" w:eastAsiaTheme="minorEastAsia" w:hAnsi="Arial" w:cs="Arial"/>
      <w:b/>
      <w:bCs/>
      <w:sz w:val="28"/>
      <w:szCs w:val="24"/>
      <w:lang w:bidi="ne-NP"/>
    </w:rPr>
  </w:style>
  <w:style w:type="character" w:customStyle="1" w:styleId="BodyTextNoSpaceChar">
    <w:name w:val="Body Text No Space Char"/>
    <w:basedOn w:val="BodyTextChar"/>
    <w:link w:val="BodyTextNoSpace"/>
    <w:locked/>
    <w:rsid w:val="0036180D"/>
    <w:rPr>
      <w:rFonts w:ascii="Calibri" w:eastAsiaTheme="minorEastAsia" w:hAnsi="Calibri"/>
      <w:sz w:val="22"/>
      <w:lang w:val="en"/>
    </w:rPr>
  </w:style>
  <w:style w:type="paragraph" w:customStyle="1" w:styleId="BodyTextNoSpace">
    <w:name w:val="Body Text No Space"/>
    <w:basedOn w:val="BodyText"/>
    <w:link w:val="BodyTextNoSpaceChar"/>
    <w:qFormat/>
    <w:rsid w:val="0036180D"/>
    <w:pPr>
      <w:spacing w:after="180" w:line="240" w:lineRule="auto"/>
    </w:pPr>
    <w:rPr>
      <w:rFonts w:ascii="Times New Roman" w:eastAsiaTheme="minorEastAsia" w:hAnsi="Times New Roman"/>
      <w:lang w:val="en-US"/>
    </w:rPr>
  </w:style>
  <w:style w:type="paragraph" w:customStyle="1" w:styleId="CaptionBox">
    <w:name w:val="Caption Box"/>
    <w:basedOn w:val="Caption"/>
    <w:uiPriority w:val="99"/>
    <w:qFormat/>
    <w:rsid w:val="0036180D"/>
    <w:pPr>
      <w:keepLines/>
      <w:widowControl w:val="0"/>
      <w:tabs>
        <w:tab w:val="clear" w:pos="1260"/>
        <w:tab w:val="left" w:pos="1080"/>
      </w:tabs>
    </w:pPr>
    <w:rPr>
      <w:rFonts w:eastAsia="Times New Roman" w:cs="Calibri"/>
      <w:color w:val="000000" w:themeColor="text1"/>
      <w:szCs w:val="20"/>
    </w:rPr>
  </w:style>
  <w:style w:type="paragraph" w:customStyle="1" w:styleId="TableBody">
    <w:name w:val="Table Body"/>
    <w:basedOn w:val="Normal"/>
    <w:uiPriority w:val="99"/>
    <w:qFormat/>
    <w:rsid w:val="0036180D"/>
    <w:pPr>
      <w:spacing w:line="360" w:lineRule="auto"/>
    </w:pPr>
    <w:rPr>
      <w:rFonts w:ascii="Arial" w:eastAsiaTheme="minorEastAsia" w:hAnsi="Arial" w:cs="Arial"/>
      <w:lang w:bidi="ne-NP"/>
    </w:rPr>
  </w:style>
  <w:style w:type="paragraph" w:customStyle="1" w:styleId="TableBullet1">
    <w:name w:val="Table Bullet 1"/>
    <w:basedOn w:val="ListParagraph"/>
    <w:uiPriority w:val="99"/>
    <w:qFormat/>
    <w:rsid w:val="0036180D"/>
    <w:pPr>
      <w:numPr>
        <w:numId w:val="47"/>
      </w:numPr>
      <w:tabs>
        <w:tab w:val="num" w:pos="360"/>
      </w:tabs>
      <w:spacing w:after="0" w:line="360" w:lineRule="auto"/>
      <w:ind w:left="360" w:firstLine="0"/>
    </w:pPr>
    <w:rPr>
      <w:rFonts w:ascii="Arial" w:eastAsiaTheme="minorEastAsia" w:hAnsi="Arial" w:cs="Arial"/>
      <w:lang w:bidi="ne-NP"/>
    </w:rPr>
  </w:style>
  <w:style w:type="paragraph" w:customStyle="1" w:styleId="Heading1APPNoNumbering">
    <w:name w:val="Heading 1 APP No Numbering"/>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cs="Times New Roman"/>
      <w:noProof w:val="0"/>
      <w:color w:val="FFFFFF"/>
      <w:kern w:val="28"/>
      <w:sz w:val="28"/>
      <w:szCs w:val="20"/>
    </w:rPr>
  </w:style>
  <w:style w:type="paragraph" w:customStyle="1" w:styleId="Heading2Tasks">
    <w:name w:val="Heading 2 Tasks"/>
    <w:basedOn w:val="Heading2"/>
    <w:next w:val="BodyText"/>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pPr>
    <w:rPr>
      <w:rFonts w:eastAsia="Calibri"/>
      <w:b w:val="0"/>
      <w:iCs w:val="0"/>
      <w:color w:val="000000" w:themeColor="text1"/>
      <w:sz w:val="24"/>
    </w:rPr>
  </w:style>
  <w:style w:type="paragraph" w:customStyle="1" w:styleId="CoverLetterTextOnly">
    <w:name w:val="Cover Letter Text Only"/>
    <w:basedOn w:val="Normal"/>
    <w:uiPriority w:val="99"/>
    <w:qFormat/>
    <w:rsid w:val="0036180D"/>
    <w:pPr>
      <w:spacing w:line="264" w:lineRule="auto"/>
    </w:pPr>
    <w:rPr>
      <w:sz w:val="24"/>
      <w:szCs w:val="24"/>
    </w:rPr>
  </w:style>
  <w:style w:type="paragraph" w:customStyle="1" w:styleId="TOCMainHeaders">
    <w:name w:val="TOC Main Headers"/>
    <w:basedOn w:val="TOC1"/>
    <w:uiPriority w:val="99"/>
    <w:qFormat/>
    <w:rsid w:val="0036180D"/>
    <w:pPr>
      <w:keepNext w:val="0"/>
      <w:tabs>
        <w:tab w:val="left" w:pos="540"/>
        <w:tab w:val="left" w:pos="576"/>
        <w:tab w:val="right" w:leader="dot" w:pos="8990"/>
      </w:tabs>
      <w:spacing w:before="240" w:after="180"/>
      <w:ind w:left="540" w:hanging="540"/>
    </w:pPr>
    <w:rPr>
      <w:rFonts w:eastAsia="Times New Roman"/>
      <w:color w:val="48A9C5" w:themeColor="accent1"/>
      <w:sz w:val="28"/>
      <w:szCs w:val="20"/>
    </w:rPr>
  </w:style>
  <w:style w:type="paragraph" w:customStyle="1" w:styleId="RFPText">
    <w:name w:val="RFP Text"/>
    <w:basedOn w:val="TableText"/>
    <w:uiPriority w:val="99"/>
    <w:qFormat/>
    <w:rsid w:val="0036180D"/>
    <w:pPr>
      <w:shd w:val="clear" w:color="auto" w:fill="D9D9D9" w:themeFill="background1" w:themeFillShade="D9"/>
      <w:spacing w:before="40" w:after="120" w:line="264" w:lineRule="auto"/>
    </w:pPr>
    <w:rPr>
      <w:rFonts w:cs="Arial"/>
      <w:color w:val="000000"/>
      <w:sz w:val="20"/>
    </w:rPr>
  </w:style>
  <w:style w:type="paragraph" w:customStyle="1" w:styleId="aaaindent">
    <w:name w:val="aaa indent"/>
    <w:basedOn w:val="Normal"/>
    <w:uiPriority w:val="99"/>
    <w:qFormat/>
    <w:rsid w:val="0036180D"/>
    <w:pPr>
      <w:spacing w:line="480" w:lineRule="auto"/>
      <w:ind w:firstLine="360"/>
    </w:pPr>
    <w:rPr>
      <w:rFonts w:ascii="Arial Narrow" w:hAnsi="Arial Narrow"/>
      <w:spacing w:val="-6"/>
      <w:sz w:val="24"/>
      <w:lang w:val="en"/>
    </w:rPr>
  </w:style>
  <w:style w:type="paragraph" w:customStyle="1" w:styleId="aaanoindent">
    <w:name w:val="aaa no indent"/>
    <w:basedOn w:val="aaaindent"/>
    <w:uiPriority w:val="99"/>
    <w:qFormat/>
    <w:rsid w:val="0036180D"/>
    <w:pPr>
      <w:ind w:firstLine="0"/>
    </w:pPr>
  </w:style>
  <w:style w:type="paragraph" w:customStyle="1" w:styleId="Responsetextnoindent">
    <w:name w:val="Response text no indent"/>
    <w:basedOn w:val="aaanoindent"/>
    <w:uiPriority w:val="99"/>
    <w:qFormat/>
    <w:rsid w:val="0036180D"/>
  </w:style>
  <w:style w:type="paragraph" w:customStyle="1" w:styleId="Call-OutBoxTextHeader">
    <w:name w:val="Call-Out Box Text Header"/>
    <w:basedOn w:val="Normal"/>
    <w:uiPriority w:val="99"/>
    <w:qFormat/>
    <w:rsid w:val="0036180D"/>
    <w:pPr>
      <w:spacing w:after="60"/>
      <w:ind w:right="18"/>
    </w:pPr>
    <w:rPr>
      <w:rFonts w:asciiTheme="minorHAnsi" w:eastAsiaTheme="minorHAnsi" w:hAnsiTheme="minorHAnsi" w:cs="Arial"/>
      <w:b/>
      <w:i/>
      <w:sz w:val="20"/>
      <w:szCs w:val="22"/>
    </w:rPr>
  </w:style>
  <w:style w:type="paragraph" w:customStyle="1" w:styleId="Call-OutBoxTextArial">
    <w:name w:val="Call-Out Box Text (Arial)"/>
    <w:basedOn w:val="NoSpacing"/>
    <w:uiPriority w:val="99"/>
    <w:qFormat/>
    <w:rsid w:val="0036180D"/>
    <w:pPr>
      <w:ind w:left="180" w:right="204"/>
    </w:pPr>
    <w:rPr>
      <w:rFonts w:ascii="Arial Narrow" w:eastAsia="Times New Roman" w:hAnsi="Arial Narrow" w:cs="Arial"/>
      <w:sz w:val="22"/>
    </w:rPr>
  </w:style>
  <w:style w:type="paragraph" w:customStyle="1" w:styleId="BodyTextNOIndent">
    <w:name w:val="Body Text NO Indent"/>
    <w:basedOn w:val="BodyText"/>
    <w:uiPriority w:val="99"/>
    <w:qFormat/>
    <w:rsid w:val="0036180D"/>
    <w:pPr>
      <w:spacing w:after="180" w:line="264" w:lineRule="auto"/>
    </w:pPr>
    <w:rPr>
      <w:rFonts w:ascii="Times New Roman" w:hAnsi="Times New Roman"/>
      <w:lang w:val="en-US"/>
    </w:rPr>
  </w:style>
  <w:style w:type="paragraph" w:customStyle="1" w:styleId="ExhibitSource">
    <w:name w:val="Exhibit Source"/>
    <w:basedOn w:val="Normal"/>
    <w:uiPriority w:val="99"/>
    <w:qFormat/>
    <w:rsid w:val="0036180D"/>
    <w:pPr>
      <w:spacing w:before="40" w:after="40" w:line="264" w:lineRule="auto"/>
    </w:pPr>
    <w:rPr>
      <w:rFonts w:ascii="Arial Narrow" w:hAnsi="Arial Narrow" w:cs="Arial"/>
      <w:i/>
      <w:sz w:val="18"/>
    </w:rPr>
  </w:style>
  <w:style w:type="paragraph" w:customStyle="1" w:styleId="ExhibitText">
    <w:name w:val="Exhibit Text"/>
    <w:basedOn w:val="TableText"/>
    <w:uiPriority w:val="99"/>
    <w:qFormat/>
    <w:rsid w:val="0036180D"/>
    <w:pPr>
      <w:spacing w:before="20" w:after="20"/>
    </w:pPr>
    <w:rPr>
      <w:rFonts w:ascii="Arial Narrow" w:hAnsi="Arial Narrow" w:cs="Arial"/>
      <w:bCs/>
      <w:color w:val="000000"/>
      <w:sz w:val="20"/>
    </w:rPr>
  </w:style>
  <w:style w:type="paragraph" w:customStyle="1" w:styleId="ExhibitBullet">
    <w:name w:val="Exhibit Bullet"/>
    <w:basedOn w:val="BodyText"/>
    <w:uiPriority w:val="99"/>
    <w:qFormat/>
    <w:rsid w:val="0036180D"/>
    <w:pPr>
      <w:numPr>
        <w:numId w:val="48"/>
      </w:numPr>
      <w:spacing w:after="180" w:line="264" w:lineRule="auto"/>
      <w:contextualSpacing/>
    </w:pPr>
    <w:rPr>
      <w:rFonts w:ascii="Times New Roman" w:eastAsia="Calibri" w:hAnsi="Times New Roman"/>
      <w:sz w:val="20"/>
      <w:lang w:val="en-US"/>
    </w:rPr>
  </w:style>
  <w:style w:type="paragraph" w:customStyle="1" w:styleId="TableBullet">
    <w:name w:val="Table Bullet"/>
    <w:basedOn w:val="TableText"/>
    <w:uiPriority w:val="99"/>
    <w:qFormat/>
    <w:rsid w:val="0036180D"/>
    <w:pPr>
      <w:numPr>
        <w:numId w:val="49"/>
      </w:numPr>
      <w:spacing w:before="40" w:after="40" w:line="264" w:lineRule="auto"/>
    </w:pPr>
    <w:rPr>
      <w:rFonts w:cs="Arial"/>
      <w:bCs/>
      <w:color w:val="000000"/>
      <w:szCs w:val="18"/>
    </w:rPr>
  </w:style>
  <w:style w:type="paragraph" w:customStyle="1" w:styleId="Heading3Nonumbering0">
    <w:name w:val="Heading 3 No numbering"/>
    <w:basedOn w:val="Heading4"/>
    <w:next w:val="BodyText"/>
    <w:uiPriority w:val="99"/>
    <w:qFormat/>
    <w:rsid w:val="0036180D"/>
    <w:pPr>
      <w:spacing w:before="60" w:after="60" w:line="264" w:lineRule="auto"/>
      <w:ind w:left="0" w:firstLine="0"/>
    </w:pPr>
    <w:rPr>
      <w:rFonts w:eastAsia="Calibri"/>
      <w:color w:val="auto"/>
      <w:sz w:val="20"/>
    </w:rPr>
  </w:style>
  <w:style w:type="paragraph" w:customStyle="1" w:styleId="ExhibitColumnHeader">
    <w:name w:val="Exhibit Column Header"/>
    <w:uiPriority w:val="99"/>
    <w:qFormat/>
    <w:rsid w:val="0036180D"/>
    <w:pPr>
      <w:spacing w:before="20" w:after="20"/>
      <w:jc w:val="center"/>
    </w:pPr>
    <w:rPr>
      <w:rFonts w:ascii="Arial Narrow" w:hAnsi="Arial Narrow" w:cs="Arial"/>
      <w:b/>
      <w:bCs/>
      <w:color w:val="000000" w:themeColor="text1"/>
    </w:rPr>
  </w:style>
  <w:style w:type="paragraph" w:customStyle="1" w:styleId="ExhibitColumnHead">
    <w:name w:val="Exhibit Column Head"/>
    <w:uiPriority w:val="99"/>
    <w:qFormat/>
    <w:rsid w:val="0036180D"/>
    <w:pPr>
      <w:jc w:val="center"/>
    </w:pPr>
    <w:rPr>
      <w:rFonts w:ascii="Arial Narrow" w:hAnsi="Arial Narrow" w:cs="Arial"/>
      <w:b/>
      <w:color w:val="000000" w:themeColor="text1"/>
      <w:sz w:val="18"/>
    </w:rPr>
  </w:style>
  <w:style w:type="paragraph" w:customStyle="1" w:styleId="BodyTextAfterTables">
    <w:name w:val="Body Text After Tables"/>
    <w:basedOn w:val="BodyText"/>
    <w:uiPriority w:val="99"/>
    <w:qFormat/>
    <w:rsid w:val="0036180D"/>
    <w:pPr>
      <w:spacing w:after="180" w:line="264" w:lineRule="auto"/>
    </w:pPr>
    <w:rPr>
      <w:rFonts w:ascii="Times New Roman" w:eastAsiaTheme="minorHAnsi" w:hAnsi="Times New Roman"/>
      <w:lang w:val="en-US"/>
    </w:rPr>
  </w:style>
  <w:style w:type="paragraph" w:customStyle="1" w:styleId="FrontPageCallOutBullet">
    <w:name w:val="Front Page Call Out Bullet"/>
    <w:basedOn w:val="ListParagraph"/>
    <w:uiPriority w:val="99"/>
    <w:qFormat/>
    <w:rsid w:val="0036180D"/>
    <w:pPr>
      <w:numPr>
        <w:numId w:val="50"/>
      </w:numPr>
      <w:tabs>
        <w:tab w:val="num" w:pos="360"/>
      </w:tabs>
      <w:snapToGrid w:val="0"/>
      <w:ind w:firstLine="0"/>
    </w:pPr>
    <w:rPr>
      <w:rFonts w:ascii="Arial Narrow" w:eastAsia="Times New Roman" w:hAnsi="Arial Narrow"/>
      <w:sz w:val="24"/>
    </w:rPr>
  </w:style>
  <w:style w:type="paragraph" w:customStyle="1" w:styleId="ExhibitBullets">
    <w:name w:val="Exhibit Bullets"/>
    <w:basedOn w:val="ListParagraph"/>
    <w:uiPriority w:val="99"/>
    <w:qFormat/>
    <w:rsid w:val="0036180D"/>
    <w:pPr>
      <w:numPr>
        <w:numId w:val="51"/>
      </w:numPr>
      <w:tabs>
        <w:tab w:val="num" w:pos="360"/>
      </w:tabs>
      <w:spacing w:after="0"/>
      <w:ind w:left="720" w:firstLine="0"/>
    </w:pPr>
    <w:rPr>
      <w:rFonts w:ascii="Arial Narrow" w:eastAsia="Times New Roman" w:hAnsi="Arial Narrow"/>
      <w:szCs w:val="20"/>
    </w:rPr>
  </w:style>
  <w:style w:type="paragraph" w:customStyle="1" w:styleId="BodyTextatgraphic">
    <w:name w:val="Body Text at graphic"/>
    <w:basedOn w:val="Normal"/>
    <w:uiPriority w:val="99"/>
    <w:qFormat/>
    <w:rsid w:val="0036180D"/>
    <w:pPr>
      <w:spacing w:line="264" w:lineRule="auto"/>
      <w:jc w:val="center"/>
    </w:pPr>
    <w:rPr>
      <w:sz w:val="24"/>
      <w:szCs w:val="24"/>
    </w:rPr>
  </w:style>
  <w:style w:type="paragraph" w:customStyle="1" w:styleId="ResumeBullet">
    <w:name w:val="Resume Bullet"/>
    <w:basedOn w:val="Normal"/>
    <w:uiPriority w:val="99"/>
    <w:qFormat/>
    <w:rsid w:val="0036180D"/>
    <w:pPr>
      <w:numPr>
        <w:numId w:val="52"/>
      </w:numPr>
      <w:spacing w:line="264" w:lineRule="auto"/>
    </w:pPr>
    <w:rPr>
      <w:rFonts w:eastAsia="Calibri"/>
      <w:bCs/>
      <w:sz w:val="24"/>
      <w:szCs w:val="24"/>
    </w:rPr>
  </w:style>
  <w:style w:type="paragraph" w:customStyle="1" w:styleId="ResumeBodyText">
    <w:name w:val="Resume Body Text"/>
    <w:basedOn w:val="Normal"/>
    <w:uiPriority w:val="99"/>
    <w:qFormat/>
    <w:rsid w:val="0036180D"/>
    <w:pPr>
      <w:spacing w:line="264" w:lineRule="auto"/>
    </w:pPr>
    <w:rPr>
      <w:rFonts w:eastAsia="Calibri"/>
      <w:sz w:val="24"/>
      <w:szCs w:val="24"/>
    </w:rPr>
  </w:style>
  <w:style w:type="paragraph" w:customStyle="1" w:styleId="AppendixC">
    <w:name w:val="Appendix C"/>
    <w:aliases w:val="project title"/>
    <w:basedOn w:val="TableText"/>
    <w:next w:val="TableText"/>
    <w:uiPriority w:val="99"/>
    <w:qFormat/>
    <w:rsid w:val="0036180D"/>
    <w:pPr>
      <w:keepLines/>
      <w:spacing w:before="40" w:after="120" w:line="264" w:lineRule="auto"/>
    </w:pPr>
    <w:rPr>
      <w:rFonts w:eastAsia="Arial Narrow" w:cs="Arial"/>
      <w:b/>
      <w:bCs/>
      <w:color w:val="000000"/>
      <w:sz w:val="22"/>
    </w:rPr>
  </w:style>
  <w:style w:type="paragraph" w:customStyle="1" w:styleId="ExhibitRowHeader">
    <w:name w:val="Exhibit Row Header"/>
    <w:basedOn w:val="ExhibitText"/>
    <w:uiPriority w:val="99"/>
    <w:rsid w:val="0036180D"/>
  </w:style>
  <w:style w:type="paragraph" w:customStyle="1" w:styleId="Exhibit">
    <w:name w:val="Exhibit"/>
    <w:basedOn w:val="Normal"/>
    <w:uiPriority w:val="99"/>
    <w:rsid w:val="0036180D"/>
    <w:pPr>
      <w:spacing w:line="264" w:lineRule="auto"/>
    </w:pPr>
    <w:rPr>
      <w:rFonts w:ascii="Arial" w:hAnsi="Arial"/>
      <w:sz w:val="18"/>
    </w:rPr>
  </w:style>
  <w:style w:type="paragraph" w:customStyle="1" w:styleId="ReportTitle-TOCPage">
    <w:name w:val="Report Title - TOC Page"/>
    <w:basedOn w:val="Normal"/>
    <w:next w:val="BodyText"/>
    <w:uiPriority w:val="99"/>
    <w:rsid w:val="0036180D"/>
    <w:pPr>
      <w:pBdr>
        <w:top w:val="single" w:sz="2" w:space="2" w:color="DA291C"/>
        <w:bottom w:val="single" w:sz="2" w:space="2" w:color="DA291C"/>
      </w:pBdr>
      <w:shd w:val="clear" w:color="auto" w:fill="DA291C"/>
      <w:tabs>
        <w:tab w:val="left" w:pos="1170"/>
      </w:tabs>
      <w:spacing w:line="264" w:lineRule="auto"/>
    </w:pPr>
    <w:rPr>
      <w:rFonts w:ascii="Arial" w:hAnsi="Arial" w:cs="Arial"/>
      <w:b/>
      <w:color w:val="FFFFFF"/>
      <w:sz w:val="28"/>
      <w:szCs w:val="28"/>
    </w:rPr>
  </w:style>
  <w:style w:type="paragraph" w:customStyle="1" w:styleId="CoverTextRed16pt">
    <w:name w:val="Cover Text  Red 16pt"/>
    <w:basedOn w:val="Normal"/>
    <w:uiPriority w:val="99"/>
    <w:qFormat/>
    <w:rsid w:val="0036180D"/>
    <w:pPr>
      <w:tabs>
        <w:tab w:val="left" w:pos="720"/>
        <w:tab w:val="left" w:pos="1080"/>
        <w:tab w:val="left" w:pos="1440"/>
        <w:tab w:val="left" w:pos="1800"/>
        <w:tab w:val="left" w:pos="6660"/>
      </w:tabs>
      <w:spacing w:after="0" w:line="264" w:lineRule="auto"/>
      <w:ind w:left="6490" w:right="-540"/>
      <w:jc w:val="right"/>
    </w:pPr>
    <w:rPr>
      <w:rFonts w:ascii="Arial" w:hAnsi="Arial"/>
      <w:b/>
      <w:color w:val="DA291C"/>
      <w:sz w:val="32"/>
      <w:szCs w:val="32"/>
    </w:rPr>
  </w:style>
  <w:style w:type="paragraph" w:customStyle="1" w:styleId="DisclaimerText">
    <w:name w:val="Disclaimer Text"/>
    <w:basedOn w:val="Normal"/>
    <w:uiPriority w:val="99"/>
    <w:qFormat/>
    <w:rsid w:val="0036180D"/>
    <w:pPr>
      <w:spacing w:line="264" w:lineRule="auto"/>
    </w:pPr>
    <w:rPr>
      <w:sz w:val="18"/>
      <w:szCs w:val="18"/>
    </w:rPr>
  </w:style>
  <w:style w:type="paragraph" w:customStyle="1" w:styleId="Heading1ES">
    <w:name w:val="Heading 1 ES"/>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eastAsia="Times New Roman" w:cs="Times New Roman"/>
      <w:noProof w:val="0"/>
      <w:color w:val="FFFFFF"/>
      <w:kern w:val="28"/>
      <w:sz w:val="28"/>
      <w:szCs w:val="20"/>
    </w:rPr>
  </w:style>
  <w:style w:type="paragraph" w:customStyle="1" w:styleId="Heading2ES">
    <w:name w:val="Heading 2 ES"/>
    <w:basedOn w:val="Heading2"/>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outlineLvl w:val="9"/>
    </w:pPr>
    <w:rPr>
      <w:color w:val="000000" w:themeColor="text1"/>
      <w:sz w:val="24"/>
    </w:rPr>
  </w:style>
  <w:style w:type="paragraph" w:customStyle="1" w:styleId="Heading3ES">
    <w:name w:val="Heading 3 ES"/>
    <w:basedOn w:val="Heading3"/>
    <w:uiPriority w:val="99"/>
    <w:qFormat/>
    <w:rsid w:val="0036180D"/>
    <w:pPr>
      <w:numPr>
        <w:ilvl w:val="0"/>
        <w:numId w:val="0"/>
      </w:numPr>
      <w:spacing w:before="60" w:after="120" w:line="264" w:lineRule="auto"/>
      <w:outlineLvl w:val="9"/>
    </w:pPr>
    <w:rPr>
      <w:rFonts w:ascii="Arial" w:eastAsia="Times New Roman" w:hAnsi="Arial"/>
      <w:color w:val="DA291C"/>
      <w:sz w:val="20"/>
      <w:szCs w:val="20"/>
    </w:rPr>
  </w:style>
  <w:style w:type="character" w:customStyle="1" w:styleId="Heading2aChar">
    <w:name w:val="Heading 2a Char"/>
    <w:basedOn w:val="DefaultParagraphFont"/>
    <w:link w:val="Heading2a"/>
    <w:locked/>
    <w:rsid w:val="0036180D"/>
    <w:rPr>
      <w:rFonts w:asciiTheme="minorHAnsi" w:hAnsiTheme="minorHAnsi" w:cstheme="minorHAnsi"/>
      <w:b/>
      <w:bCs/>
      <w:iCs/>
      <w:color w:val="48A9C5" w:themeColor="accent1"/>
      <w:sz w:val="28"/>
      <w:szCs w:val="28"/>
    </w:rPr>
  </w:style>
  <w:style w:type="paragraph" w:customStyle="1" w:styleId="Heading2a">
    <w:name w:val="Heading 2a"/>
    <w:basedOn w:val="Heading2"/>
    <w:link w:val="Heading2aChar"/>
    <w:qFormat/>
    <w:rsid w:val="0036180D"/>
    <w:pPr>
      <w:numPr>
        <w:ilvl w:val="0"/>
        <w:numId w:val="0"/>
      </w:numPr>
      <w:spacing w:before="120" w:after="120" w:line="264" w:lineRule="auto"/>
      <w:ind w:left="720" w:hanging="720"/>
    </w:pPr>
    <w:rPr>
      <w:rFonts w:asciiTheme="minorHAnsi" w:hAnsiTheme="minorHAnsi" w:cstheme="minorHAnsi"/>
      <w:color w:val="48A9C5" w:themeColor="accent1"/>
      <w:sz w:val="28"/>
    </w:rPr>
  </w:style>
  <w:style w:type="paragraph" w:customStyle="1" w:styleId="Bodytextnospaceafter0">
    <w:name w:val="Body text no space after"/>
    <w:basedOn w:val="BodyText"/>
    <w:uiPriority w:val="99"/>
    <w:qFormat/>
    <w:rsid w:val="0036180D"/>
    <w:pPr>
      <w:spacing w:after="0" w:line="240" w:lineRule="auto"/>
    </w:pPr>
    <w:rPr>
      <w:rFonts w:ascii="Times New Roman" w:hAnsi="Times New Roman"/>
      <w:sz w:val="24"/>
      <w:lang w:val="en-US"/>
    </w:rPr>
  </w:style>
  <w:style w:type="paragraph" w:customStyle="1" w:styleId="ResumePublications">
    <w:name w:val="Resume Publications"/>
    <w:uiPriority w:val="99"/>
    <w:qFormat/>
    <w:rsid w:val="0036180D"/>
    <w:pPr>
      <w:snapToGrid w:val="0"/>
      <w:spacing w:after="120"/>
      <w:ind w:left="360" w:hanging="360"/>
    </w:pPr>
    <w:rPr>
      <w:sz w:val="22"/>
      <w:szCs w:val="22"/>
    </w:rPr>
  </w:style>
  <w:style w:type="paragraph" w:customStyle="1" w:styleId="ExhibitTextCentered">
    <w:name w:val="Exhibit Text Centered"/>
    <w:basedOn w:val="ExhibitText"/>
    <w:uiPriority w:val="99"/>
    <w:qFormat/>
    <w:rsid w:val="0036180D"/>
  </w:style>
  <w:style w:type="paragraph" w:customStyle="1" w:styleId="BoxQuote">
    <w:name w:val="Box Quote"/>
    <w:basedOn w:val="Normal"/>
    <w:uiPriority w:val="99"/>
    <w:qFormat/>
    <w:rsid w:val="0036180D"/>
    <w:pPr>
      <w:autoSpaceDE w:val="0"/>
      <w:autoSpaceDN w:val="0"/>
      <w:adjustRightInd w:val="0"/>
      <w:snapToGrid w:val="0"/>
      <w:spacing w:after="0"/>
    </w:pPr>
    <w:rPr>
      <w:rFonts w:asciiTheme="minorHAnsi" w:hAnsiTheme="minorHAnsi" w:cstheme="minorHAnsi"/>
      <w:i/>
      <w:color w:val="000000"/>
      <w:sz w:val="20"/>
    </w:rPr>
  </w:style>
  <w:style w:type="paragraph" w:customStyle="1" w:styleId="BoxQuoteAuthor">
    <w:name w:val="Box Quote Author"/>
    <w:basedOn w:val="Normal"/>
    <w:uiPriority w:val="99"/>
    <w:qFormat/>
    <w:rsid w:val="0036180D"/>
    <w:pPr>
      <w:autoSpaceDE w:val="0"/>
      <w:autoSpaceDN w:val="0"/>
      <w:adjustRightInd w:val="0"/>
      <w:snapToGrid w:val="0"/>
      <w:spacing w:before="60" w:after="240"/>
      <w:jc w:val="right"/>
    </w:pPr>
    <w:rPr>
      <w:rFonts w:asciiTheme="minorHAnsi" w:eastAsiaTheme="minorHAnsi" w:hAnsiTheme="minorHAnsi" w:cstheme="minorHAnsi"/>
      <w:i/>
      <w:sz w:val="20"/>
    </w:rPr>
  </w:style>
  <w:style w:type="paragraph" w:customStyle="1" w:styleId="NumberedQuestion">
    <w:name w:val="Numbered Question"/>
    <w:basedOn w:val="Normal"/>
    <w:uiPriority w:val="99"/>
    <w:rsid w:val="0036180D"/>
    <w:pPr>
      <w:numPr>
        <w:numId w:val="53"/>
      </w:numPr>
      <w:spacing w:after="0" w:line="264" w:lineRule="auto"/>
    </w:pPr>
    <w:rPr>
      <w:rFonts w:ascii="Helvetica" w:hAnsi="Helvetica"/>
      <w:b/>
      <w:sz w:val="20"/>
    </w:rPr>
  </w:style>
  <w:style w:type="paragraph" w:customStyle="1" w:styleId="ExhibitSourceLast">
    <w:name w:val="Exhibit Source Last"/>
    <w:basedOn w:val="ExhibitSource"/>
    <w:uiPriority w:val="99"/>
    <w:qFormat/>
    <w:rsid w:val="0036180D"/>
  </w:style>
  <w:style w:type="character" w:styleId="IntenseEmphasis">
    <w:name w:val="Intense Emphasis"/>
    <w:basedOn w:val="DefaultParagraphFont"/>
    <w:uiPriority w:val="21"/>
    <w:qFormat/>
    <w:rsid w:val="0036180D"/>
    <w:rPr>
      <w:i/>
      <w:iCs/>
      <w:color w:val="48A9C5" w:themeColor="accent1"/>
    </w:rPr>
  </w:style>
  <w:style w:type="character" w:customStyle="1" w:styleId="BodyText3Char">
    <w:name w:val="Body Text 3 Char"/>
    <w:basedOn w:val="DefaultParagraphFont"/>
    <w:link w:val="BodyText3"/>
    <w:semiHidden/>
    <w:rsid w:val="00644B14"/>
    <w:rPr>
      <w:sz w:val="16"/>
      <w:szCs w:val="16"/>
    </w:rPr>
  </w:style>
  <w:style w:type="paragraph" w:styleId="BodyText3">
    <w:name w:val="Body Text 3"/>
    <w:basedOn w:val="Normal"/>
    <w:link w:val="BodyText3Char"/>
    <w:semiHidden/>
    <w:unhideWhenUsed/>
    <w:rsid w:val="00644B14"/>
    <w:pPr>
      <w:spacing w:after="120"/>
    </w:pPr>
    <w:rPr>
      <w:sz w:val="16"/>
      <w:szCs w:val="16"/>
    </w:rPr>
  </w:style>
  <w:style w:type="character" w:customStyle="1" w:styleId="pageheadline">
    <w:name w:val="pageheadline"/>
    <w:basedOn w:val="DefaultParagraphFont"/>
    <w:rsid w:val="0036180D"/>
  </w:style>
  <w:style w:type="character" w:customStyle="1" w:styleId="jrnl">
    <w:name w:val="jrnl"/>
    <w:basedOn w:val="DefaultParagraphFont"/>
    <w:rsid w:val="0036180D"/>
  </w:style>
  <w:style w:type="character" w:customStyle="1" w:styleId="ogd">
    <w:name w:val="_ogd"/>
    <w:basedOn w:val="DefaultParagraphFont"/>
    <w:rsid w:val="0036180D"/>
  </w:style>
  <w:style w:type="character" w:customStyle="1" w:styleId="st">
    <w:name w:val="st"/>
    <w:basedOn w:val="DefaultParagraphFont"/>
    <w:rsid w:val="0036180D"/>
  </w:style>
  <w:style w:type="table" w:styleId="LightGrid-Accent1">
    <w:name w:val="Light Grid Accent 1"/>
    <w:basedOn w:val="TableNormal"/>
    <w:uiPriority w:val="62"/>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48A9C5" w:themeColor="accent1"/>
        <w:left w:val="single" w:sz="8" w:space="0" w:color="48A9C5" w:themeColor="accent1"/>
        <w:bottom w:val="single" w:sz="8" w:space="0" w:color="48A9C5" w:themeColor="accent1"/>
        <w:right w:val="single" w:sz="8" w:space="0" w:color="48A9C5" w:themeColor="accent1"/>
        <w:insideH w:val="single" w:sz="8" w:space="0" w:color="48A9C5" w:themeColor="accent1"/>
        <w:insideV w:val="single" w:sz="8" w:space="0" w:color="48A9C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18" w:space="0" w:color="48A9C5" w:themeColor="accent1"/>
          <w:right w:val="single" w:sz="8" w:space="0" w:color="48A9C5" w:themeColor="accent1"/>
          <w:insideH w:val="nil"/>
          <w:insideV w:val="single" w:sz="8" w:space="0" w:color="48A9C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8A9C5" w:themeColor="accent1"/>
          <w:left w:val="single" w:sz="8" w:space="0" w:color="48A9C5" w:themeColor="accent1"/>
          <w:bottom w:val="single" w:sz="8" w:space="0" w:color="48A9C5" w:themeColor="accent1"/>
          <w:right w:val="single" w:sz="8" w:space="0" w:color="48A9C5" w:themeColor="accent1"/>
          <w:insideH w:val="nil"/>
          <w:insideV w:val="single" w:sz="8" w:space="0" w:color="48A9C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tcPr>
    </w:tblStylePr>
    <w:tblStylePr w:type="band1Vert">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shd w:val="clear" w:color="auto" w:fill="D1E9F0" w:themeFill="accent1" w:themeFillTint="3F"/>
      </w:tcPr>
    </w:tblStylePr>
    <w:tblStylePr w:type="band1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shd w:val="clear" w:color="auto" w:fill="D1E9F0" w:themeFill="accent1" w:themeFillTint="3F"/>
      </w:tcPr>
    </w:tblStylePr>
    <w:tblStylePr w:type="band2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tcPr>
    </w:tblStylePr>
  </w:style>
  <w:style w:type="table" w:styleId="LightList-Accent2">
    <w:name w:val="Light List Accent 2"/>
    <w:basedOn w:val="TableNormal"/>
    <w:uiPriority w:val="61"/>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E87722" w:themeColor="accent2"/>
        <w:left w:val="single" w:sz="8" w:space="0" w:color="E87722" w:themeColor="accent2"/>
        <w:bottom w:val="single" w:sz="8" w:space="0" w:color="E87722" w:themeColor="accent2"/>
        <w:right w:val="single" w:sz="8" w:space="0" w:color="E87722" w:themeColor="accent2"/>
      </w:tblBorders>
    </w:tblPr>
    <w:tblStylePr w:type="firstRow">
      <w:pPr>
        <w:spacing w:beforeLines="0" w:before="100" w:beforeAutospacing="1" w:afterLines="0" w:after="100" w:afterAutospacing="1" w:line="240" w:lineRule="auto"/>
      </w:pPr>
      <w:rPr>
        <w:b/>
        <w:bCs/>
        <w:color w:val="FFFFFF" w:themeColor="background1"/>
      </w:rPr>
      <w:tblPr/>
      <w:tcPr>
        <w:shd w:val="clear" w:color="auto" w:fill="E87722" w:themeFill="accent2"/>
      </w:tcPr>
    </w:tblStylePr>
    <w:tblStylePr w:type="lastRow">
      <w:pPr>
        <w:spacing w:beforeLines="0" w:before="100" w:beforeAutospacing="1" w:afterLines="0" w:after="100" w:afterAutospacing="1" w:line="240" w:lineRule="auto"/>
      </w:pPr>
      <w:rPr>
        <w:b/>
        <w:bCs/>
      </w:rPr>
      <w:tblPr/>
      <w:tcPr>
        <w:tcBorders>
          <w:top w:val="double" w:sz="6" w:space="0" w:color="E87722" w:themeColor="accent2"/>
          <w:left w:val="single" w:sz="8" w:space="0" w:color="E87722" w:themeColor="accent2"/>
          <w:bottom w:val="single" w:sz="8" w:space="0" w:color="E87722" w:themeColor="accent2"/>
          <w:right w:val="single" w:sz="8" w:space="0" w:color="E87722" w:themeColor="accent2"/>
        </w:tcBorders>
      </w:tcPr>
    </w:tblStylePr>
    <w:tblStylePr w:type="firstCol">
      <w:rPr>
        <w:b/>
        <w:bCs/>
      </w:rPr>
    </w:tblStylePr>
    <w:tblStylePr w:type="lastCol">
      <w:rPr>
        <w:b/>
        <w:bCs/>
      </w:rPr>
    </w:tblStylePr>
    <w:tblStylePr w:type="band1Vert">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tblStylePr w:type="band1Horz">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style>
  <w:style w:type="table" w:customStyle="1" w:styleId="GridTable4Accent1">
    <w:name w:val="Grid Table 4 Accent 1"/>
    <w:basedOn w:val="TableNormal"/>
    <w:uiPriority w:val="49"/>
    <w:rsid w:val="0036180D"/>
    <w:tblPr>
      <w:tblStyleRowBandSize w:val="1"/>
      <w:tblStyleColBandSize w:val="1"/>
      <w:tblInd w:w="0" w:type="nil"/>
      <w:tblBorders>
        <w:top w:val="single" w:sz="4" w:space="0" w:color="91CBDC" w:themeColor="accent1" w:themeTint="99"/>
        <w:left w:val="single" w:sz="4" w:space="0" w:color="91CBDC" w:themeColor="accent1" w:themeTint="99"/>
        <w:bottom w:val="single" w:sz="4" w:space="0" w:color="91CBDC" w:themeColor="accent1" w:themeTint="99"/>
        <w:right w:val="single" w:sz="4" w:space="0" w:color="91CBDC" w:themeColor="accent1" w:themeTint="99"/>
        <w:insideH w:val="single" w:sz="4" w:space="0" w:color="91CBDC" w:themeColor="accent1" w:themeTint="99"/>
        <w:insideV w:val="single" w:sz="4" w:space="0" w:color="91CBDC" w:themeColor="accent1" w:themeTint="99"/>
      </w:tblBorders>
    </w:tblPr>
    <w:tblStylePr w:type="firstRow">
      <w:rPr>
        <w:b/>
        <w:bCs/>
        <w:color w:val="FFFFFF" w:themeColor="background1"/>
      </w:rPr>
      <w:tblPr/>
      <w:tcPr>
        <w:tcBorders>
          <w:top w:val="single" w:sz="4" w:space="0" w:color="48A9C5" w:themeColor="accent1"/>
          <w:left w:val="single" w:sz="4" w:space="0" w:color="48A9C5" w:themeColor="accent1"/>
          <w:bottom w:val="single" w:sz="4" w:space="0" w:color="48A9C5" w:themeColor="accent1"/>
          <w:right w:val="single" w:sz="4" w:space="0" w:color="48A9C5" w:themeColor="accent1"/>
          <w:insideH w:val="nil"/>
          <w:insideV w:val="nil"/>
        </w:tcBorders>
        <w:shd w:val="clear" w:color="auto" w:fill="48A9C5" w:themeFill="accent1"/>
      </w:tcPr>
    </w:tblStylePr>
    <w:tblStylePr w:type="lastRow">
      <w:rPr>
        <w:b/>
        <w:bCs/>
      </w:rPr>
      <w:tblPr/>
      <w:tcPr>
        <w:tcBorders>
          <w:top w:val="double" w:sz="4" w:space="0" w:color="48A9C5" w:themeColor="accent1"/>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1LightAccent1">
    <w:name w:val="List Table 1 Light Accent 1"/>
    <w:basedOn w:val="TableNormal"/>
    <w:uiPriority w:val="46"/>
    <w:rsid w:val="0036180D"/>
    <w:tblPr>
      <w:tblStyleRowBandSize w:val="1"/>
      <w:tblStyleColBandSize w:val="1"/>
      <w:tblInd w:w="0" w:type="nil"/>
    </w:tblPr>
    <w:tblStylePr w:type="firstRow">
      <w:rPr>
        <w:b/>
        <w:bCs/>
      </w:rPr>
      <w:tblPr/>
      <w:tcPr>
        <w:tcBorders>
          <w:bottom w:val="single" w:sz="4" w:space="0" w:color="91CBDC" w:themeColor="accent1" w:themeTint="99"/>
        </w:tcBorders>
      </w:tcPr>
    </w:tblStylePr>
    <w:tblStylePr w:type="lastRow">
      <w:rPr>
        <w:b/>
        <w:bCs/>
      </w:rPr>
      <w:tblPr/>
      <w:tcPr>
        <w:tcBorders>
          <w:top w:val="single" w:sz="4" w:space="0" w:color="91CBDC" w:themeColor="accent1" w:themeTint="99"/>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2Accent1">
    <w:name w:val="List Table 2 Accent 1"/>
    <w:basedOn w:val="TableNormal"/>
    <w:uiPriority w:val="47"/>
    <w:rsid w:val="0036180D"/>
    <w:tblPr>
      <w:tblStyleRowBandSize w:val="1"/>
      <w:tblStyleColBandSize w:val="1"/>
      <w:tblInd w:w="0" w:type="nil"/>
      <w:tblBorders>
        <w:top w:val="single" w:sz="4" w:space="0" w:color="91CBDC" w:themeColor="accent1" w:themeTint="99"/>
        <w:bottom w:val="single" w:sz="4" w:space="0" w:color="91CBDC" w:themeColor="accent1" w:themeTint="99"/>
        <w:insideH w:val="single" w:sz="4" w:space="0" w:color="91CBD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TableGrid1">
    <w:name w:val="Table Grid1"/>
    <w:basedOn w:val="TableNormal"/>
    <w:rsid w:val="0036180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36180D"/>
    <w:tblPr>
      <w:tblStyleRowBandSize w:val="1"/>
      <w:tblStyleColBandSize w:val="1"/>
      <w:tblInd w:w="0" w:type="nil"/>
      <w:tblBorders>
        <w:top w:val="single" w:sz="4" w:space="0" w:color="B5DCE7" w:themeColor="accent1" w:themeTint="66"/>
        <w:left w:val="single" w:sz="4" w:space="0" w:color="B5DCE7" w:themeColor="accent1" w:themeTint="66"/>
        <w:bottom w:val="single" w:sz="4" w:space="0" w:color="B5DCE7" w:themeColor="accent1" w:themeTint="66"/>
        <w:right w:val="single" w:sz="4" w:space="0" w:color="B5DCE7" w:themeColor="accent1" w:themeTint="66"/>
        <w:insideH w:val="single" w:sz="4" w:space="0" w:color="B5DCE7" w:themeColor="accent1" w:themeTint="66"/>
        <w:insideV w:val="single" w:sz="4" w:space="0" w:color="B5DCE7" w:themeColor="accent1" w:themeTint="66"/>
      </w:tblBorders>
    </w:tblPr>
    <w:tblStylePr w:type="firstRow">
      <w:rPr>
        <w:b/>
        <w:bCs/>
      </w:rPr>
      <w:tblPr/>
      <w:tcPr>
        <w:tcBorders>
          <w:bottom w:val="single" w:sz="12" w:space="0" w:color="91CBDC" w:themeColor="accent1" w:themeTint="99"/>
        </w:tcBorders>
      </w:tcPr>
    </w:tblStylePr>
    <w:tblStylePr w:type="lastRow">
      <w:rPr>
        <w:b/>
        <w:bCs/>
      </w:rPr>
      <w:tblPr/>
      <w:tcPr>
        <w:tcBorders>
          <w:top w:val="double" w:sz="2" w:space="0" w:color="91CBDC" w:themeColor="accent1" w:themeTint="99"/>
        </w:tcBorders>
      </w:tcPr>
    </w:tblStylePr>
    <w:tblStylePr w:type="firstCol">
      <w:rPr>
        <w:b/>
        <w:bCs/>
      </w:rPr>
    </w:tblStylePr>
    <w:tblStylePr w:type="lastCol">
      <w:rPr>
        <w:b/>
        <w:bCs/>
      </w:rPr>
    </w:tblStylePr>
  </w:style>
  <w:style w:type="table" w:customStyle="1" w:styleId="AbtFinal1">
    <w:name w:val="Abt Final1"/>
    <w:basedOn w:val="TableNormal"/>
    <w:uiPriority w:val="99"/>
    <w:rsid w:val="0036180D"/>
    <w:rPr>
      <w:rFonts w:ascii="Arial Narrow" w:hAnsi="Arial Narrow"/>
    </w:rPr>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mbria" w:hAnsi="Cambria" w:hint="default"/>
        <w:b/>
        <w:caps w:val="0"/>
        <w:smallCaps w:val="0"/>
        <w:strike w:val="0"/>
        <w:dstrike w:val="0"/>
        <w:vanish w:val="0"/>
        <w:webHidden w:val="0"/>
        <w:color w:val="FFFFFF" w:themeColor="background1"/>
        <w:sz w:val="20"/>
        <w:szCs w:val="20"/>
        <w:u w:val="none"/>
        <w:effect w:val="none"/>
        <w:specVanish w:val="0"/>
      </w:rPr>
      <w:tblPr/>
      <w:tcPr>
        <w:shd w:val="clear" w:color="auto" w:fill="DA291C" w:themeFill="text2"/>
        <w:vAlign w:val="bottom"/>
      </w:tcPr>
    </w:tblStylePr>
    <w:tblStylePr w:type="lastRow">
      <w:pPr>
        <w:jc w:val="left"/>
      </w:pPr>
      <w:rPr>
        <w:rFonts w:ascii="Cambria" w:hAnsi="Cambria" w:hint="default"/>
        <w:color w:val="FFFFFF" w:themeColor="background1"/>
        <w:sz w:val="20"/>
        <w:szCs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Cambria" w:hAnsi="Cambria" w:hint="default"/>
        <w:sz w:val="20"/>
        <w:szCs w:val="20"/>
      </w:rPr>
    </w:tblStylePr>
    <w:tblStylePr w:type="lastCol">
      <w:rPr>
        <w:rFonts w:ascii="Cambria" w:hAnsi="Cambria" w:hint="default"/>
        <w:sz w:val="20"/>
        <w:szCs w:val="20"/>
      </w:rPr>
    </w:tblStylePr>
    <w:tblStylePr w:type="band1Horz">
      <w:rPr>
        <w:rFonts w:ascii="Cambria" w:hAnsi="Cambria" w:hint="default"/>
        <w:sz w:val="20"/>
        <w:szCs w:val="20"/>
      </w:rPr>
    </w:tblStylePr>
    <w:tblStylePr w:type="band2Horz">
      <w:rPr>
        <w:rFonts w:ascii="Cambria" w:hAnsi="Cambria" w:hint="default"/>
        <w:sz w:val="20"/>
        <w:szCs w:val="20"/>
      </w:rPr>
    </w:tblStylePr>
  </w:style>
  <w:style w:type="table" w:customStyle="1" w:styleId="Abt">
    <w:name w:val="Abt"/>
    <w:basedOn w:val="TableNormal"/>
    <w:uiPriority w:val="99"/>
    <w:rsid w:val="0036180D"/>
    <w:rPr>
      <w:rFonts w:ascii="Arial Narrow" w:hAnsi="Arial Narrow"/>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Narrow" w:hAnsi="Arial Narrow" w:hint="default"/>
        <w:b/>
        <w:caps w:val="0"/>
        <w:smallCaps w:val="0"/>
        <w:strike w:val="0"/>
        <w:dstrike w:val="0"/>
        <w:vanish w:val="0"/>
        <w:webHidden w:val="0"/>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89D4A" w:themeFill="accent4"/>
        <w:vAlign w:val="bottom"/>
      </w:tcPr>
    </w:tblStylePr>
    <w:tblStylePr w:type="lastRow">
      <w:pPr>
        <w:jc w:val="left"/>
      </w:pPr>
      <w:rPr>
        <w:rFonts w:ascii="Arial" w:hAnsi="Arial" w:cs="Arial" w:hint="default"/>
        <w:sz w:val="18"/>
        <w:szCs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band1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AE3D2" w:themeFill="accent2" w:themeFillTint="33"/>
      </w:tcPr>
    </w:tblStylePr>
    <w:tblStylePr w:type="band2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table" w:customStyle="1" w:styleId="LightList-Accent21">
    <w:name w:val="Light List - Accent 21"/>
    <w:basedOn w:val="TableNormal"/>
    <w:uiPriority w:val="61"/>
    <w:rsid w:val="0036180D"/>
    <w:rPr>
      <w:rFonts w:ascii="Calibri" w:eastAsia="Calibri" w:hAnsi="Calibri"/>
      <w:sz w:val="22"/>
      <w:szCs w:val="22"/>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List1-Accent11">
    <w:name w:val="Medium List 1 - Accent 11"/>
    <w:basedOn w:val="TableNormal"/>
    <w:uiPriority w:val="65"/>
    <w:rsid w:val="0036180D"/>
    <w:rPr>
      <w:rFonts w:ascii="Calibri" w:eastAsia="Calibri" w:hAnsi="Calibri"/>
      <w:color w:val="000000"/>
      <w:sz w:val="22"/>
      <w:szCs w:val="22"/>
    </w:rPr>
    <w:tblPr>
      <w:tblStyleRowBandSize w:val="1"/>
      <w:tblStyleColBandSize w:val="1"/>
      <w:tblInd w:w="0" w:type="nil"/>
      <w:tblBorders>
        <w:top w:val="single" w:sz="8" w:space="0" w:color="48A9C5"/>
        <w:bottom w:val="single" w:sz="8" w:space="0" w:color="48A9C5"/>
      </w:tblBorders>
    </w:tblPr>
    <w:tblStylePr w:type="firstRow">
      <w:rPr>
        <w:rFonts w:ascii="Verdana" w:eastAsia="Times New Roman" w:hAnsi="Verdana" w:cs="Times New Roman" w:hint="default"/>
      </w:rPr>
      <w:tblPr/>
      <w:tcPr>
        <w:tcBorders>
          <w:top w:val="nil"/>
          <w:bottom w:val="single" w:sz="8" w:space="0" w:color="48A9C5"/>
        </w:tcBorders>
      </w:tcPr>
    </w:tblStylePr>
    <w:tblStylePr w:type="lastRow">
      <w:rPr>
        <w:b/>
        <w:bCs/>
        <w:color w:val="DA291C"/>
      </w:rPr>
      <w:tblPr/>
      <w:tcPr>
        <w:tcBorders>
          <w:top w:val="single" w:sz="8" w:space="0" w:color="48A9C5"/>
          <w:bottom w:val="single" w:sz="8" w:space="0" w:color="48A9C5"/>
        </w:tcBorders>
      </w:tcPr>
    </w:tblStylePr>
    <w:tblStylePr w:type="firstCol">
      <w:rPr>
        <w:b/>
        <w:bCs/>
      </w:rPr>
    </w:tblStylePr>
    <w:tblStylePr w:type="lastCol">
      <w:rPr>
        <w:b/>
        <w:bCs/>
      </w:rPr>
      <w:tblPr/>
      <w:tcPr>
        <w:tcBorders>
          <w:top w:val="single" w:sz="8" w:space="0" w:color="48A9C5"/>
          <w:bottom w:val="single" w:sz="8" w:space="0" w:color="48A9C5"/>
        </w:tcBorders>
      </w:tcPr>
    </w:tblStylePr>
    <w:tblStylePr w:type="band1Vert">
      <w:tblPr/>
      <w:tcPr>
        <w:shd w:val="clear" w:color="auto" w:fill="D1E9F0"/>
      </w:tcPr>
    </w:tblStylePr>
    <w:tblStylePr w:type="band1Horz">
      <w:tblPr/>
      <w:tcPr>
        <w:shd w:val="clear" w:color="auto" w:fill="D1E9F0"/>
      </w:tcPr>
    </w:tblStylePr>
  </w:style>
  <w:style w:type="paragraph" w:customStyle="1" w:styleId="ProjectsHeaderRow">
    <w:name w:val="ProjectsHeaderRow"/>
    <w:basedOn w:val="PPRowHeader"/>
    <w:uiPriority w:val="99"/>
    <w:qFormat/>
    <w:rsid w:val="0036180D"/>
    <w:pPr>
      <w:shd w:val="clear" w:color="auto" w:fill="DA291C"/>
    </w:pPr>
    <w:rPr>
      <w:color w:val="FFFFFF" w:themeColor="background1"/>
    </w:rPr>
  </w:style>
  <w:style w:type="paragraph" w:customStyle="1" w:styleId="ExhibitBullets2">
    <w:name w:val="Exhibit Bullets 2"/>
    <w:basedOn w:val="ExhibitBullets"/>
    <w:uiPriority w:val="99"/>
    <w:qFormat/>
    <w:rsid w:val="0036180D"/>
    <w:pPr>
      <w:numPr>
        <w:ilvl w:val="1"/>
      </w:numPr>
      <w:tabs>
        <w:tab w:val="clear" w:pos="432"/>
        <w:tab w:val="num" w:pos="360"/>
      </w:tabs>
    </w:pPr>
  </w:style>
  <w:style w:type="paragraph" w:styleId="BodyTextFirstIndent">
    <w:name w:val="Body Text First Indent"/>
    <w:basedOn w:val="BodyText"/>
    <w:link w:val="BodyTextFirstIndentChar"/>
    <w:rsid w:val="00644B14"/>
    <w:pPr>
      <w:spacing w:after="180" w:line="240" w:lineRule="auto"/>
      <w:ind w:firstLine="360"/>
    </w:pPr>
    <w:rPr>
      <w:rFonts w:ascii="Times New Roman" w:hAnsi="Times New Roman"/>
      <w:lang w:val="en-US"/>
    </w:rPr>
  </w:style>
  <w:style w:type="character" w:customStyle="1" w:styleId="BodyTextFirstIndentChar">
    <w:name w:val="Body Text First Indent Char"/>
    <w:basedOn w:val="BodyTextChar"/>
    <w:link w:val="BodyTextFirstIndent"/>
    <w:rsid w:val="00644B14"/>
    <w:rPr>
      <w:rFonts w:ascii="Calibri" w:hAnsi="Calibri"/>
      <w:sz w:val="22"/>
      <w:lang w:val="en"/>
    </w:rPr>
  </w:style>
  <w:style w:type="character" w:customStyle="1" w:styleId="BodyTextIndentChar">
    <w:name w:val="Body Text Indent Char"/>
    <w:basedOn w:val="DefaultParagraphFont"/>
    <w:link w:val="BodyTextIndent"/>
    <w:semiHidden/>
    <w:rsid w:val="00644B14"/>
    <w:rPr>
      <w:sz w:val="22"/>
    </w:rPr>
  </w:style>
  <w:style w:type="paragraph" w:styleId="BodyTextIndent">
    <w:name w:val="Body Text Indent"/>
    <w:basedOn w:val="Normal"/>
    <w:link w:val="BodyTextIndentChar"/>
    <w:semiHidden/>
    <w:unhideWhenUsed/>
    <w:rsid w:val="00644B14"/>
    <w:pPr>
      <w:spacing w:after="120"/>
      <w:ind w:left="360"/>
    </w:pPr>
  </w:style>
  <w:style w:type="character" w:customStyle="1" w:styleId="BodyTextFirstIndent2Char">
    <w:name w:val="Body Text First Indent 2 Char"/>
    <w:basedOn w:val="BodyTextIndentChar"/>
    <w:link w:val="BodyTextFirstIndent2"/>
    <w:semiHidden/>
    <w:rsid w:val="00644B14"/>
    <w:rPr>
      <w:sz w:val="22"/>
    </w:rPr>
  </w:style>
  <w:style w:type="paragraph" w:styleId="BodyTextFirstIndent2">
    <w:name w:val="Body Text First Indent 2"/>
    <w:basedOn w:val="BodyTextIndent"/>
    <w:link w:val="BodyTextFirstIndent2Char"/>
    <w:semiHidden/>
    <w:unhideWhenUsed/>
    <w:rsid w:val="00644B14"/>
    <w:pPr>
      <w:spacing w:after="180"/>
      <w:ind w:firstLine="360"/>
    </w:pPr>
  </w:style>
  <w:style w:type="character" w:customStyle="1" w:styleId="BodyTextIndent2Char">
    <w:name w:val="Body Text Indent 2 Char"/>
    <w:basedOn w:val="DefaultParagraphFont"/>
    <w:link w:val="BodyTextIndent2"/>
    <w:semiHidden/>
    <w:rsid w:val="00644B14"/>
    <w:rPr>
      <w:sz w:val="22"/>
    </w:rPr>
  </w:style>
  <w:style w:type="paragraph" w:styleId="BodyTextIndent2">
    <w:name w:val="Body Text Indent 2"/>
    <w:basedOn w:val="Normal"/>
    <w:link w:val="BodyTextIndent2Char"/>
    <w:semiHidden/>
    <w:unhideWhenUsed/>
    <w:rsid w:val="00644B14"/>
    <w:pPr>
      <w:spacing w:after="120" w:line="480" w:lineRule="auto"/>
      <w:ind w:left="360"/>
    </w:pPr>
  </w:style>
  <w:style w:type="character" w:customStyle="1" w:styleId="BodyTextIndent3Char">
    <w:name w:val="Body Text Indent 3 Char"/>
    <w:basedOn w:val="DefaultParagraphFont"/>
    <w:link w:val="BodyTextIndent3"/>
    <w:semiHidden/>
    <w:rsid w:val="00644B14"/>
    <w:rPr>
      <w:sz w:val="16"/>
      <w:szCs w:val="16"/>
    </w:rPr>
  </w:style>
  <w:style w:type="paragraph" w:styleId="BodyTextIndent3">
    <w:name w:val="Body Text Indent 3"/>
    <w:basedOn w:val="Normal"/>
    <w:link w:val="BodyTextIndent3Char"/>
    <w:semiHidden/>
    <w:unhideWhenUsed/>
    <w:rsid w:val="00644B14"/>
    <w:pPr>
      <w:spacing w:after="120"/>
      <w:ind w:left="360"/>
    </w:pPr>
    <w:rPr>
      <w:sz w:val="16"/>
      <w:szCs w:val="16"/>
    </w:rPr>
  </w:style>
  <w:style w:type="character" w:customStyle="1" w:styleId="ClosingChar">
    <w:name w:val="Closing Char"/>
    <w:basedOn w:val="DefaultParagraphFont"/>
    <w:link w:val="Closing"/>
    <w:semiHidden/>
    <w:rsid w:val="00644B14"/>
    <w:rPr>
      <w:sz w:val="22"/>
    </w:rPr>
  </w:style>
  <w:style w:type="paragraph" w:styleId="Closing">
    <w:name w:val="Closing"/>
    <w:basedOn w:val="Normal"/>
    <w:link w:val="ClosingChar"/>
    <w:semiHidden/>
    <w:unhideWhenUsed/>
    <w:rsid w:val="00644B14"/>
    <w:pPr>
      <w:spacing w:after="0"/>
      <w:ind w:left="4320"/>
    </w:pPr>
  </w:style>
  <w:style w:type="paragraph" w:styleId="Date">
    <w:name w:val="Date"/>
    <w:basedOn w:val="Normal"/>
    <w:next w:val="Normal"/>
    <w:link w:val="DateChar"/>
    <w:rsid w:val="00644B14"/>
  </w:style>
  <w:style w:type="character" w:customStyle="1" w:styleId="DateChar">
    <w:name w:val="Date Char"/>
    <w:basedOn w:val="DefaultParagraphFont"/>
    <w:link w:val="Date"/>
    <w:rsid w:val="00644B14"/>
    <w:rPr>
      <w:sz w:val="22"/>
    </w:rPr>
  </w:style>
  <w:style w:type="character" w:customStyle="1" w:styleId="DocumentMapChar">
    <w:name w:val="Document Map Char"/>
    <w:basedOn w:val="DefaultParagraphFont"/>
    <w:link w:val="DocumentMap"/>
    <w:semiHidden/>
    <w:rsid w:val="00644B14"/>
    <w:rPr>
      <w:rFonts w:ascii="Segoe UI" w:hAnsi="Segoe UI" w:cs="Segoe UI"/>
      <w:sz w:val="16"/>
      <w:szCs w:val="16"/>
    </w:rPr>
  </w:style>
  <w:style w:type="paragraph" w:styleId="DocumentMap">
    <w:name w:val="Document Map"/>
    <w:basedOn w:val="Normal"/>
    <w:link w:val="DocumentMapChar"/>
    <w:semiHidden/>
    <w:unhideWhenUsed/>
    <w:rsid w:val="00644B14"/>
    <w:pPr>
      <w:spacing w:after="0"/>
    </w:pPr>
    <w:rPr>
      <w:rFonts w:ascii="Segoe UI" w:hAnsi="Segoe UI" w:cs="Segoe UI"/>
      <w:sz w:val="16"/>
      <w:szCs w:val="16"/>
    </w:rPr>
  </w:style>
  <w:style w:type="character" w:customStyle="1" w:styleId="E-mailSignatureChar">
    <w:name w:val="E-mail Signature Char"/>
    <w:basedOn w:val="DefaultParagraphFont"/>
    <w:link w:val="E-mailSignature"/>
    <w:semiHidden/>
    <w:rsid w:val="00644B14"/>
    <w:rPr>
      <w:sz w:val="22"/>
    </w:rPr>
  </w:style>
  <w:style w:type="paragraph" w:styleId="E-mailSignature">
    <w:name w:val="E-mail Signature"/>
    <w:basedOn w:val="Normal"/>
    <w:link w:val="E-mailSignatureChar"/>
    <w:semiHidden/>
    <w:unhideWhenUsed/>
    <w:rsid w:val="00644B14"/>
    <w:pPr>
      <w:spacing w:after="0"/>
    </w:pPr>
  </w:style>
  <w:style w:type="paragraph" w:styleId="EnvelopeAddress">
    <w:name w:val="envelope address"/>
    <w:basedOn w:val="Normal"/>
    <w:semiHidden/>
    <w:unhideWhenUsed/>
    <w:rsid w:val="00644B1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HTMLAddressChar">
    <w:name w:val="HTML Address Char"/>
    <w:basedOn w:val="DefaultParagraphFont"/>
    <w:link w:val="HTMLAddress"/>
    <w:semiHidden/>
    <w:rsid w:val="00644B14"/>
    <w:rPr>
      <w:i/>
      <w:iCs/>
      <w:sz w:val="22"/>
    </w:rPr>
  </w:style>
  <w:style w:type="paragraph" w:styleId="HTMLAddress">
    <w:name w:val="HTML Address"/>
    <w:basedOn w:val="Normal"/>
    <w:link w:val="HTMLAddressChar"/>
    <w:semiHidden/>
    <w:unhideWhenUsed/>
    <w:rsid w:val="00644B14"/>
    <w:pPr>
      <w:spacing w:after="0"/>
    </w:pPr>
    <w:rPr>
      <w:i/>
      <w:iCs/>
    </w:rPr>
  </w:style>
  <w:style w:type="character" w:customStyle="1" w:styleId="HTMLPreformattedChar">
    <w:name w:val="HTML Preformatted Char"/>
    <w:basedOn w:val="DefaultParagraphFont"/>
    <w:link w:val="HTMLPreformatted"/>
    <w:semiHidden/>
    <w:rsid w:val="00644B14"/>
    <w:rPr>
      <w:rFonts w:ascii="Consolas" w:hAnsi="Consolas"/>
    </w:rPr>
  </w:style>
  <w:style w:type="paragraph" w:styleId="HTMLPreformatted">
    <w:name w:val="HTML Preformatted"/>
    <w:basedOn w:val="Normal"/>
    <w:link w:val="HTMLPreformattedChar"/>
    <w:semiHidden/>
    <w:unhideWhenUsed/>
    <w:rsid w:val="00644B14"/>
    <w:pPr>
      <w:spacing w:after="0"/>
    </w:pPr>
    <w:rPr>
      <w:rFonts w:ascii="Consolas" w:hAnsi="Consolas"/>
      <w:sz w:val="20"/>
    </w:rPr>
  </w:style>
  <w:style w:type="paragraph" w:styleId="IntenseQuote">
    <w:name w:val="Intense Quote"/>
    <w:basedOn w:val="Normal"/>
    <w:next w:val="Normal"/>
    <w:link w:val="IntenseQuoteChar"/>
    <w:uiPriority w:val="30"/>
    <w:qFormat/>
    <w:rsid w:val="00644B14"/>
    <w:pPr>
      <w:pBdr>
        <w:top w:val="single" w:sz="4" w:space="10" w:color="48A9C5" w:themeColor="accent1"/>
        <w:bottom w:val="single" w:sz="4" w:space="10" w:color="48A9C5" w:themeColor="accent1"/>
      </w:pBdr>
      <w:spacing w:before="360" w:after="360"/>
      <w:ind w:left="864" w:right="864"/>
      <w:jc w:val="center"/>
    </w:pPr>
    <w:rPr>
      <w:i/>
      <w:iCs/>
      <w:color w:val="48A9C5" w:themeColor="accent1"/>
    </w:rPr>
  </w:style>
  <w:style w:type="character" w:customStyle="1" w:styleId="IntenseQuoteChar">
    <w:name w:val="Intense Quote Char"/>
    <w:basedOn w:val="DefaultParagraphFont"/>
    <w:link w:val="IntenseQuote"/>
    <w:uiPriority w:val="30"/>
    <w:rsid w:val="00644B14"/>
    <w:rPr>
      <w:i/>
      <w:iCs/>
      <w:color w:val="48A9C5" w:themeColor="accent1"/>
      <w:sz w:val="22"/>
    </w:rPr>
  </w:style>
  <w:style w:type="paragraph" w:styleId="List">
    <w:name w:val="List"/>
    <w:basedOn w:val="Normal"/>
    <w:semiHidden/>
    <w:unhideWhenUsed/>
    <w:rsid w:val="00644B14"/>
    <w:pPr>
      <w:ind w:left="360" w:hanging="360"/>
      <w:contextualSpacing/>
    </w:pPr>
  </w:style>
  <w:style w:type="paragraph" w:styleId="List4">
    <w:name w:val="List 4"/>
    <w:basedOn w:val="Normal"/>
    <w:rsid w:val="00644B14"/>
    <w:pPr>
      <w:ind w:left="1440" w:hanging="360"/>
      <w:contextualSpacing/>
    </w:pPr>
  </w:style>
  <w:style w:type="paragraph" w:styleId="List5">
    <w:name w:val="List 5"/>
    <w:basedOn w:val="Normal"/>
    <w:rsid w:val="00644B14"/>
    <w:pPr>
      <w:ind w:left="1800" w:hanging="360"/>
      <w:contextualSpacing/>
    </w:pPr>
  </w:style>
  <w:style w:type="paragraph" w:styleId="ListBullet">
    <w:name w:val="List Bullet"/>
    <w:basedOn w:val="Normal"/>
    <w:semiHidden/>
    <w:unhideWhenUsed/>
    <w:rsid w:val="00644B14"/>
    <w:pPr>
      <w:numPr>
        <w:numId w:val="60"/>
      </w:numPr>
      <w:contextualSpacing/>
    </w:pPr>
  </w:style>
  <w:style w:type="paragraph" w:styleId="ListBullet2">
    <w:name w:val="List Bullet 2"/>
    <w:basedOn w:val="Normal"/>
    <w:semiHidden/>
    <w:unhideWhenUsed/>
    <w:rsid w:val="00644B14"/>
    <w:pPr>
      <w:numPr>
        <w:numId w:val="61"/>
      </w:numPr>
      <w:contextualSpacing/>
    </w:pPr>
  </w:style>
  <w:style w:type="paragraph" w:styleId="ListBullet3">
    <w:name w:val="List Bullet 3"/>
    <w:basedOn w:val="Normal"/>
    <w:semiHidden/>
    <w:unhideWhenUsed/>
    <w:rsid w:val="00644B14"/>
    <w:pPr>
      <w:numPr>
        <w:numId w:val="62"/>
      </w:numPr>
      <w:contextualSpacing/>
    </w:pPr>
  </w:style>
  <w:style w:type="paragraph" w:styleId="ListBullet4">
    <w:name w:val="List Bullet 4"/>
    <w:basedOn w:val="Normal"/>
    <w:semiHidden/>
    <w:unhideWhenUsed/>
    <w:rsid w:val="00644B14"/>
    <w:pPr>
      <w:numPr>
        <w:numId w:val="63"/>
      </w:numPr>
      <w:contextualSpacing/>
    </w:pPr>
  </w:style>
  <w:style w:type="paragraph" w:styleId="ListBullet5">
    <w:name w:val="List Bullet 5"/>
    <w:basedOn w:val="Normal"/>
    <w:semiHidden/>
    <w:unhideWhenUsed/>
    <w:rsid w:val="00644B14"/>
    <w:pPr>
      <w:numPr>
        <w:numId w:val="64"/>
      </w:numPr>
      <w:contextualSpacing/>
    </w:pPr>
  </w:style>
  <w:style w:type="paragraph" w:styleId="ListNumber">
    <w:name w:val="List Number"/>
    <w:basedOn w:val="Normal"/>
    <w:rsid w:val="00644B14"/>
    <w:pPr>
      <w:numPr>
        <w:numId w:val="65"/>
      </w:numPr>
      <w:contextualSpacing/>
    </w:pPr>
  </w:style>
  <w:style w:type="paragraph" w:styleId="ListNumber2">
    <w:name w:val="List Number 2"/>
    <w:basedOn w:val="Normal"/>
    <w:semiHidden/>
    <w:unhideWhenUsed/>
    <w:rsid w:val="00644B14"/>
    <w:pPr>
      <w:numPr>
        <w:numId w:val="66"/>
      </w:numPr>
      <w:contextualSpacing/>
    </w:pPr>
  </w:style>
  <w:style w:type="paragraph" w:styleId="ListNumber3">
    <w:name w:val="List Number 3"/>
    <w:basedOn w:val="Normal"/>
    <w:semiHidden/>
    <w:unhideWhenUsed/>
    <w:rsid w:val="00644B14"/>
    <w:pPr>
      <w:numPr>
        <w:numId w:val="67"/>
      </w:numPr>
      <w:contextualSpacing/>
    </w:pPr>
  </w:style>
  <w:style w:type="paragraph" w:styleId="ListNumber4">
    <w:name w:val="List Number 4"/>
    <w:basedOn w:val="Normal"/>
    <w:semiHidden/>
    <w:unhideWhenUsed/>
    <w:rsid w:val="00644B14"/>
    <w:pPr>
      <w:numPr>
        <w:numId w:val="68"/>
      </w:numPr>
      <w:contextualSpacing/>
    </w:pPr>
  </w:style>
  <w:style w:type="paragraph" w:styleId="ListNumber5">
    <w:name w:val="List Number 5"/>
    <w:basedOn w:val="Normal"/>
    <w:semiHidden/>
    <w:unhideWhenUsed/>
    <w:rsid w:val="00644B14"/>
    <w:pPr>
      <w:numPr>
        <w:numId w:val="69"/>
      </w:numPr>
      <w:contextualSpacing/>
    </w:pPr>
  </w:style>
  <w:style w:type="character" w:customStyle="1" w:styleId="MacroTextChar">
    <w:name w:val="Macro Text Char"/>
    <w:basedOn w:val="DefaultParagraphFont"/>
    <w:link w:val="MacroText"/>
    <w:semiHidden/>
    <w:rsid w:val="00644B14"/>
    <w:rPr>
      <w:rFonts w:ascii="Consolas" w:hAnsi="Consolas"/>
    </w:rPr>
  </w:style>
  <w:style w:type="paragraph" w:styleId="MacroText">
    <w:name w:val="macro"/>
    <w:link w:val="MacroTextChar"/>
    <w:semiHidden/>
    <w:unhideWhenUsed/>
    <w:rsid w:val="00644B1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essageHeaderChar">
    <w:name w:val="Message Header Char"/>
    <w:basedOn w:val="DefaultParagraphFont"/>
    <w:link w:val="MessageHeader"/>
    <w:semiHidden/>
    <w:rsid w:val="00644B14"/>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semiHidden/>
    <w:unhideWhenUsed/>
    <w:rsid w:val="00644B1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paragraph" w:styleId="NormalIndent">
    <w:name w:val="Normal Indent"/>
    <w:basedOn w:val="Normal"/>
    <w:semiHidden/>
    <w:unhideWhenUsed/>
    <w:rsid w:val="00644B14"/>
    <w:pPr>
      <w:ind w:left="720"/>
    </w:pPr>
  </w:style>
  <w:style w:type="character" w:customStyle="1" w:styleId="NoteHeadingChar">
    <w:name w:val="Note Heading Char"/>
    <w:basedOn w:val="DefaultParagraphFont"/>
    <w:link w:val="NoteHeading"/>
    <w:semiHidden/>
    <w:rsid w:val="00644B14"/>
    <w:rPr>
      <w:sz w:val="22"/>
    </w:rPr>
  </w:style>
  <w:style w:type="paragraph" w:styleId="NoteHeading">
    <w:name w:val="Note Heading"/>
    <w:basedOn w:val="Normal"/>
    <w:next w:val="Normal"/>
    <w:link w:val="NoteHeadingChar"/>
    <w:semiHidden/>
    <w:unhideWhenUsed/>
    <w:rsid w:val="00644B14"/>
    <w:pPr>
      <w:spacing w:after="0"/>
    </w:pPr>
  </w:style>
  <w:style w:type="paragraph" w:styleId="Quote">
    <w:name w:val="Quote"/>
    <w:basedOn w:val="Normal"/>
    <w:next w:val="Normal"/>
    <w:link w:val="QuoteChar"/>
    <w:uiPriority w:val="29"/>
    <w:qFormat/>
    <w:rsid w:val="00644B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4B14"/>
    <w:rPr>
      <w:i/>
      <w:iCs/>
      <w:color w:val="404040" w:themeColor="text1" w:themeTint="BF"/>
      <w:sz w:val="22"/>
    </w:rPr>
  </w:style>
  <w:style w:type="paragraph" w:styleId="Salutation">
    <w:name w:val="Salutation"/>
    <w:basedOn w:val="Normal"/>
    <w:next w:val="Normal"/>
    <w:link w:val="SalutationChar"/>
    <w:rsid w:val="00644B14"/>
  </w:style>
  <w:style w:type="character" w:customStyle="1" w:styleId="SalutationChar">
    <w:name w:val="Salutation Char"/>
    <w:basedOn w:val="DefaultParagraphFont"/>
    <w:link w:val="Salutation"/>
    <w:rsid w:val="00644B14"/>
    <w:rPr>
      <w:sz w:val="22"/>
    </w:rPr>
  </w:style>
  <w:style w:type="character" w:customStyle="1" w:styleId="SignatureChar">
    <w:name w:val="Signature Char"/>
    <w:basedOn w:val="DefaultParagraphFont"/>
    <w:link w:val="Signature"/>
    <w:semiHidden/>
    <w:rsid w:val="00644B14"/>
    <w:rPr>
      <w:sz w:val="22"/>
    </w:rPr>
  </w:style>
  <w:style w:type="paragraph" w:styleId="Signature">
    <w:name w:val="Signature"/>
    <w:basedOn w:val="Normal"/>
    <w:link w:val="SignatureChar"/>
    <w:semiHidden/>
    <w:unhideWhenUsed/>
    <w:rsid w:val="00644B14"/>
    <w:pPr>
      <w:spacing w:after="0"/>
      <w:ind w:left="4320"/>
    </w:pPr>
  </w:style>
  <w:style w:type="paragraph" w:customStyle="1" w:styleId="ParagraphNoIndent">
    <w:name w:val="ParagraphNoIndent"/>
    <w:qFormat/>
    <w:rsid w:val="00810A20"/>
    <w:rPr>
      <w:bCs/>
      <w:sz w:val="24"/>
      <w:szCs w:val="24"/>
    </w:rPr>
  </w:style>
  <w:style w:type="paragraph" w:customStyle="1" w:styleId="PreparedForText">
    <w:name w:val="PreparedForText"/>
    <w:qFormat/>
    <w:rsid w:val="00810A20"/>
    <w:rPr>
      <w:bCs/>
      <w:sz w:val="24"/>
      <w:szCs w:val="24"/>
    </w:rPr>
  </w:style>
  <w:style w:type="paragraph" w:customStyle="1" w:styleId="ContractNumber">
    <w:name w:val="ContractNumber"/>
    <w:next w:val="ParagraphNoIndent"/>
    <w:qFormat/>
    <w:rsid w:val="00810A20"/>
    <w:rPr>
      <w:b/>
      <w:bCs/>
      <w:sz w:val="24"/>
      <w:szCs w:val="24"/>
    </w:rPr>
  </w:style>
  <w:style w:type="paragraph" w:customStyle="1" w:styleId="ParagraphNoIndentBold">
    <w:name w:val="ParagraphNoIndentBold"/>
    <w:qFormat/>
    <w:rsid w:val="00810A20"/>
    <w:rPr>
      <w:b/>
      <w:bCs/>
      <w:sz w:val="24"/>
      <w:szCs w:val="24"/>
    </w:rPr>
  </w:style>
  <w:style w:type="paragraph" w:customStyle="1" w:styleId="PreparedByText">
    <w:name w:val="PreparedByText"/>
    <w:qFormat/>
    <w:rsid w:val="00810A20"/>
    <w:rPr>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B3"/>
    <w:pPr>
      <w:spacing w:after="180"/>
    </w:pPr>
    <w:rPr>
      <w:sz w:val="22"/>
    </w:rPr>
  </w:style>
  <w:style w:type="paragraph" w:styleId="Heading1">
    <w:name w:val="heading 1"/>
    <w:aliases w:val="Heading 1 Parts"/>
    <w:basedOn w:val="Normal"/>
    <w:next w:val="BodyText"/>
    <w:link w:val="Heading1Char"/>
    <w:uiPriority w:val="9"/>
    <w:qFormat/>
    <w:rsid w:val="00472498"/>
    <w:pPr>
      <w:pageBreakBefore/>
      <w:numPr>
        <w:numId w:val="15"/>
      </w:numPr>
      <w:spacing w:after="0" w:line="259" w:lineRule="auto"/>
      <w:outlineLvl w:val="0"/>
    </w:pPr>
    <w:rPr>
      <w:rFonts w:ascii="Arial" w:eastAsiaTheme="minorHAnsi" w:hAnsi="Arial" w:cs="Arial"/>
      <w:b/>
      <w:noProof/>
      <w:color w:val="205493"/>
      <w:sz w:val="36"/>
      <w:szCs w:val="22"/>
    </w:rPr>
  </w:style>
  <w:style w:type="paragraph" w:styleId="Heading2">
    <w:name w:val="heading 2"/>
    <w:aliases w:val="Heading 2 Sub Parts No Numbering"/>
    <w:basedOn w:val="Normal"/>
    <w:next w:val="BodyText"/>
    <w:link w:val="Heading2Char"/>
    <w:uiPriority w:val="9"/>
    <w:qFormat/>
    <w:rsid w:val="00472498"/>
    <w:pPr>
      <w:keepNext/>
      <w:numPr>
        <w:ilvl w:val="1"/>
        <w:numId w:val="15"/>
      </w:numPr>
      <w:spacing w:after="0" w:line="259" w:lineRule="auto"/>
      <w:outlineLvl w:val="1"/>
    </w:pPr>
    <w:rPr>
      <w:rFonts w:ascii="Arial" w:hAnsi="Arial" w:cs="Arial"/>
      <w:b/>
      <w:bCs/>
      <w:iCs/>
      <w:color w:val="205493"/>
      <w:sz w:val="32"/>
      <w:szCs w:val="28"/>
    </w:rPr>
  </w:style>
  <w:style w:type="paragraph" w:styleId="Heading3">
    <w:name w:val="heading 3"/>
    <w:basedOn w:val="Normal"/>
    <w:next w:val="BodyText"/>
    <w:link w:val="Heading3Char"/>
    <w:qFormat/>
    <w:rsid w:val="00472498"/>
    <w:pPr>
      <w:keepNext/>
      <w:numPr>
        <w:ilvl w:val="2"/>
        <w:numId w:val="15"/>
      </w:numPr>
      <w:spacing w:after="0" w:line="259" w:lineRule="auto"/>
      <w:outlineLvl w:val="2"/>
    </w:pPr>
    <w:rPr>
      <w:rFonts w:eastAsiaTheme="minorHAnsi"/>
      <w:b/>
      <w:color w:val="205493"/>
      <w:sz w:val="32"/>
      <w:szCs w:val="22"/>
    </w:rPr>
  </w:style>
  <w:style w:type="paragraph" w:styleId="Heading4">
    <w:name w:val="heading 4"/>
    <w:aliases w:val="Heading 4 Subtasks"/>
    <w:basedOn w:val="Normal"/>
    <w:next w:val="BodyText"/>
    <w:link w:val="Heading4Char"/>
    <w:qFormat/>
    <w:rsid w:val="00A000CA"/>
    <w:pPr>
      <w:keepNext/>
      <w:spacing w:after="0" w:line="259" w:lineRule="auto"/>
      <w:ind w:left="1152" w:hanging="1152"/>
      <w:outlineLvl w:val="3"/>
    </w:pPr>
    <w:rPr>
      <w:rFonts w:ascii="Arial" w:hAnsi="Arial"/>
      <w:b/>
      <w:color w:val="205493"/>
      <w:sz w:val="28"/>
    </w:rPr>
  </w:style>
  <w:style w:type="paragraph" w:styleId="Heading5">
    <w:name w:val="heading 5"/>
    <w:basedOn w:val="Normal"/>
    <w:next w:val="BodyText"/>
    <w:link w:val="Heading5Char"/>
    <w:qFormat/>
    <w:rsid w:val="00C1796D"/>
    <w:pPr>
      <w:keepNext/>
      <w:keepLines/>
      <w:numPr>
        <w:ilvl w:val="4"/>
        <w:numId w:val="15"/>
      </w:numPr>
      <w:spacing w:after="0" w:line="259" w:lineRule="auto"/>
      <w:ind w:left="1152" w:hanging="1152"/>
      <w:outlineLvl w:val="4"/>
    </w:pPr>
    <w:rPr>
      <w:rFonts w:cs="Arial"/>
      <w:b/>
      <w:color w:val="205493"/>
      <w:sz w:val="28"/>
    </w:rPr>
  </w:style>
  <w:style w:type="paragraph" w:styleId="Heading6">
    <w:name w:val="heading 6"/>
    <w:basedOn w:val="Normal"/>
    <w:next w:val="Normal"/>
    <w:link w:val="Heading6Char"/>
    <w:qFormat/>
    <w:rsid w:val="00495B91"/>
    <w:pPr>
      <w:numPr>
        <w:ilvl w:val="5"/>
        <w:numId w:val="15"/>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5"/>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5"/>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2498"/>
    <w:pPr>
      <w:spacing w:after="160" w:line="259" w:lineRule="auto"/>
    </w:pPr>
    <w:rPr>
      <w:rFonts w:ascii="Calibri" w:hAnsi="Calibri"/>
      <w:lang w:val="en"/>
    </w:rPr>
  </w:style>
  <w:style w:type="character" w:customStyle="1" w:styleId="BodyTextChar">
    <w:name w:val="Body Text Char"/>
    <w:basedOn w:val="DefaultParagraphFont"/>
    <w:link w:val="BodyText"/>
    <w:rsid w:val="00472498"/>
    <w:rPr>
      <w:rFonts w:ascii="Calibri" w:hAnsi="Calibri"/>
      <w:sz w:val="22"/>
      <w:lang w:val="en"/>
    </w:rPr>
  </w:style>
  <w:style w:type="character" w:customStyle="1" w:styleId="Heading1Char">
    <w:name w:val="Heading 1 Char"/>
    <w:aliases w:val="Heading 1 Parts Char"/>
    <w:basedOn w:val="DefaultParagraphFont"/>
    <w:link w:val="Heading1"/>
    <w:uiPriority w:val="9"/>
    <w:rsid w:val="00472498"/>
    <w:rPr>
      <w:rFonts w:ascii="Arial" w:eastAsiaTheme="minorHAnsi" w:hAnsi="Arial" w:cs="Arial"/>
      <w:b/>
      <w:noProof/>
      <w:color w:val="205493"/>
      <w:sz w:val="36"/>
      <w:szCs w:val="22"/>
    </w:rPr>
  </w:style>
  <w:style w:type="character" w:customStyle="1" w:styleId="Heading2Char">
    <w:name w:val="Heading 2 Char"/>
    <w:aliases w:val="Heading 2 Sub Parts No Numbering Char"/>
    <w:basedOn w:val="DefaultParagraphFont"/>
    <w:link w:val="Heading2"/>
    <w:uiPriority w:val="9"/>
    <w:rsid w:val="00472498"/>
    <w:rPr>
      <w:rFonts w:ascii="Arial" w:hAnsi="Arial" w:cs="Arial"/>
      <w:b/>
      <w:bCs/>
      <w:iCs/>
      <w:color w:val="205493"/>
      <w:sz w:val="32"/>
      <w:szCs w:val="28"/>
    </w:rPr>
  </w:style>
  <w:style w:type="character" w:customStyle="1" w:styleId="Heading3Char">
    <w:name w:val="Heading 3 Char"/>
    <w:basedOn w:val="DefaultParagraphFont"/>
    <w:link w:val="Heading3"/>
    <w:rsid w:val="00666902"/>
    <w:rPr>
      <w:rFonts w:eastAsiaTheme="minorHAnsi"/>
      <w:b/>
      <w:color w:val="205493"/>
      <w:sz w:val="32"/>
      <w:szCs w:val="22"/>
    </w:rPr>
  </w:style>
  <w:style w:type="character" w:customStyle="1" w:styleId="Heading4Char">
    <w:name w:val="Heading 4 Char"/>
    <w:aliases w:val="Heading 4 Subtasks Char"/>
    <w:basedOn w:val="DefaultParagraphFont"/>
    <w:link w:val="Heading4"/>
    <w:rsid w:val="00A000CA"/>
    <w:rPr>
      <w:rFonts w:ascii="Arial" w:hAnsi="Arial"/>
      <w:b/>
      <w:color w:val="205493"/>
      <w:sz w:val="28"/>
    </w:rPr>
  </w:style>
  <w:style w:type="character" w:customStyle="1" w:styleId="Heading5Char">
    <w:name w:val="Heading 5 Char"/>
    <w:basedOn w:val="DefaultParagraphFont"/>
    <w:link w:val="Heading5"/>
    <w:rsid w:val="00666902"/>
    <w:rPr>
      <w:rFonts w:cs="Arial"/>
      <w:b/>
      <w:color w:val="205493"/>
      <w:sz w:val="28"/>
    </w:rPr>
  </w:style>
  <w:style w:type="character" w:customStyle="1" w:styleId="Heading6Char">
    <w:name w:val="Heading 6 Char"/>
    <w:basedOn w:val="DefaultParagraphFont"/>
    <w:link w:val="Heading6"/>
    <w:rsid w:val="00666902"/>
    <w:rPr>
      <w:b/>
      <w:bCs/>
      <w:sz w:val="22"/>
      <w:szCs w:val="22"/>
    </w:rPr>
  </w:style>
  <w:style w:type="character" w:customStyle="1" w:styleId="Heading7Char">
    <w:name w:val="Heading 7 Char"/>
    <w:basedOn w:val="DefaultParagraphFont"/>
    <w:link w:val="Heading7"/>
    <w:rsid w:val="0036180D"/>
    <w:rPr>
      <w:sz w:val="24"/>
      <w:szCs w:val="24"/>
    </w:rPr>
  </w:style>
  <w:style w:type="character" w:customStyle="1" w:styleId="Heading8Char">
    <w:name w:val="Heading 8 Char"/>
    <w:basedOn w:val="DefaultParagraphFont"/>
    <w:link w:val="Heading8"/>
    <w:rsid w:val="0036180D"/>
    <w:rPr>
      <w:i/>
      <w:iCs/>
      <w:sz w:val="24"/>
      <w:szCs w:val="24"/>
    </w:rPr>
  </w:style>
  <w:style w:type="character" w:customStyle="1" w:styleId="Heading9Char">
    <w:name w:val="Heading 9 Char"/>
    <w:basedOn w:val="DefaultParagraphFont"/>
    <w:link w:val="Heading9"/>
    <w:rsid w:val="0036180D"/>
    <w:rPr>
      <w:rFonts w:ascii="Arial" w:hAnsi="Arial" w:cs="Arial"/>
      <w:sz w:val="22"/>
      <w:szCs w:val="22"/>
    </w:rPr>
  </w:style>
  <w:style w:type="paragraph" w:styleId="Footer">
    <w:name w:val="footer"/>
    <w:basedOn w:val="Normal"/>
    <w:link w:val="FooterChar"/>
    <w:rsid w:val="00640143"/>
    <w:pPr>
      <w:tabs>
        <w:tab w:val="center" w:pos="4680"/>
        <w:tab w:val="right" w:pos="9360"/>
      </w:tabs>
      <w:spacing w:after="0"/>
    </w:pPr>
    <w:rPr>
      <w:rFonts w:ascii="Calibri" w:hAnsi="Calibri" w:cs="Arial"/>
    </w:rPr>
  </w:style>
  <w:style w:type="character" w:customStyle="1" w:styleId="FooterChar">
    <w:name w:val="Footer Char"/>
    <w:basedOn w:val="DefaultParagraphFont"/>
    <w:link w:val="Footer"/>
    <w:rsid w:val="00640143"/>
    <w:rPr>
      <w:rFonts w:ascii="Calibri" w:hAnsi="Calibri" w:cs="Arial"/>
      <w:sz w:val="22"/>
    </w:rPr>
  </w:style>
  <w:style w:type="paragraph" w:customStyle="1" w:styleId="TableRowHeader">
    <w:name w:val="Table Row Header"/>
    <w:rsid w:val="009732AC"/>
    <w:pPr>
      <w:spacing w:before="20" w:after="20"/>
    </w:pPr>
    <w:rPr>
      <w:rFonts w:ascii="Arial Narrow" w:hAnsi="Arial Narrow"/>
      <w:b/>
      <w:color w:val="FFFFFF" w:themeColor="background1"/>
    </w:rPr>
  </w:style>
  <w:style w:type="character" w:styleId="PageNumber">
    <w:name w:val="page number"/>
    <w:basedOn w:val="DefaultParagraphFont"/>
    <w:rsid w:val="00235F34"/>
    <w:rPr>
      <w:rFonts w:ascii="Arial" w:hAnsi="Arial"/>
      <w:color w:val="48A9C5" w:themeColor="accent1"/>
      <w:sz w:val="18"/>
    </w:rPr>
  </w:style>
  <w:style w:type="paragraph" w:customStyle="1" w:styleId="Bullets">
    <w:name w:val="Bullets"/>
    <w:basedOn w:val="BodyText"/>
    <w:link w:val="BulletsChar"/>
    <w:rsid w:val="00200BD1"/>
    <w:pPr>
      <w:numPr>
        <w:numId w:val="7"/>
      </w:numPr>
      <w:tabs>
        <w:tab w:val="left" w:pos="360"/>
      </w:tabs>
      <w:spacing w:after="120"/>
    </w:pPr>
  </w:style>
  <w:style w:type="character" w:customStyle="1" w:styleId="BulletsChar">
    <w:name w:val="Bullets Char"/>
    <w:basedOn w:val="BodyTextChar"/>
    <w:link w:val="Bullets"/>
    <w:locked/>
    <w:rsid w:val="0036180D"/>
    <w:rPr>
      <w:rFonts w:ascii="Calibri" w:hAnsi="Calibri"/>
      <w:sz w:val="22"/>
      <w:lang w:val="en"/>
    </w:r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styleId="TOC1">
    <w:name w:val="toc 1"/>
    <w:basedOn w:val="Normal"/>
    <w:next w:val="BodyText"/>
    <w:uiPriority w:val="39"/>
    <w:rsid w:val="00C27267"/>
    <w:pPr>
      <w:keepNext/>
      <w:tabs>
        <w:tab w:val="left" w:pos="720"/>
        <w:tab w:val="right" w:leader="dot" w:pos="9360"/>
      </w:tabs>
      <w:spacing w:before="120" w:after="0"/>
      <w:ind w:right="540"/>
    </w:pPr>
    <w:rPr>
      <w:rFonts w:ascii="Arial" w:eastAsia="Calibri" w:hAnsi="Arial" w:cs="Arial"/>
      <w:b/>
      <w:noProof/>
      <w:szCs w:val="24"/>
      <w:u w:color="7F7F7F" w:themeColor="text1" w:themeTint="80"/>
    </w:rPr>
  </w:style>
  <w:style w:type="character" w:styleId="CommentReference">
    <w:name w:val="annotation reference"/>
    <w:basedOn w:val="DefaultParagraphFont"/>
    <w:uiPriority w:val="99"/>
    <w:rPr>
      <w:sz w:val="16"/>
    </w:rPr>
  </w:style>
  <w:style w:type="paragraph" w:styleId="TOC2">
    <w:name w:val="toc 2"/>
    <w:next w:val="BodyText"/>
    <w:uiPriority w:val="39"/>
    <w:rsid w:val="00254104"/>
    <w:pPr>
      <w:tabs>
        <w:tab w:val="left" w:pos="1260"/>
        <w:tab w:val="right" w:leader="dot" w:pos="9360"/>
      </w:tabs>
      <w:ind w:left="1260" w:right="540" w:hanging="540"/>
    </w:pPr>
    <w:rPr>
      <w:rFonts w:ascii="Arial" w:hAnsi="Arial" w:cs="Arial"/>
      <w:noProof/>
      <w:sz w:val="22"/>
    </w:rPr>
  </w:style>
  <w:style w:type="paragraph" w:styleId="TOC3">
    <w:name w:val="toc 3"/>
    <w:next w:val="BodyText"/>
    <w:uiPriority w:val="39"/>
    <w:rsid w:val="00254104"/>
    <w:pPr>
      <w:tabs>
        <w:tab w:val="left" w:pos="1980"/>
        <w:tab w:val="right" w:leader="dot" w:pos="9360"/>
      </w:tabs>
      <w:ind w:left="1980" w:right="540"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rsid w:val="00CB7EB3"/>
    <w:pPr>
      <w:spacing w:after="0"/>
    </w:pPr>
  </w:style>
  <w:style w:type="paragraph" w:styleId="TOC9">
    <w:name w:val="toc 9"/>
    <w:basedOn w:val="Normal"/>
    <w:next w:val="Normal"/>
    <w:autoRedefine/>
    <w:uiPriority w:val="39"/>
    <w:pPr>
      <w:ind w:left="1920"/>
    </w:pPr>
  </w:style>
  <w:style w:type="character" w:styleId="FootnoteReference">
    <w:name w:val="footnote reference"/>
    <w:aliases w:val="*Footnote Reference"/>
    <w:basedOn w:val="DefaultParagraphFont"/>
    <w:uiPriority w:val="99"/>
    <w:rsid w:val="007B1904"/>
    <w:rPr>
      <w:vertAlign w:val="superscript"/>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iPriority w:val="99"/>
    <w:qFormat/>
    <w:rsid w:val="0024676F"/>
    <w:pPr>
      <w:spacing w:after="0"/>
    </w:pPr>
    <w:rPr>
      <w:rFonts w:ascii="Calibri" w:hAnsi="Calibri"/>
      <w:sz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uiPriority w:val="99"/>
    <w:rsid w:val="0024676F"/>
    <w:rPr>
      <w:rFonts w:ascii="Calibri" w:hAnsi="Calibri"/>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24676F"/>
  </w:style>
  <w:style w:type="paragraph" w:styleId="CommentSubject">
    <w:name w:val="annotation subject"/>
    <w:basedOn w:val="CommentText"/>
    <w:next w:val="CommentText"/>
    <w:link w:val="CommentSubjectChar"/>
    <w:rsid w:val="00D34EEE"/>
    <w:rPr>
      <w:b/>
      <w:bCs/>
    </w:rPr>
  </w:style>
  <w:style w:type="character" w:customStyle="1" w:styleId="CommentSubjectChar">
    <w:name w:val="Comment Subject Char"/>
    <w:basedOn w:val="CommentTextChar"/>
    <w:link w:val="CommentSubject"/>
    <w:uiPriority w:val="99"/>
    <w:rsid w:val="00304AF9"/>
    <w:rPr>
      <w:b/>
      <w:bCs/>
    </w:rPr>
  </w:style>
  <w:style w:type="paragraph" w:styleId="BalloonText">
    <w:name w:val="Balloon Text"/>
    <w:basedOn w:val="Normal"/>
    <w:link w:val="BalloonTextChar"/>
    <w:uiPriority w:val="99"/>
    <w:rsid w:val="00D34EEE"/>
    <w:rPr>
      <w:rFonts w:ascii="Tahoma" w:hAnsi="Tahoma" w:cs="Tahoma"/>
      <w:sz w:val="16"/>
      <w:szCs w:val="16"/>
    </w:rPr>
  </w:style>
  <w:style w:type="character" w:customStyle="1" w:styleId="BalloonTextChar">
    <w:name w:val="Balloon Text Char"/>
    <w:basedOn w:val="DefaultParagraphFont"/>
    <w:link w:val="BalloonText"/>
    <w:uiPriority w:val="99"/>
    <w:rsid w:val="00A15A1F"/>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253EAC"/>
    <w:pPr>
      <w:keepNext/>
      <w:tabs>
        <w:tab w:val="left" w:pos="1260"/>
      </w:tabs>
      <w:spacing w:after="120"/>
    </w:pPr>
    <w:rPr>
      <w:rFonts w:ascii="Calibri" w:eastAsiaTheme="minorHAnsi" w:hAnsi="Calibri" w:cs="Arial"/>
      <w:b/>
      <w:szCs w:val="22"/>
    </w:rPr>
  </w:style>
  <w:style w:type="character" w:customStyle="1" w:styleId="CaptionChar">
    <w:name w:val="Caption Char"/>
    <w:basedOn w:val="DefaultParagraphFont"/>
    <w:link w:val="Caption"/>
    <w:locked/>
    <w:rsid w:val="00253EAC"/>
    <w:rPr>
      <w:rFonts w:ascii="Calibri" w:eastAsiaTheme="minorHAnsi" w:hAnsi="Calibri" w:cs="Arial"/>
      <w:b/>
      <w:sz w:val="22"/>
      <w:szCs w:val="22"/>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200BD1"/>
    <w:pPr>
      <w:numPr>
        <w:numId w:val="3"/>
      </w:numPr>
      <w:spacing w:after="120" w:line="259" w:lineRule="auto"/>
    </w:pPr>
    <w:rPr>
      <w:rFonts w:ascii="Calibri" w:hAnsi="Calibri"/>
    </w:r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48A9C5"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TableText">
    <w:name w:val="Table Text"/>
    <w:basedOn w:val="Normal"/>
    <w:qFormat/>
    <w:rsid w:val="0024676F"/>
    <w:pPr>
      <w:spacing w:after="0"/>
    </w:pPr>
    <w:rPr>
      <w:rFonts w:ascii="Arial" w:hAnsi="Arial"/>
      <w:sz w:val="18"/>
    </w:rPr>
  </w:style>
  <w:style w:type="paragraph" w:customStyle="1" w:styleId="TableSource">
    <w:name w:val="Table Source"/>
    <w:basedOn w:val="Normal"/>
    <w:next w:val="BodyText"/>
    <w:qFormat/>
    <w:rsid w:val="0024676F"/>
    <w:pPr>
      <w:spacing w:before="120"/>
    </w:pPr>
    <w:rPr>
      <w:rFonts w:ascii="Arial" w:hAnsi="Arial"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254104"/>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SubtitleChar">
    <w:name w:val="Subtitle Char"/>
    <w:basedOn w:val="DefaultParagraphFont"/>
    <w:link w:val="Subtitle"/>
    <w:uiPriority w:val="11"/>
    <w:rsid w:val="00254104"/>
    <w:rPr>
      <w:rFonts w:asciiTheme="minorHAnsi" w:eastAsiaTheme="minorHAnsi" w:hAnsiTheme="minorHAnsi" w:cstheme="minorHAnsi"/>
      <w:i/>
      <w:color w:val="FFFFFF" w:themeColor="background1"/>
      <w:sz w:val="40"/>
      <w:szCs w:val="24"/>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paragraph" w:customStyle="1" w:styleId="Call-OutBoxHeader">
    <w:name w:val="Call-Out Box Header"/>
    <w:basedOn w:val="Normal"/>
    <w:next w:val="Call-OutBoxText"/>
    <w:qFormat/>
    <w:rsid w:val="009E146E"/>
    <w:pPr>
      <w:spacing w:after="120" w:line="259" w:lineRule="auto"/>
    </w:pPr>
    <w:rPr>
      <w:rFonts w:ascii="Arial" w:eastAsiaTheme="minorHAnsi" w:hAnsi="Arial" w:cs="Arial"/>
      <w:b/>
      <w:color w:val="000000" w:themeColor="text1"/>
      <w:sz w:val="18"/>
      <w:szCs w:val="22"/>
    </w:rPr>
  </w:style>
  <w:style w:type="paragraph" w:customStyle="1" w:styleId="Call-OutBoxText">
    <w:name w:val="Call-Out Box Text"/>
    <w:basedOn w:val="Normal"/>
    <w:qFormat/>
    <w:rsid w:val="009E146E"/>
    <w:pPr>
      <w:spacing w:after="0" w:line="259" w:lineRule="auto"/>
    </w:pPr>
    <w:rPr>
      <w:rFonts w:ascii="Arial" w:eastAsiaTheme="minorHAnsi" w:hAnsi="Arial" w:cs="Arial"/>
      <w:color w:val="000000" w:themeColor="text1"/>
      <w:sz w:val="18"/>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link w:val="Heading3NoNumberingChar"/>
    <w:qFormat/>
    <w:rsid w:val="009F7147"/>
    <w:pPr>
      <w:numPr>
        <w:ilvl w:val="0"/>
        <w:numId w:val="0"/>
      </w:numPr>
    </w:pPr>
  </w:style>
  <w:style w:type="character" w:customStyle="1" w:styleId="Heading3NoNumberingChar">
    <w:name w:val="Heading 3 No Numbering Char"/>
    <w:basedOn w:val="Heading3Char"/>
    <w:link w:val="Heading3NoNumbering"/>
    <w:rsid w:val="00F94055"/>
    <w:rPr>
      <w:rFonts w:eastAsiaTheme="minorHAnsi"/>
      <w:b/>
      <w:color w:val="205493"/>
      <w:sz w:val="32"/>
      <w:szCs w:val="22"/>
    </w:rPr>
  </w:style>
  <w:style w:type="paragraph" w:customStyle="1" w:styleId="TableBullets">
    <w:name w:val="Table Bullets"/>
    <w:basedOn w:val="ListParagraph"/>
    <w:qFormat/>
    <w:rsid w:val="00E55BF9"/>
    <w:pPr>
      <w:numPr>
        <w:numId w:val="4"/>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BodyTextNoSpaceAfter">
    <w:name w:val="Body Text No Space After"/>
    <w:basedOn w:val="BodyText"/>
    <w:qFormat/>
    <w:rsid w:val="00372DF9"/>
    <w:pPr>
      <w:spacing w:after="0"/>
    </w:pPr>
  </w:style>
  <w:style w:type="paragraph" w:customStyle="1" w:styleId="Heading1NoNumbering">
    <w:name w:val="Heading 1 No Numbering"/>
    <w:basedOn w:val="Heading1"/>
    <w:qFormat/>
    <w:rsid w:val="006C1475"/>
    <w:pPr>
      <w:numPr>
        <w:numId w:val="0"/>
      </w:numPr>
      <w:spacing w:line="252" w:lineRule="auto"/>
    </w:pPr>
  </w:style>
  <w:style w:type="paragraph" w:customStyle="1" w:styleId="TableColumnHeader">
    <w:name w:val="Table Column Header"/>
    <w:basedOn w:val="Normal"/>
    <w:qFormat/>
    <w:rsid w:val="0024676F"/>
    <w:pPr>
      <w:spacing w:after="0"/>
      <w:jc w:val="center"/>
    </w:pPr>
    <w:rPr>
      <w:rFonts w:ascii="Arial" w:hAnsi="Arial"/>
      <w:b/>
      <w:color w:val="000000" w:themeColor="text1"/>
      <w:sz w:val="18"/>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21417B"/>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PPText">
    <w:name w:val="PP Text"/>
    <w:basedOn w:val="Normal"/>
    <w:qFormat/>
    <w:rsid w:val="003F1A40"/>
    <w:pPr>
      <w:spacing w:after="120"/>
    </w:pPr>
    <w:rPr>
      <w:rFonts w:ascii="Arial Narrow" w:hAnsi="Arial Narrow"/>
      <w:sz w:val="20"/>
    </w:rPr>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9E146E"/>
    <w:pPr>
      <w:numPr>
        <w:numId w:val="6"/>
      </w:numPr>
      <w:ind w:left="216" w:hanging="216"/>
      <w:contextualSpacing/>
    </w:pPr>
  </w:style>
  <w:style w:type="paragraph" w:customStyle="1" w:styleId="PPBullet">
    <w:name w:val="PP Bullet"/>
    <w:qFormat/>
    <w:rsid w:val="0021417B"/>
    <w:pPr>
      <w:widowControl w:val="0"/>
      <w:numPr>
        <w:numId w:val="5"/>
      </w:numPr>
      <w:spacing w:after="120"/>
      <w:ind w:left="259" w:hanging="259"/>
      <w:contextualSpacing/>
    </w:pPr>
    <w:rPr>
      <w:rFonts w:ascii="Arial Narrow" w:eastAsiaTheme="minorHAnsi" w:hAnsi="Arial Narrow"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eastAsiaTheme="minorHAnsi" w:hAnsi="Century Gothic" w:cstheme="minorBidi"/>
      <w:b/>
      <w:i/>
      <w:color w:val="DA291C"/>
      <w:spacing w:val="20"/>
      <w:sz w:val="28"/>
      <w:szCs w:val="22"/>
    </w:rPr>
  </w:style>
  <w:style w:type="paragraph" w:customStyle="1" w:styleId="Heading2NoNumbering">
    <w:name w:val="Heading 2 No Numbering"/>
    <w:next w:val="BodyText"/>
    <w:link w:val="Heading2NoNumberingChar"/>
    <w:qFormat/>
    <w:rsid w:val="00472498"/>
    <w:pPr>
      <w:keepNext/>
      <w:spacing w:line="259" w:lineRule="auto"/>
    </w:pPr>
    <w:rPr>
      <w:rFonts w:ascii="Arial" w:eastAsiaTheme="minorHAnsi" w:hAnsi="Arial" w:cs="Arial"/>
      <w:b/>
      <w:color w:val="205493"/>
      <w:sz w:val="32"/>
      <w:szCs w:val="22"/>
    </w:rPr>
  </w:style>
  <w:style w:type="character" w:customStyle="1" w:styleId="Heading2NoNumberingChar">
    <w:name w:val="Heading 2 No Numbering Char"/>
    <w:basedOn w:val="Heading2Char"/>
    <w:link w:val="Heading2NoNumbering"/>
    <w:rsid w:val="00F94055"/>
    <w:rPr>
      <w:rFonts w:ascii="Arial" w:eastAsiaTheme="minorHAnsi" w:hAnsi="Arial" w:cs="Arial"/>
      <w:b/>
      <w:bCs w:val="0"/>
      <w:iCs w:val="0"/>
      <w:color w:val="205493"/>
      <w:sz w:val="32"/>
      <w:szCs w:val="2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48A9C5" w:themeColor="accent1"/>
      <w:szCs w:val="24"/>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uiPriority w:val="10"/>
    <w:qFormat/>
    <w:rsid w:val="006D3DFF"/>
    <w:pPr>
      <w:spacing w:after="600"/>
    </w:pPr>
    <w:rPr>
      <w:rFonts w:ascii="Arial" w:hAnsi="Arial" w:cs="Arial"/>
      <w:b/>
      <w:sz w:val="36"/>
      <w:szCs w:val="36"/>
    </w:rPr>
  </w:style>
  <w:style w:type="character" w:customStyle="1" w:styleId="TitleChar">
    <w:name w:val="Title Char"/>
    <w:basedOn w:val="DefaultParagraphFont"/>
    <w:link w:val="Title"/>
    <w:uiPriority w:val="10"/>
    <w:rsid w:val="006D3DFF"/>
    <w:rPr>
      <w:rFonts w:ascii="Arial" w:hAnsi="Arial" w:cs="Arial"/>
      <w:b/>
      <w:sz w:val="36"/>
      <w:szCs w:val="36"/>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961AAE"/>
    <w:pPr>
      <w:spacing w:after="0"/>
    </w:pPr>
    <w:rPr>
      <w:rFonts w:ascii="Arial Narrow" w:hAnsi="Arial Narrow"/>
      <w:b/>
      <w:color w:val="FFFFFF" w:themeColor="background1"/>
      <w:sz w:val="40"/>
    </w:rPr>
  </w:style>
  <w:style w:type="paragraph" w:customStyle="1" w:styleId="CoverSubmitted">
    <w:name w:val="Cover Submitted"/>
    <w:basedOn w:val="Normal"/>
    <w:qFormat/>
    <w:rsid w:val="00961AAE"/>
    <w:pPr>
      <w:spacing w:after="0"/>
    </w:pPr>
    <w:rPr>
      <w:rFonts w:ascii="Arial Narrow" w:hAnsi="Arial Narrow"/>
      <w:color w:val="FFFFFF" w:themeColor="background1"/>
      <w:sz w:val="32"/>
      <w:szCs w:val="32"/>
    </w:rPr>
  </w:style>
  <w:style w:type="paragraph" w:styleId="NoSpacing">
    <w:name w:val="No Spacing"/>
    <w:link w:val="NoSpacingChar"/>
    <w:uiPriority w:val="1"/>
    <w:qFormat/>
    <w:rsid w:val="009E146E"/>
    <w:rPr>
      <w:rFonts w:asciiTheme="minorHAnsi" w:eastAsiaTheme="minorEastAsia" w:hAnsiTheme="minorHAnsi" w:cstheme="minorBidi"/>
    </w:rPr>
  </w:style>
  <w:style w:type="character" w:customStyle="1" w:styleId="NoSpacingChar">
    <w:name w:val="No Spacing Char"/>
    <w:basedOn w:val="DefaultParagraphFont"/>
    <w:link w:val="NoSpacing"/>
    <w:uiPriority w:val="1"/>
    <w:locked/>
    <w:rsid w:val="0036180D"/>
    <w:rPr>
      <w:rFonts w:asciiTheme="minorHAnsi" w:eastAsiaTheme="minorEastAsia" w:hAnsiTheme="minorHAnsi" w:cstheme="minorBidi"/>
    </w:rPr>
  </w:style>
  <w:style w:type="table" w:customStyle="1" w:styleId="PlainTable2">
    <w:name w:val="Plain Table 2"/>
    <w:basedOn w:val="TableNormal"/>
    <w:uiPriority w:val="42"/>
    <w:rsid w:val="0024676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FC31EB"/>
    <w:pPr>
      <w:spacing w:after="0" w:line="259" w:lineRule="auto"/>
      <w:ind w:left="720" w:hanging="720"/>
    </w:pPr>
    <w:rPr>
      <w:rFonts w:ascii="Calibri" w:eastAsiaTheme="minorHAnsi" w:hAnsi="Calibri" w:cs="Calibri"/>
      <w:noProof/>
      <w:szCs w:val="22"/>
    </w:rPr>
  </w:style>
  <w:style w:type="character" w:customStyle="1" w:styleId="EndNoteBibliographyChar">
    <w:name w:val="EndNote Bibliography Char"/>
    <w:basedOn w:val="DefaultParagraphFont"/>
    <w:link w:val="EndNoteBibliography"/>
    <w:rsid w:val="00FC31EB"/>
    <w:rPr>
      <w:rFonts w:ascii="Calibri" w:eastAsiaTheme="minorHAnsi" w:hAnsi="Calibri" w:cs="Calibri"/>
      <w:noProof/>
      <w:sz w:val="22"/>
      <w:szCs w:val="22"/>
    </w:rPr>
  </w:style>
  <w:style w:type="paragraph" w:styleId="NormalWeb">
    <w:name w:val="Normal (Web)"/>
    <w:basedOn w:val="Normal"/>
    <w:uiPriority w:val="99"/>
    <w:unhideWhenUsed/>
    <w:rsid w:val="004E7E7B"/>
    <w:pPr>
      <w:spacing w:before="100" w:beforeAutospacing="1" w:after="100" w:afterAutospacing="1"/>
    </w:pPr>
    <w:rPr>
      <w:rFonts w:eastAsiaTheme="minorEastAsia"/>
      <w:sz w:val="24"/>
      <w:szCs w:val="24"/>
    </w:rPr>
  </w:style>
  <w:style w:type="character" w:customStyle="1" w:styleId="highlight">
    <w:name w:val="highlight"/>
    <w:basedOn w:val="DefaultParagraphFont"/>
    <w:rsid w:val="009826A8"/>
  </w:style>
  <w:style w:type="paragraph" w:customStyle="1" w:styleId="EndNoteBibliographyTitle">
    <w:name w:val="EndNote Bibliography Title"/>
    <w:basedOn w:val="Normal"/>
    <w:link w:val="EndNoteBibliographyTitleChar"/>
    <w:rsid w:val="002155ED"/>
    <w:pPr>
      <w:spacing w:after="0"/>
      <w:jc w:val="center"/>
    </w:pPr>
    <w:rPr>
      <w:rFonts w:ascii="Calibri" w:hAnsi="Calibri" w:cs="Calibri"/>
      <w:noProof/>
    </w:rPr>
  </w:style>
  <w:style w:type="character" w:customStyle="1" w:styleId="EndNoteBibliographyTitleChar">
    <w:name w:val="EndNote Bibliography Title Char"/>
    <w:basedOn w:val="BodyTextChar"/>
    <w:link w:val="EndNoteBibliographyTitle"/>
    <w:rsid w:val="002155ED"/>
    <w:rPr>
      <w:rFonts w:ascii="Calibri" w:hAnsi="Calibri" w:cs="Calibri"/>
      <w:noProof/>
      <w:sz w:val="22"/>
      <w:lang w:val="en"/>
    </w:rPr>
  </w:style>
  <w:style w:type="character" w:styleId="FollowedHyperlink">
    <w:name w:val="FollowedHyperlink"/>
    <w:basedOn w:val="DefaultParagraphFont"/>
    <w:semiHidden/>
    <w:unhideWhenUsed/>
    <w:rsid w:val="000338F5"/>
    <w:rPr>
      <w:color w:val="800080" w:themeColor="followedHyperlink"/>
      <w:u w:val="single"/>
    </w:rPr>
  </w:style>
  <w:style w:type="paragraph" w:styleId="Revision">
    <w:name w:val="Revision"/>
    <w:hidden/>
    <w:uiPriority w:val="99"/>
    <w:rsid w:val="00BE646F"/>
    <w:rPr>
      <w:sz w:val="22"/>
    </w:rPr>
  </w:style>
  <w:style w:type="character" w:customStyle="1" w:styleId="UnresolvedMention">
    <w:name w:val="Unresolved Mention"/>
    <w:basedOn w:val="DefaultParagraphFont"/>
    <w:uiPriority w:val="99"/>
    <w:semiHidden/>
    <w:unhideWhenUsed/>
    <w:rsid w:val="00052D00"/>
    <w:rPr>
      <w:color w:val="605E5C"/>
      <w:shd w:val="clear" w:color="auto" w:fill="E1DFDD"/>
    </w:rPr>
  </w:style>
  <w:style w:type="character" w:styleId="PlaceholderText">
    <w:name w:val="Placeholder Text"/>
    <w:basedOn w:val="DefaultParagraphFont"/>
    <w:uiPriority w:val="99"/>
    <w:semiHidden/>
    <w:rsid w:val="00A15A1F"/>
    <w:rPr>
      <w:color w:val="808080"/>
    </w:rPr>
  </w:style>
  <w:style w:type="table" w:customStyle="1" w:styleId="PlainTable21">
    <w:name w:val="Plain Table 21"/>
    <w:basedOn w:val="TableNormal"/>
    <w:uiPriority w:val="42"/>
    <w:rsid w:val="00F32C0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32C0E"/>
    <w:rPr>
      <w:i/>
      <w:iCs/>
    </w:rPr>
  </w:style>
  <w:style w:type="character" w:customStyle="1" w:styleId="italic">
    <w:name w:val="italic"/>
    <w:basedOn w:val="DefaultParagraphFont"/>
    <w:rsid w:val="00F32C0E"/>
  </w:style>
  <w:style w:type="character" w:customStyle="1" w:styleId="named-content">
    <w:name w:val="named-content"/>
    <w:basedOn w:val="DefaultParagraphFont"/>
    <w:rsid w:val="00F32C0E"/>
  </w:style>
  <w:style w:type="character" w:styleId="Strong">
    <w:name w:val="Strong"/>
    <w:basedOn w:val="DefaultParagraphFont"/>
    <w:uiPriority w:val="22"/>
    <w:qFormat/>
    <w:rsid w:val="00F32C0E"/>
    <w:rPr>
      <w:b/>
      <w:bCs/>
    </w:rPr>
  </w:style>
  <w:style w:type="character" w:customStyle="1" w:styleId="tp-size">
    <w:name w:val="tp-size"/>
    <w:basedOn w:val="DefaultParagraphFont"/>
    <w:rsid w:val="00F32C0E"/>
  </w:style>
  <w:style w:type="paragraph" w:customStyle="1" w:styleId="Header3">
    <w:name w:val="Header 3"/>
    <w:qFormat/>
    <w:rsid w:val="00F32C0E"/>
    <w:pPr>
      <w:spacing w:before="400" w:line="259" w:lineRule="auto"/>
    </w:pPr>
    <w:rPr>
      <w:rFonts w:ascii="Times" w:eastAsiaTheme="minorHAnsi" w:hAnsi="Times" w:cs="Times New Roman (Body CS)"/>
      <w:b/>
      <w:color w:val="000000"/>
      <w:sz w:val="30"/>
      <w:szCs w:val="22"/>
    </w:rPr>
  </w:style>
  <w:style w:type="table" w:customStyle="1" w:styleId="GridTableLight">
    <w:name w:val="Grid Table Light"/>
    <w:basedOn w:val="TableNormal"/>
    <w:uiPriority w:val="40"/>
    <w:rsid w:val="00F32C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lfld-title">
    <w:name w:val="hlfld-title"/>
    <w:basedOn w:val="DefaultParagraphFont"/>
    <w:rsid w:val="00F32C0E"/>
  </w:style>
  <w:style w:type="paragraph" w:styleId="EndnoteText">
    <w:name w:val="endnote text"/>
    <w:basedOn w:val="Normal"/>
    <w:link w:val="EndnoteTextChar"/>
    <w:semiHidden/>
    <w:unhideWhenUsed/>
    <w:rsid w:val="00F32C0E"/>
    <w:pPr>
      <w:spacing w:after="0"/>
    </w:pPr>
    <w:rPr>
      <w:sz w:val="20"/>
    </w:rPr>
  </w:style>
  <w:style w:type="character" w:customStyle="1" w:styleId="EndnoteTextChar">
    <w:name w:val="Endnote Text Char"/>
    <w:basedOn w:val="DefaultParagraphFont"/>
    <w:link w:val="EndnoteText"/>
    <w:semiHidden/>
    <w:rsid w:val="00F32C0E"/>
  </w:style>
  <w:style w:type="character" w:styleId="EndnoteReference">
    <w:name w:val="endnote reference"/>
    <w:basedOn w:val="DefaultParagraphFont"/>
    <w:uiPriority w:val="99"/>
    <w:semiHidden/>
    <w:unhideWhenUsed/>
    <w:rsid w:val="00F32C0E"/>
    <w:rPr>
      <w:vertAlign w:val="superscript"/>
    </w:rPr>
  </w:style>
  <w:style w:type="character" w:customStyle="1" w:styleId="fulltext-it">
    <w:name w:val="fulltext-it"/>
    <w:basedOn w:val="DefaultParagraphFont"/>
    <w:rsid w:val="00F32C0E"/>
  </w:style>
  <w:style w:type="character" w:customStyle="1" w:styleId="titledefault">
    <w:name w:val="title_default"/>
    <w:basedOn w:val="DefaultParagraphFont"/>
    <w:rsid w:val="00304AF9"/>
  </w:style>
  <w:style w:type="character" w:customStyle="1" w:styleId="normaltextrun">
    <w:name w:val="normaltextrun"/>
    <w:basedOn w:val="DefaultParagraphFont"/>
    <w:rsid w:val="00304AF9"/>
  </w:style>
  <w:style w:type="table" w:customStyle="1" w:styleId="PlainTable4">
    <w:name w:val="Plain Table 4"/>
    <w:basedOn w:val="TableNormal"/>
    <w:uiPriority w:val="44"/>
    <w:rsid w:val="00304AF9"/>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04AF9"/>
    <w:rPr>
      <w:color w:val="605E5C"/>
      <w:shd w:val="clear" w:color="auto" w:fill="E1DFDD"/>
    </w:rPr>
  </w:style>
  <w:style w:type="character" w:customStyle="1" w:styleId="e24kjd">
    <w:name w:val="e24kjd"/>
    <w:basedOn w:val="DefaultParagraphFont"/>
    <w:rsid w:val="00A11284"/>
  </w:style>
  <w:style w:type="table" w:customStyle="1" w:styleId="PlainTable22">
    <w:name w:val="Plain Table 22"/>
    <w:basedOn w:val="TableNormal"/>
    <w:uiPriority w:val="42"/>
    <w:rsid w:val="00A11284"/>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1">
    <w:name w:val="st1"/>
    <w:basedOn w:val="DefaultParagraphFont"/>
    <w:rsid w:val="00A000CA"/>
  </w:style>
  <w:style w:type="paragraph" w:customStyle="1" w:styleId="Header4">
    <w:name w:val="Header 4"/>
    <w:basedOn w:val="Normal"/>
    <w:qFormat/>
    <w:rsid w:val="008F61A6"/>
    <w:pPr>
      <w:spacing w:before="100" w:after="0" w:line="288" w:lineRule="auto"/>
    </w:pPr>
    <w:rPr>
      <w:rFonts w:ascii="Times" w:eastAsiaTheme="minorHAnsi" w:hAnsi="Times" w:cstheme="minorBidi"/>
      <w:i/>
      <w:sz w:val="26"/>
      <w:szCs w:val="22"/>
    </w:rPr>
  </w:style>
  <w:style w:type="paragraph" w:customStyle="1" w:styleId="Heading4NoNumbering">
    <w:name w:val="Heading 4 No Numbering"/>
    <w:basedOn w:val="Heading4"/>
    <w:link w:val="Heading4NoNumberingChar"/>
    <w:qFormat/>
    <w:rsid w:val="008F61A6"/>
    <w:pPr>
      <w:ind w:left="0" w:firstLine="0"/>
    </w:pPr>
  </w:style>
  <w:style w:type="character" w:customStyle="1" w:styleId="Heading4NoNumberingChar">
    <w:name w:val="Heading 4 No Numbering Char"/>
    <w:basedOn w:val="Heading4Char"/>
    <w:link w:val="Heading4NoNumbering"/>
    <w:rsid w:val="008F61A6"/>
    <w:rPr>
      <w:rFonts w:ascii="Arial" w:hAnsi="Arial"/>
      <w:b/>
      <w:color w:val="205493"/>
      <w:sz w:val="28"/>
    </w:rPr>
  </w:style>
  <w:style w:type="character" w:customStyle="1" w:styleId="doi2">
    <w:name w:val="doi2"/>
    <w:basedOn w:val="DefaultParagraphFont"/>
    <w:rsid w:val="00666902"/>
  </w:style>
  <w:style w:type="character" w:customStyle="1" w:styleId="citation-url">
    <w:name w:val="citation-url"/>
    <w:basedOn w:val="DefaultParagraphFont"/>
    <w:rsid w:val="00666902"/>
  </w:style>
  <w:style w:type="paragraph" w:customStyle="1" w:styleId="Exhibitlabels">
    <w:name w:val="Exhibit labels"/>
    <w:basedOn w:val="Normal"/>
    <w:qFormat/>
    <w:rsid w:val="00666902"/>
    <w:pPr>
      <w:spacing w:before="100" w:after="160" w:line="288" w:lineRule="auto"/>
    </w:pPr>
    <w:rPr>
      <w:rFonts w:ascii="Arial" w:eastAsiaTheme="minorHAnsi" w:hAnsi="Arial" w:cstheme="minorBidi"/>
      <w:sz w:val="16"/>
      <w:szCs w:val="16"/>
    </w:rPr>
  </w:style>
  <w:style w:type="character" w:customStyle="1" w:styleId="ref-journal">
    <w:name w:val="ref-journal"/>
    <w:basedOn w:val="DefaultParagraphFont"/>
    <w:rsid w:val="00666902"/>
  </w:style>
  <w:style w:type="character" w:customStyle="1" w:styleId="ref-vol">
    <w:name w:val="ref-vol"/>
    <w:basedOn w:val="DefaultParagraphFont"/>
    <w:rsid w:val="00666902"/>
  </w:style>
  <w:style w:type="character" w:customStyle="1" w:styleId="titleseparator">
    <w:name w:val="titleseparator"/>
    <w:basedOn w:val="DefaultParagraphFont"/>
    <w:rsid w:val="00666902"/>
  </w:style>
  <w:style w:type="character" w:customStyle="1" w:styleId="citation-volume-pages">
    <w:name w:val="citation-volume-pages"/>
    <w:basedOn w:val="DefaultParagraphFont"/>
    <w:rsid w:val="00666902"/>
  </w:style>
  <w:style w:type="character" w:customStyle="1" w:styleId="ref-title">
    <w:name w:val="ref-title"/>
    <w:basedOn w:val="DefaultParagraphFont"/>
    <w:rsid w:val="00666902"/>
  </w:style>
  <w:style w:type="character" w:customStyle="1" w:styleId="colon-for-citation-subtitle">
    <w:name w:val="colon-for-citation-subtitle"/>
    <w:basedOn w:val="DefaultParagraphFont"/>
    <w:rsid w:val="00666902"/>
  </w:style>
  <w:style w:type="character" w:customStyle="1" w:styleId="Subtitle3">
    <w:name w:val="Subtitle3"/>
    <w:basedOn w:val="DefaultParagraphFont"/>
    <w:rsid w:val="00666902"/>
  </w:style>
  <w:style w:type="character" w:customStyle="1" w:styleId="bkprnt1">
    <w:name w:val="bk_prnt1"/>
    <w:basedOn w:val="DefaultParagraphFont"/>
    <w:rsid w:val="00666902"/>
    <w:rPr>
      <w:vanish/>
      <w:webHidden w:val="0"/>
      <w:specVanish w:val="0"/>
    </w:rPr>
  </w:style>
  <w:style w:type="character" w:customStyle="1" w:styleId="UnresolvedMention2">
    <w:name w:val="Unresolved Mention2"/>
    <w:basedOn w:val="DefaultParagraphFont"/>
    <w:uiPriority w:val="99"/>
    <w:unhideWhenUsed/>
    <w:rsid w:val="00666902"/>
    <w:rPr>
      <w:color w:val="605E5C"/>
      <w:shd w:val="clear" w:color="auto" w:fill="E1DFDD"/>
    </w:rPr>
  </w:style>
  <w:style w:type="character" w:customStyle="1" w:styleId="apple-converted-space">
    <w:name w:val="apple-converted-space"/>
    <w:basedOn w:val="DefaultParagraphFont"/>
    <w:rsid w:val="008D5287"/>
  </w:style>
  <w:style w:type="table" w:customStyle="1" w:styleId="GridTable4Accent6">
    <w:name w:val="Grid Table 4 Accent 6"/>
    <w:basedOn w:val="TableNormal"/>
    <w:uiPriority w:val="49"/>
    <w:rsid w:val="00F94055"/>
    <w:rPr>
      <w:rFonts w:asciiTheme="minorHAnsi" w:eastAsiaTheme="minorHAnsi" w:hAnsiTheme="minorHAnsi" w:cstheme="minorBidi"/>
      <w:sz w:val="22"/>
      <w:szCs w:val="22"/>
    </w:rPr>
    <w:tblPr>
      <w:tblStyleRowBandSize w:val="1"/>
      <w:tblStyleColBandSize w:val="1"/>
      <w:tblBorders>
        <w:top w:val="single" w:sz="4" w:space="0" w:color="D3DEE4" w:themeColor="accent6" w:themeTint="99"/>
        <w:left w:val="single" w:sz="4" w:space="0" w:color="D3DEE4" w:themeColor="accent6" w:themeTint="99"/>
        <w:bottom w:val="single" w:sz="4" w:space="0" w:color="D3DEE4" w:themeColor="accent6" w:themeTint="99"/>
        <w:right w:val="single" w:sz="4" w:space="0" w:color="D3DEE4" w:themeColor="accent6" w:themeTint="99"/>
        <w:insideH w:val="single" w:sz="4" w:space="0" w:color="D3DEE4" w:themeColor="accent6" w:themeTint="99"/>
        <w:insideV w:val="single" w:sz="4" w:space="0" w:color="D3DEE4" w:themeColor="accent6" w:themeTint="99"/>
      </w:tblBorders>
    </w:tblPr>
    <w:tblStylePr w:type="firstRow">
      <w:rPr>
        <w:b/>
        <w:bCs/>
        <w:color w:val="FFFFFF" w:themeColor="background1"/>
      </w:rPr>
      <w:tblPr/>
      <w:tcPr>
        <w:tcBorders>
          <w:top w:val="single" w:sz="4" w:space="0" w:color="B7C9D3" w:themeColor="accent6"/>
          <w:left w:val="single" w:sz="4" w:space="0" w:color="B7C9D3" w:themeColor="accent6"/>
          <w:bottom w:val="single" w:sz="4" w:space="0" w:color="B7C9D3" w:themeColor="accent6"/>
          <w:right w:val="single" w:sz="4" w:space="0" w:color="B7C9D3" w:themeColor="accent6"/>
          <w:insideH w:val="nil"/>
          <w:insideV w:val="nil"/>
        </w:tcBorders>
        <w:shd w:val="clear" w:color="auto" w:fill="B7C9D3" w:themeFill="accent6"/>
      </w:tcPr>
    </w:tblStylePr>
    <w:tblStylePr w:type="lastRow">
      <w:rPr>
        <w:b/>
        <w:bCs/>
      </w:rPr>
      <w:tblPr/>
      <w:tcPr>
        <w:tcBorders>
          <w:top w:val="double" w:sz="4" w:space="0" w:color="B7C9D3" w:themeColor="accent6"/>
        </w:tcBorders>
      </w:tcPr>
    </w:tblStylePr>
    <w:tblStylePr w:type="firstCol">
      <w:rPr>
        <w:b/>
        <w:bCs/>
      </w:rPr>
    </w:tblStylePr>
    <w:tblStylePr w:type="lastCol">
      <w:rPr>
        <w:b/>
        <w:bCs/>
      </w:rPr>
    </w:tblStylePr>
    <w:tblStylePr w:type="band1Vert">
      <w:tblPr/>
      <w:tcPr>
        <w:shd w:val="clear" w:color="auto" w:fill="F0F4F6" w:themeFill="accent6" w:themeFillTint="33"/>
      </w:tcPr>
    </w:tblStylePr>
    <w:tblStylePr w:type="band1Horz">
      <w:tblPr/>
      <w:tcPr>
        <w:shd w:val="clear" w:color="auto" w:fill="F0F4F6" w:themeFill="accent6" w:themeFillTint="33"/>
      </w:tcPr>
    </w:tblStylePr>
  </w:style>
  <w:style w:type="table" w:customStyle="1" w:styleId="TableGridLight1">
    <w:name w:val="Table Grid Light1"/>
    <w:basedOn w:val="TableNormal"/>
    <w:uiPriority w:val="40"/>
    <w:rsid w:val="00B344BC"/>
    <w:pPr>
      <w:spacing w:after="200" w:line="288" w:lineRule="auto"/>
    </w:pPr>
    <w:rPr>
      <w:rFonts w:ascii="Times" w:eastAsiaTheme="minorHAnsi" w:hAnsi="Times" w:cs="Times New Roman (Body CS)"/>
      <w:color w:val="000000" w:themeColor="text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Pr>
    <w:tcPr>
      <w:tcMar>
        <w:top w:w="86" w:type="dxa"/>
        <w:left w:w="115" w:type="dxa"/>
        <w:bottom w:w="0" w:type="dxa"/>
        <w:right w:w="115" w:type="dxa"/>
      </w:tcMar>
      <w:vAlign w:val="bottom"/>
    </w:tcPr>
  </w:style>
  <w:style w:type="paragraph" w:customStyle="1" w:styleId="TableRow1">
    <w:name w:val="Table Row 1"/>
    <w:basedOn w:val="Normal"/>
    <w:qFormat/>
    <w:rsid w:val="00B344BC"/>
    <w:pPr>
      <w:spacing w:after="160" w:line="288" w:lineRule="auto"/>
    </w:pPr>
    <w:rPr>
      <w:rFonts w:ascii="Times" w:eastAsiaTheme="minorHAnsi" w:hAnsi="Times" w:cs="Times New Roman (Body CS)"/>
      <w:b/>
      <w:color w:val="000000" w:themeColor="text1"/>
      <w:sz w:val="16"/>
      <w:szCs w:val="22"/>
    </w:rPr>
  </w:style>
  <w:style w:type="paragraph" w:customStyle="1" w:styleId="TableColumn1">
    <w:name w:val="Table Column 1"/>
    <w:basedOn w:val="Normal"/>
    <w:qFormat/>
    <w:rsid w:val="00B344BC"/>
    <w:pPr>
      <w:spacing w:after="160" w:line="288" w:lineRule="auto"/>
    </w:pPr>
    <w:rPr>
      <w:rFonts w:ascii="Times" w:eastAsiaTheme="minorHAnsi" w:hAnsi="Times" w:cs="Times New Roman (Body CS)"/>
      <w:b/>
      <w:i/>
      <w:color w:val="000000" w:themeColor="text1"/>
      <w:sz w:val="16"/>
      <w:szCs w:val="22"/>
    </w:rPr>
  </w:style>
  <w:style w:type="paragraph" w:customStyle="1" w:styleId="Tabletext0">
    <w:name w:val="Table text"/>
    <w:basedOn w:val="Normal"/>
    <w:link w:val="TabletextChar"/>
    <w:qFormat/>
    <w:rsid w:val="00B344BC"/>
    <w:pPr>
      <w:spacing w:after="200" w:line="288" w:lineRule="auto"/>
    </w:pPr>
    <w:rPr>
      <w:rFonts w:ascii="Times" w:eastAsiaTheme="minorHAnsi" w:hAnsi="Times" w:cs="Times New Roman (Body CS)"/>
      <w:color w:val="000000" w:themeColor="text1"/>
      <w:sz w:val="16"/>
      <w:szCs w:val="22"/>
    </w:rPr>
  </w:style>
  <w:style w:type="character" w:customStyle="1" w:styleId="TabletextChar">
    <w:name w:val="Table text Char"/>
    <w:basedOn w:val="DefaultParagraphFont"/>
    <w:link w:val="Tabletext0"/>
    <w:rsid w:val="00B344BC"/>
    <w:rPr>
      <w:rFonts w:ascii="Times" w:eastAsiaTheme="minorHAnsi" w:hAnsi="Times" w:cs="Times New Roman (Body CS)"/>
      <w:color w:val="000000" w:themeColor="text1"/>
      <w:sz w:val="16"/>
      <w:szCs w:val="22"/>
    </w:rPr>
  </w:style>
  <w:style w:type="character" w:customStyle="1" w:styleId="Heading1Char1">
    <w:name w:val="Heading 1 Char1"/>
    <w:aliases w:val="Heading 1 Parts Char1"/>
    <w:basedOn w:val="DefaultParagraphFont"/>
    <w:uiPriority w:val="9"/>
    <w:rsid w:val="0036180D"/>
    <w:rPr>
      <w:rFonts w:asciiTheme="majorHAnsi" w:eastAsiaTheme="majorEastAsia" w:hAnsiTheme="majorHAnsi" w:cstheme="majorBidi"/>
      <w:color w:val="308198" w:themeColor="accent1" w:themeShade="BF"/>
      <w:sz w:val="32"/>
      <w:szCs w:val="32"/>
    </w:rPr>
  </w:style>
  <w:style w:type="character" w:customStyle="1" w:styleId="Heading2Char1">
    <w:name w:val="Heading 2 Char1"/>
    <w:aliases w:val="Heading 2 Sub Parts No Numbering Char1"/>
    <w:basedOn w:val="DefaultParagraphFont"/>
    <w:uiPriority w:val="9"/>
    <w:semiHidden/>
    <w:rsid w:val="0036180D"/>
    <w:rPr>
      <w:rFonts w:asciiTheme="majorHAnsi" w:eastAsiaTheme="majorEastAsia" w:hAnsiTheme="majorHAnsi" w:cstheme="majorBidi"/>
      <w:color w:val="308198" w:themeColor="accent1" w:themeShade="BF"/>
      <w:sz w:val="26"/>
      <w:szCs w:val="26"/>
    </w:rPr>
  </w:style>
  <w:style w:type="character" w:customStyle="1" w:styleId="Heading4Char1">
    <w:name w:val="Heading 4 Char1"/>
    <w:aliases w:val="Heading 4 Subtasks Char1"/>
    <w:basedOn w:val="DefaultParagraphFont"/>
    <w:semiHidden/>
    <w:rsid w:val="0036180D"/>
    <w:rPr>
      <w:rFonts w:asciiTheme="majorHAnsi" w:eastAsiaTheme="majorEastAsia" w:hAnsiTheme="majorHAnsi" w:cstheme="majorBidi"/>
      <w:i/>
      <w:iCs/>
      <w:color w:val="308198" w:themeColor="accent1" w:themeShade="BF"/>
      <w:sz w:val="22"/>
    </w:rPr>
  </w:style>
  <w:style w:type="character" w:customStyle="1" w:styleId="FootnoteTextChar1">
    <w:name w:val="Footnote Text Char1"/>
    <w:aliases w:val="F1 Char1,*Footnote Text Char1,Footnote Text Char Char Char Char Char1,Footnote Text Char Char Char1,Footnote Text ERA Char1,Footnote Text ERA1 Char1,Footnote Text ERA2 Char1,Footnote Text ERA11 Char1,Footnote Text ERA3 Char1,fn Char1"/>
    <w:basedOn w:val="DefaultParagraphFont"/>
    <w:semiHidden/>
    <w:rsid w:val="0036180D"/>
    <w:rPr>
      <w:rFonts w:eastAsiaTheme="minorHAnsi"/>
    </w:rPr>
  </w:style>
  <w:style w:type="paragraph" w:styleId="TableofFigures">
    <w:name w:val="table of figures"/>
    <w:basedOn w:val="Normal"/>
    <w:next w:val="Normal"/>
    <w:semiHidden/>
    <w:unhideWhenUsed/>
    <w:rsid w:val="0036180D"/>
    <w:pPr>
      <w:spacing w:after="0" w:line="264" w:lineRule="auto"/>
    </w:pPr>
  </w:style>
  <w:style w:type="paragraph" w:styleId="BodyText2">
    <w:name w:val="Body Text 2"/>
    <w:basedOn w:val="Normal"/>
    <w:link w:val="BodyText2Char"/>
    <w:semiHidden/>
    <w:unhideWhenUsed/>
    <w:rsid w:val="0036180D"/>
    <w:pPr>
      <w:spacing w:after="120" w:line="480" w:lineRule="auto"/>
    </w:pPr>
  </w:style>
  <w:style w:type="character" w:customStyle="1" w:styleId="BodyText2Char">
    <w:name w:val="Body Text 2 Char"/>
    <w:basedOn w:val="DefaultParagraphFont"/>
    <w:link w:val="BodyText2"/>
    <w:semiHidden/>
    <w:rsid w:val="0036180D"/>
    <w:rPr>
      <w:sz w:val="22"/>
    </w:rPr>
  </w:style>
  <w:style w:type="paragraph" w:styleId="PlainText">
    <w:name w:val="Plain Text"/>
    <w:basedOn w:val="Normal"/>
    <w:link w:val="PlainTextChar"/>
    <w:semiHidden/>
    <w:unhideWhenUsed/>
    <w:rsid w:val="0036180D"/>
    <w:pPr>
      <w:spacing w:after="0"/>
    </w:pPr>
    <w:rPr>
      <w:rFonts w:ascii="Calibri" w:eastAsiaTheme="minorHAnsi" w:hAnsi="Calibri"/>
      <w:szCs w:val="22"/>
    </w:rPr>
  </w:style>
  <w:style w:type="character" w:customStyle="1" w:styleId="PlainTextChar">
    <w:name w:val="Plain Text Char"/>
    <w:basedOn w:val="DefaultParagraphFont"/>
    <w:link w:val="PlainText"/>
    <w:semiHidden/>
    <w:rsid w:val="0036180D"/>
    <w:rPr>
      <w:rFonts w:ascii="Calibri" w:eastAsiaTheme="minorHAnsi" w:hAnsi="Calibri"/>
      <w:sz w:val="22"/>
      <w:szCs w:val="22"/>
    </w:rPr>
  </w:style>
  <w:style w:type="paragraph" w:styleId="TOCHeading">
    <w:name w:val="TOC Heading"/>
    <w:basedOn w:val="Heading1"/>
    <w:next w:val="Normal"/>
    <w:uiPriority w:val="39"/>
    <w:semiHidden/>
    <w:unhideWhenUsed/>
    <w:qFormat/>
    <w:rsid w:val="0036180D"/>
    <w:pPr>
      <w:keepNext/>
      <w:keepLines/>
      <w:pageBreakBefore w:val="0"/>
      <w:numPr>
        <w:numId w:val="0"/>
      </w:numPr>
      <w:spacing w:before="240" w:line="256" w:lineRule="auto"/>
      <w:outlineLvl w:val="9"/>
    </w:pPr>
    <w:rPr>
      <w:rFonts w:asciiTheme="majorHAnsi" w:eastAsiaTheme="majorEastAsia" w:hAnsiTheme="majorHAnsi" w:cstheme="majorBidi"/>
      <w:b w:val="0"/>
      <w:noProof w:val="0"/>
      <w:color w:val="308198" w:themeColor="accent1" w:themeShade="BF"/>
      <w:sz w:val="32"/>
      <w:szCs w:val="32"/>
    </w:rPr>
  </w:style>
  <w:style w:type="character" w:customStyle="1" w:styleId="AbbreviationsChar">
    <w:name w:val="Abbreviations Char"/>
    <w:basedOn w:val="BodyTextChar"/>
    <w:link w:val="Abbreviations"/>
    <w:locked/>
    <w:rsid w:val="0036180D"/>
    <w:rPr>
      <w:rFonts w:ascii="Calibri" w:eastAsiaTheme="minorEastAsia" w:hAnsi="Calibri"/>
      <w:sz w:val="22"/>
      <w:lang w:val="en"/>
    </w:rPr>
  </w:style>
  <w:style w:type="paragraph" w:customStyle="1" w:styleId="Abbreviations">
    <w:name w:val="Abbreviations"/>
    <w:basedOn w:val="BodyText"/>
    <w:link w:val="AbbreviationsChar"/>
    <w:qFormat/>
    <w:rsid w:val="0036180D"/>
    <w:pPr>
      <w:spacing w:after="180" w:line="264" w:lineRule="auto"/>
      <w:ind w:left="1440" w:hanging="1440"/>
    </w:pPr>
    <w:rPr>
      <w:rFonts w:ascii="Times New Roman" w:eastAsiaTheme="minorEastAsia" w:hAnsi="Times New Roman"/>
      <w:lang w:val="en-US"/>
    </w:rPr>
  </w:style>
  <w:style w:type="paragraph" w:customStyle="1" w:styleId="Author">
    <w:name w:val="Author"/>
    <w:basedOn w:val="Normal"/>
    <w:uiPriority w:val="99"/>
    <w:qFormat/>
    <w:rsid w:val="0036180D"/>
    <w:pPr>
      <w:spacing w:after="200" w:line="276" w:lineRule="auto"/>
      <w:jc w:val="center"/>
    </w:pPr>
    <w:rPr>
      <w:rFonts w:ascii="Arial" w:eastAsiaTheme="minorEastAsia" w:hAnsi="Arial" w:cs="Arial"/>
      <w:b/>
      <w:bCs/>
      <w:sz w:val="28"/>
      <w:szCs w:val="24"/>
      <w:lang w:bidi="ne-NP"/>
    </w:rPr>
  </w:style>
  <w:style w:type="character" w:customStyle="1" w:styleId="BodyTextNoSpaceChar">
    <w:name w:val="Body Text No Space Char"/>
    <w:basedOn w:val="BodyTextChar"/>
    <w:link w:val="BodyTextNoSpace"/>
    <w:locked/>
    <w:rsid w:val="0036180D"/>
    <w:rPr>
      <w:rFonts w:ascii="Calibri" w:eastAsiaTheme="minorEastAsia" w:hAnsi="Calibri"/>
      <w:sz w:val="22"/>
      <w:lang w:val="en"/>
    </w:rPr>
  </w:style>
  <w:style w:type="paragraph" w:customStyle="1" w:styleId="BodyTextNoSpace">
    <w:name w:val="Body Text No Space"/>
    <w:basedOn w:val="BodyText"/>
    <w:link w:val="BodyTextNoSpaceChar"/>
    <w:qFormat/>
    <w:rsid w:val="0036180D"/>
    <w:pPr>
      <w:spacing w:after="180" w:line="240" w:lineRule="auto"/>
    </w:pPr>
    <w:rPr>
      <w:rFonts w:ascii="Times New Roman" w:eastAsiaTheme="minorEastAsia" w:hAnsi="Times New Roman"/>
      <w:lang w:val="en-US"/>
    </w:rPr>
  </w:style>
  <w:style w:type="paragraph" w:customStyle="1" w:styleId="CaptionBox">
    <w:name w:val="Caption Box"/>
    <w:basedOn w:val="Caption"/>
    <w:uiPriority w:val="99"/>
    <w:qFormat/>
    <w:rsid w:val="0036180D"/>
    <w:pPr>
      <w:keepLines/>
      <w:widowControl w:val="0"/>
      <w:tabs>
        <w:tab w:val="clear" w:pos="1260"/>
        <w:tab w:val="left" w:pos="1080"/>
      </w:tabs>
    </w:pPr>
    <w:rPr>
      <w:rFonts w:eastAsia="Times New Roman" w:cs="Calibri"/>
      <w:color w:val="000000" w:themeColor="text1"/>
      <w:szCs w:val="20"/>
    </w:rPr>
  </w:style>
  <w:style w:type="paragraph" w:customStyle="1" w:styleId="TableBody">
    <w:name w:val="Table Body"/>
    <w:basedOn w:val="Normal"/>
    <w:uiPriority w:val="99"/>
    <w:qFormat/>
    <w:rsid w:val="0036180D"/>
    <w:pPr>
      <w:spacing w:line="360" w:lineRule="auto"/>
    </w:pPr>
    <w:rPr>
      <w:rFonts w:ascii="Arial" w:eastAsiaTheme="minorEastAsia" w:hAnsi="Arial" w:cs="Arial"/>
      <w:lang w:bidi="ne-NP"/>
    </w:rPr>
  </w:style>
  <w:style w:type="paragraph" w:customStyle="1" w:styleId="TableBullet1">
    <w:name w:val="Table Bullet 1"/>
    <w:basedOn w:val="ListParagraph"/>
    <w:uiPriority w:val="99"/>
    <w:qFormat/>
    <w:rsid w:val="0036180D"/>
    <w:pPr>
      <w:numPr>
        <w:numId w:val="47"/>
      </w:numPr>
      <w:tabs>
        <w:tab w:val="num" w:pos="360"/>
      </w:tabs>
      <w:spacing w:after="0" w:line="360" w:lineRule="auto"/>
      <w:ind w:left="360" w:firstLine="0"/>
    </w:pPr>
    <w:rPr>
      <w:rFonts w:ascii="Arial" w:eastAsiaTheme="minorEastAsia" w:hAnsi="Arial" w:cs="Arial"/>
      <w:lang w:bidi="ne-NP"/>
    </w:rPr>
  </w:style>
  <w:style w:type="paragraph" w:customStyle="1" w:styleId="Heading1APPNoNumbering">
    <w:name w:val="Heading 1 APP No Numbering"/>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cs="Times New Roman"/>
      <w:noProof w:val="0"/>
      <w:color w:val="FFFFFF"/>
      <w:kern w:val="28"/>
      <w:sz w:val="28"/>
      <w:szCs w:val="20"/>
    </w:rPr>
  </w:style>
  <w:style w:type="paragraph" w:customStyle="1" w:styleId="Heading2Tasks">
    <w:name w:val="Heading 2 Tasks"/>
    <w:basedOn w:val="Heading2"/>
    <w:next w:val="BodyText"/>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pPr>
    <w:rPr>
      <w:rFonts w:eastAsia="Calibri"/>
      <w:b w:val="0"/>
      <w:iCs w:val="0"/>
      <w:color w:val="000000" w:themeColor="text1"/>
      <w:sz w:val="24"/>
    </w:rPr>
  </w:style>
  <w:style w:type="paragraph" w:customStyle="1" w:styleId="CoverLetterTextOnly">
    <w:name w:val="Cover Letter Text Only"/>
    <w:basedOn w:val="Normal"/>
    <w:uiPriority w:val="99"/>
    <w:qFormat/>
    <w:rsid w:val="0036180D"/>
    <w:pPr>
      <w:spacing w:line="264" w:lineRule="auto"/>
    </w:pPr>
    <w:rPr>
      <w:sz w:val="24"/>
      <w:szCs w:val="24"/>
    </w:rPr>
  </w:style>
  <w:style w:type="paragraph" w:customStyle="1" w:styleId="TOCMainHeaders">
    <w:name w:val="TOC Main Headers"/>
    <w:basedOn w:val="TOC1"/>
    <w:uiPriority w:val="99"/>
    <w:qFormat/>
    <w:rsid w:val="0036180D"/>
    <w:pPr>
      <w:keepNext w:val="0"/>
      <w:tabs>
        <w:tab w:val="left" w:pos="540"/>
        <w:tab w:val="left" w:pos="576"/>
        <w:tab w:val="right" w:leader="dot" w:pos="8990"/>
      </w:tabs>
      <w:spacing w:before="240" w:after="180"/>
      <w:ind w:left="540" w:hanging="540"/>
    </w:pPr>
    <w:rPr>
      <w:rFonts w:eastAsia="Times New Roman"/>
      <w:color w:val="48A9C5" w:themeColor="accent1"/>
      <w:sz w:val="28"/>
      <w:szCs w:val="20"/>
    </w:rPr>
  </w:style>
  <w:style w:type="paragraph" w:customStyle="1" w:styleId="RFPText">
    <w:name w:val="RFP Text"/>
    <w:basedOn w:val="TableText"/>
    <w:uiPriority w:val="99"/>
    <w:qFormat/>
    <w:rsid w:val="0036180D"/>
    <w:pPr>
      <w:shd w:val="clear" w:color="auto" w:fill="D9D9D9" w:themeFill="background1" w:themeFillShade="D9"/>
      <w:spacing w:before="40" w:after="120" w:line="264" w:lineRule="auto"/>
    </w:pPr>
    <w:rPr>
      <w:rFonts w:cs="Arial"/>
      <w:color w:val="000000"/>
      <w:sz w:val="20"/>
    </w:rPr>
  </w:style>
  <w:style w:type="paragraph" w:customStyle="1" w:styleId="aaaindent">
    <w:name w:val="aaa indent"/>
    <w:basedOn w:val="Normal"/>
    <w:uiPriority w:val="99"/>
    <w:qFormat/>
    <w:rsid w:val="0036180D"/>
    <w:pPr>
      <w:spacing w:line="480" w:lineRule="auto"/>
      <w:ind w:firstLine="360"/>
    </w:pPr>
    <w:rPr>
      <w:rFonts w:ascii="Arial Narrow" w:hAnsi="Arial Narrow"/>
      <w:spacing w:val="-6"/>
      <w:sz w:val="24"/>
      <w:lang w:val="en"/>
    </w:rPr>
  </w:style>
  <w:style w:type="paragraph" w:customStyle="1" w:styleId="aaanoindent">
    <w:name w:val="aaa no indent"/>
    <w:basedOn w:val="aaaindent"/>
    <w:uiPriority w:val="99"/>
    <w:qFormat/>
    <w:rsid w:val="0036180D"/>
    <w:pPr>
      <w:ind w:firstLine="0"/>
    </w:pPr>
  </w:style>
  <w:style w:type="paragraph" w:customStyle="1" w:styleId="Responsetextnoindent">
    <w:name w:val="Response text no indent"/>
    <w:basedOn w:val="aaanoindent"/>
    <w:uiPriority w:val="99"/>
    <w:qFormat/>
    <w:rsid w:val="0036180D"/>
  </w:style>
  <w:style w:type="paragraph" w:customStyle="1" w:styleId="Call-OutBoxTextHeader">
    <w:name w:val="Call-Out Box Text Header"/>
    <w:basedOn w:val="Normal"/>
    <w:uiPriority w:val="99"/>
    <w:qFormat/>
    <w:rsid w:val="0036180D"/>
    <w:pPr>
      <w:spacing w:after="60"/>
      <w:ind w:right="18"/>
    </w:pPr>
    <w:rPr>
      <w:rFonts w:asciiTheme="minorHAnsi" w:eastAsiaTheme="minorHAnsi" w:hAnsiTheme="minorHAnsi" w:cs="Arial"/>
      <w:b/>
      <w:i/>
      <w:sz w:val="20"/>
      <w:szCs w:val="22"/>
    </w:rPr>
  </w:style>
  <w:style w:type="paragraph" w:customStyle="1" w:styleId="Call-OutBoxTextArial">
    <w:name w:val="Call-Out Box Text (Arial)"/>
    <w:basedOn w:val="NoSpacing"/>
    <w:uiPriority w:val="99"/>
    <w:qFormat/>
    <w:rsid w:val="0036180D"/>
    <w:pPr>
      <w:ind w:left="180" w:right="204"/>
    </w:pPr>
    <w:rPr>
      <w:rFonts w:ascii="Arial Narrow" w:eastAsia="Times New Roman" w:hAnsi="Arial Narrow" w:cs="Arial"/>
      <w:sz w:val="22"/>
    </w:rPr>
  </w:style>
  <w:style w:type="paragraph" w:customStyle="1" w:styleId="BodyTextNOIndent">
    <w:name w:val="Body Text NO Indent"/>
    <w:basedOn w:val="BodyText"/>
    <w:uiPriority w:val="99"/>
    <w:qFormat/>
    <w:rsid w:val="0036180D"/>
    <w:pPr>
      <w:spacing w:after="180" w:line="264" w:lineRule="auto"/>
    </w:pPr>
    <w:rPr>
      <w:rFonts w:ascii="Times New Roman" w:hAnsi="Times New Roman"/>
      <w:lang w:val="en-US"/>
    </w:rPr>
  </w:style>
  <w:style w:type="paragraph" w:customStyle="1" w:styleId="ExhibitSource">
    <w:name w:val="Exhibit Source"/>
    <w:basedOn w:val="Normal"/>
    <w:uiPriority w:val="99"/>
    <w:qFormat/>
    <w:rsid w:val="0036180D"/>
    <w:pPr>
      <w:spacing w:before="40" w:after="40" w:line="264" w:lineRule="auto"/>
    </w:pPr>
    <w:rPr>
      <w:rFonts w:ascii="Arial Narrow" w:hAnsi="Arial Narrow" w:cs="Arial"/>
      <w:i/>
      <w:sz w:val="18"/>
    </w:rPr>
  </w:style>
  <w:style w:type="paragraph" w:customStyle="1" w:styleId="ExhibitText">
    <w:name w:val="Exhibit Text"/>
    <w:basedOn w:val="TableText"/>
    <w:uiPriority w:val="99"/>
    <w:qFormat/>
    <w:rsid w:val="0036180D"/>
    <w:pPr>
      <w:spacing w:before="20" w:after="20"/>
    </w:pPr>
    <w:rPr>
      <w:rFonts w:ascii="Arial Narrow" w:hAnsi="Arial Narrow" w:cs="Arial"/>
      <w:bCs/>
      <w:color w:val="000000"/>
      <w:sz w:val="20"/>
    </w:rPr>
  </w:style>
  <w:style w:type="paragraph" w:customStyle="1" w:styleId="ExhibitBullet">
    <w:name w:val="Exhibit Bullet"/>
    <w:basedOn w:val="BodyText"/>
    <w:uiPriority w:val="99"/>
    <w:qFormat/>
    <w:rsid w:val="0036180D"/>
    <w:pPr>
      <w:numPr>
        <w:numId w:val="48"/>
      </w:numPr>
      <w:spacing w:after="180" w:line="264" w:lineRule="auto"/>
      <w:contextualSpacing/>
    </w:pPr>
    <w:rPr>
      <w:rFonts w:ascii="Times New Roman" w:eastAsia="Calibri" w:hAnsi="Times New Roman"/>
      <w:sz w:val="20"/>
      <w:lang w:val="en-US"/>
    </w:rPr>
  </w:style>
  <w:style w:type="paragraph" w:customStyle="1" w:styleId="TableBullet">
    <w:name w:val="Table Bullet"/>
    <w:basedOn w:val="TableText"/>
    <w:uiPriority w:val="99"/>
    <w:qFormat/>
    <w:rsid w:val="0036180D"/>
    <w:pPr>
      <w:numPr>
        <w:numId w:val="49"/>
      </w:numPr>
      <w:spacing w:before="40" w:after="40" w:line="264" w:lineRule="auto"/>
    </w:pPr>
    <w:rPr>
      <w:rFonts w:cs="Arial"/>
      <w:bCs/>
      <w:color w:val="000000"/>
      <w:szCs w:val="18"/>
    </w:rPr>
  </w:style>
  <w:style w:type="paragraph" w:customStyle="1" w:styleId="Heading3Nonumbering0">
    <w:name w:val="Heading 3 No numbering"/>
    <w:basedOn w:val="Heading4"/>
    <w:next w:val="BodyText"/>
    <w:uiPriority w:val="99"/>
    <w:qFormat/>
    <w:rsid w:val="0036180D"/>
    <w:pPr>
      <w:spacing w:before="60" w:after="60" w:line="264" w:lineRule="auto"/>
      <w:ind w:left="0" w:firstLine="0"/>
    </w:pPr>
    <w:rPr>
      <w:rFonts w:eastAsia="Calibri"/>
      <w:color w:val="auto"/>
      <w:sz w:val="20"/>
    </w:rPr>
  </w:style>
  <w:style w:type="paragraph" w:customStyle="1" w:styleId="ExhibitColumnHeader">
    <w:name w:val="Exhibit Column Header"/>
    <w:uiPriority w:val="99"/>
    <w:qFormat/>
    <w:rsid w:val="0036180D"/>
    <w:pPr>
      <w:spacing w:before="20" w:after="20"/>
      <w:jc w:val="center"/>
    </w:pPr>
    <w:rPr>
      <w:rFonts w:ascii="Arial Narrow" w:hAnsi="Arial Narrow" w:cs="Arial"/>
      <w:b/>
      <w:bCs/>
      <w:color w:val="000000" w:themeColor="text1"/>
    </w:rPr>
  </w:style>
  <w:style w:type="paragraph" w:customStyle="1" w:styleId="ExhibitColumnHead">
    <w:name w:val="Exhibit Column Head"/>
    <w:uiPriority w:val="99"/>
    <w:qFormat/>
    <w:rsid w:val="0036180D"/>
    <w:pPr>
      <w:jc w:val="center"/>
    </w:pPr>
    <w:rPr>
      <w:rFonts w:ascii="Arial Narrow" w:hAnsi="Arial Narrow" w:cs="Arial"/>
      <w:b/>
      <w:color w:val="000000" w:themeColor="text1"/>
      <w:sz w:val="18"/>
    </w:rPr>
  </w:style>
  <w:style w:type="paragraph" w:customStyle="1" w:styleId="BodyTextAfterTables">
    <w:name w:val="Body Text After Tables"/>
    <w:basedOn w:val="BodyText"/>
    <w:uiPriority w:val="99"/>
    <w:qFormat/>
    <w:rsid w:val="0036180D"/>
    <w:pPr>
      <w:spacing w:after="180" w:line="264" w:lineRule="auto"/>
    </w:pPr>
    <w:rPr>
      <w:rFonts w:ascii="Times New Roman" w:eastAsiaTheme="minorHAnsi" w:hAnsi="Times New Roman"/>
      <w:lang w:val="en-US"/>
    </w:rPr>
  </w:style>
  <w:style w:type="paragraph" w:customStyle="1" w:styleId="FrontPageCallOutBullet">
    <w:name w:val="Front Page Call Out Bullet"/>
    <w:basedOn w:val="ListParagraph"/>
    <w:uiPriority w:val="99"/>
    <w:qFormat/>
    <w:rsid w:val="0036180D"/>
    <w:pPr>
      <w:numPr>
        <w:numId w:val="50"/>
      </w:numPr>
      <w:tabs>
        <w:tab w:val="num" w:pos="360"/>
      </w:tabs>
      <w:snapToGrid w:val="0"/>
      <w:ind w:firstLine="0"/>
    </w:pPr>
    <w:rPr>
      <w:rFonts w:ascii="Arial Narrow" w:eastAsia="Times New Roman" w:hAnsi="Arial Narrow"/>
      <w:sz w:val="24"/>
    </w:rPr>
  </w:style>
  <w:style w:type="paragraph" w:customStyle="1" w:styleId="ExhibitBullets">
    <w:name w:val="Exhibit Bullets"/>
    <w:basedOn w:val="ListParagraph"/>
    <w:uiPriority w:val="99"/>
    <w:qFormat/>
    <w:rsid w:val="0036180D"/>
    <w:pPr>
      <w:numPr>
        <w:numId w:val="51"/>
      </w:numPr>
      <w:tabs>
        <w:tab w:val="num" w:pos="360"/>
      </w:tabs>
      <w:spacing w:after="0"/>
      <w:ind w:left="720" w:firstLine="0"/>
    </w:pPr>
    <w:rPr>
      <w:rFonts w:ascii="Arial Narrow" w:eastAsia="Times New Roman" w:hAnsi="Arial Narrow"/>
      <w:szCs w:val="20"/>
    </w:rPr>
  </w:style>
  <w:style w:type="paragraph" w:customStyle="1" w:styleId="BodyTextatgraphic">
    <w:name w:val="Body Text at graphic"/>
    <w:basedOn w:val="Normal"/>
    <w:uiPriority w:val="99"/>
    <w:qFormat/>
    <w:rsid w:val="0036180D"/>
    <w:pPr>
      <w:spacing w:line="264" w:lineRule="auto"/>
      <w:jc w:val="center"/>
    </w:pPr>
    <w:rPr>
      <w:sz w:val="24"/>
      <w:szCs w:val="24"/>
    </w:rPr>
  </w:style>
  <w:style w:type="paragraph" w:customStyle="1" w:styleId="ResumeBullet">
    <w:name w:val="Resume Bullet"/>
    <w:basedOn w:val="Normal"/>
    <w:uiPriority w:val="99"/>
    <w:qFormat/>
    <w:rsid w:val="0036180D"/>
    <w:pPr>
      <w:numPr>
        <w:numId w:val="52"/>
      </w:numPr>
      <w:spacing w:line="264" w:lineRule="auto"/>
    </w:pPr>
    <w:rPr>
      <w:rFonts w:eastAsia="Calibri"/>
      <w:bCs/>
      <w:sz w:val="24"/>
      <w:szCs w:val="24"/>
    </w:rPr>
  </w:style>
  <w:style w:type="paragraph" w:customStyle="1" w:styleId="ResumeBodyText">
    <w:name w:val="Resume Body Text"/>
    <w:basedOn w:val="Normal"/>
    <w:uiPriority w:val="99"/>
    <w:qFormat/>
    <w:rsid w:val="0036180D"/>
    <w:pPr>
      <w:spacing w:line="264" w:lineRule="auto"/>
    </w:pPr>
    <w:rPr>
      <w:rFonts w:eastAsia="Calibri"/>
      <w:sz w:val="24"/>
      <w:szCs w:val="24"/>
    </w:rPr>
  </w:style>
  <w:style w:type="paragraph" w:customStyle="1" w:styleId="AppendixC">
    <w:name w:val="Appendix C"/>
    <w:aliases w:val="project title"/>
    <w:basedOn w:val="TableText"/>
    <w:next w:val="TableText"/>
    <w:uiPriority w:val="99"/>
    <w:qFormat/>
    <w:rsid w:val="0036180D"/>
    <w:pPr>
      <w:keepLines/>
      <w:spacing w:before="40" w:after="120" w:line="264" w:lineRule="auto"/>
    </w:pPr>
    <w:rPr>
      <w:rFonts w:eastAsia="Arial Narrow" w:cs="Arial"/>
      <w:b/>
      <w:bCs/>
      <w:color w:val="000000"/>
      <w:sz w:val="22"/>
    </w:rPr>
  </w:style>
  <w:style w:type="paragraph" w:customStyle="1" w:styleId="ExhibitRowHeader">
    <w:name w:val="Exhibit Row Header"/>
    <w:basedOn w:val="ExhibitText"/>
    <w:uiPriority w:val="99"/>
    <w:rsid w:val="0036180D"/>
  </w:style>
  <w:style w:type="paragraph" w:customStyle="1" w:styleId="Exhibit">
    <w:name w:val="Exhibit"/>
    <w:basedOn w:val="Normal"/>
    <w:uiPriority w:val="99"/>
    <w:rsid w:val="0036180D"/>
    <w:pPr>
      <w:spacing w:line="264" w:lineRule="auto"/>
    </w:pPr>
    <w:rPr>
      <w:rFonts w:ascii="Arial" w:hAnsi="Arial"/>
      <w:sz w:val="18"/>
    </w:rPr>
  </w:style>
  <w:style w:type="paragraph" w:customStyle="1" w:styleId="ReportTitle-TOCPage">
    <w:name w:val="Report Title - TOC Page"/>
    <w:basedOn w:val="Normal"/>
    <w:next w:val="BodyText"/>
    <w:uiPriority w:val="99"/>
    <w:rsid w:val="0036180D"/>
    <w:pPr>
      <w:pBdr>
        <w:top w:val="single" w:sz="2" w:space="2" w:color="DA291C"/>
        <w:bottom w:val="single" w:sz="2" w:space="2" w:color="DA291C"/>
      </w:pBdr>
      <w:shd w:val="clear" w:color="auto" w:fill="DA291C"/>
      <w:tabs>
        <w:tab w:val="left" w:pos="1170"/>
      </w:tabs>
      <w:spacing w:line="264" w:lineRule="auto"/>
    </w:pPr>
    <w:rPr>
      <w:rFonts w:ascii="Arial" w:hAnsi="Arial" w:cs="Arial"/>
      <w:b/>
      <w:color w:val="FFFFFF"/>
      <w:sz w:val="28"/>
      <w:szCs w:val="28"/>
    </w:rPr>
  </w:style>
  <w:style w:type="paragraph" w:customStyle="1" w:styleId="CoverTextRed16pt">
    <w:name w:val="Cover Text  Red 16pt"/>
    <w:basedOn w:val="Normal"/>
    <w:uiPriority w:val="99"/>
    <w:qFormat/>
    <w:rsid w:val="0036180D"/>
    <w:pPr>
      <w:tabs>
        <w:tab w:val="left" w:pos="720"/>
        <w:tab w:val="left" w:pos="1080"/>
        <w:tab w:val="left" w:pos="1440"/>
        <w:tab w:val="left" w:pos="1800"/>
        <w:tab w:val="left" w:pos="6660"/>
      </w:tabs>
      <w:spacing w:after="0" w:line="264" w:lineRule="auto"/>
      <w:ind w:left="6490" w:right="-540"/>
      <w:jc w:val="right"/>
    </w:pPr>
    <w:rPr>
      <w:rFonts w:ascii="Arial" w:hAnsi="Arial"/>
      <w:b/>
      <w:color w:val="DA291C"/>
      <w:sz w:val="32"/>
      <w:szCs w:val="32"/>
    </w:rPr>
  </w:style>
  <w:style w:type="paragraph" w:customStyle="1" w:styleId="DisclaimerText">
    <w:name w:val="Disclaimer Text"/>
    <w:basedOn w:val="Normal"/>
    <w:uiPriority w:val="99"/>
    <w:qFormat/>
    <w:rsid w:val="0036180D"/>
    <w:pPr>
      <w:spacing w:line="264" w:lineRule="auto"/>
    </w:pPr>
    <w:rPr>
      <w:sz w:val="18"/>
      <w:szCs w:val="18"/>
    </w:rPr>
  </w:style>
  <w:style w:type="paragraph" w:customStyle="1" w:styleId="Heading1ES">
    <w:name w:val="Heading 1 ES"/>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eastAsia="Times New Roman" w:cs="Times New Roman"/>
      <w:noProof w:val="0"/>
      <w:color w:val="FFFFFF"/>
      <w:kern w:val="28"/>
      <w:sz w:val="28"/>
      <w:szCs w:val="20"/>
    </w:rPr>
  </w:style>
  <w:style w:type="paragraph" w:customStyle="1" w:styleId="Heading2ES">
    <w:name w:val="Heading 2 ES"/>
    <w:basedOn w:val="Heading2"/>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outlineLvl w:val="9"/>
    </w:pPr>
    <w:rPr>
      <w:color w:val="000000" w:themeColor="text1"/>
      <w:sz w:val="24"/>
    </w:rPr>
  </w:style>
  <w:style w:type="paragraph" w:customStyle="1" w:styleId="Heading3ES">
    <w:name w:val="Heading 3 ES"/>
    <w:basedOn w:val="Heading3"/>
    <w:uiPriority w:val="99"/>
    <w:qFormat/>
    <w:rsid w:val="0036180D"/>
    <w:pPr>
      <w:numPr>
        <w:ilvl w:val="0"/>
        <w:numId w:val="0"/>
      </w:numPr>
      <w:spacing w:before="60" w:after="120" w:line="264" w:lineRule="auto"/>
      <w:outlineLvl w:val="9"/>
    </w:pPr>
    <w:rPr>
      <w:rFonts w:ascii="Arial" w:eastAsia="Times New Roman" w:hAnsi="Arial"/>
      <w:color w:val="DA291C"/>
      <w:sz w:val="20"/>
      <w:szCs w:val="20"/>
    </w:rPr>
  </w:style>
  <w:style w:type="character" w:customStyle="1" w:styleId="Heading2aChar">
    <w:name w:val="Heading 2a Char"/>
    <w:basedOn w:val="DefaultParagraphFont"/>
    <w:link w:val="Heading2a"/>
    <w:locked/>
    <w:rsid w:val="0036180D"/>
    <w:rPr>
      <w:rFonts w:asciiTheme="minorHAnsi" w:hAnsiTheme="minorHAnsi" w:cstheme="minorHAnsi"/>
      <w:b/>
      <w:bCs/>
      <w:iCs/>
      <w:color w:val="48A9C5" w:themeColor="accent1"/>
      <w:sz w:val="28"/>
      <w:szCs w:val="28"/>
    </w:rPr>
  </w:style>
  <w:style w:type="paragraph" w:customStyle="1" w:styleId="Heading2a">
    <w:name w:val="Heading 2a"/>
    <w:basedOn w:val="Heading2"/>
    <w:link w:val="Heading2aChar"/>
    <w:qFormat/>
    <w:rsid w:val="0036180D"/>
    <w:pPr>
      <w:numPr>
        <w:ilvl w:val="0"/>
        <w:numId w:val="0"/>
      </w:numPr>
      <w:spacing w:before="120" w:after="120" w:line="264" w:lineRule="auto"/>
      <w:ind w:left="720" w:hanging="720"/>
    </w:pPr>
    <w:rPr>
      <w:rFonts w:asciiTheme="minorHAnsi" w:hAnsiTheme="minorHAnsi" w:cstheme="minorHAnsi"/>
      <w:color w:val="48A9C5" w:themeColor="accent1"/>
      <w:sz w:val="28"/>
    </w:rPr>
  </w:style>
  <w:style w:type="paragraph" w:customStyle="1" w:styleId="Bodytextnospaceafter0">
    <w:name w:val="Body text no space after"/>
    <w:basedOn w:val="BodyText"/>
    <w:uiPriority w:val="99"/>
    <w:qFormat/>
    <w:rsid w:val="0036180D"/>
    <w:pPr>
      <w:spacing w:after="0" w:line="240" w:lineRule="auto"/>
    </w:pPr>
    <w:rPr>
      <w:rFonts w:ascii="Times New Roman" w:hAnsi="Times New Roman"/>
      <w:sz w:val="24"/>
      <w:lang w:val="en-US"/>
    </w:rPr>
  </w:style>
  <w:style w:type="paragraph" w:customStyle="1" w:styleId="ResumePublications">
    <w:name w:val="Resume Publications"/>
    <w:uiPriority w:val="99"/>
    <w:qFormat/>
    <w:rsid w:val="0036180D"/>
    <w:pPr>
      <w:snapToGrid w:val="0"/>
      <w:spacing w:after="120"/>
      <w:ind w:left="360" w:hanging="360"/>
    </w:pPr>
    <w:rPr>
      <w:sz w:val="22"/>
      <w:szCs w:val="22"/>
    </w:rPr>
  </w:style>
  <w:style w:type="paragraph" w:customStyle="1" w:styleId="ExhibitTextCentered">
    <w:name w:val="Exhibit Text Centered"/>
    <w:basedOn w:val="ExhibitText"/>
    <w:uiPriority w:val="99"/>
    <w:qFormat/>
    <w:rsid w:val="0036180D"/>
  </w:style>
  <w:style w:type="paragraph" w:customStyle="1" w:styleId="BoxQuote">
    <w:name w:val="Box Quote"/>
    <w:basedOn w:val="Normal"/>
    <w:uiPriority w:val="99"/>
    <w:qFormat/>
    <w:rsid w:val="0036180D"/>
    <w:pPr>
      <w:autoSpaceDE w:val="0"/>
      <w:autoSpaceDN w:val="0"/>
      <w:adjustRightInd w:val="0"/>
      <w:snapToGrid w:val="0"/>
      <w:spacing w:after="0"/>
    </w:pPr>
    <w:rPr>
      <w:rFonts w:asciiTheme="minorHAnsi" w:hAnsiTheme="minorHAnsi" w:cstheme="minorHAnsi"/>
      <w:i/>
      <w:color w:val="000000"/>
      <w:sz w:val="20"/>
    </w:rPr>
  </w:style>
  <w:style w:type="paragraph" w:customStyle="1" w:styleId="BoxQuoteAuthor">
    <w:name w:val="Box Quote Author"/>
    <w:basedOn w:val="Normal"/>
    <w:uiPriority w:val="99"/>
    <w:qFormat/>
    <w:rsid w:val="0036180D"/>
    <w:pPr>
      <w:autoSpaceDE w:val="0"/>
      <w:autoSpaceDN w:val="0"/>
      <w:adjustRightInd w:val="0"/>
      <w:snapToGrid w:val="0"/>
      <w:spacing w:before="60" w:after="240"/>
      <w:jc w:val="right"/>
    </w:pPr>
    <w:rPr>
      <w:rFonts w:asciiTheme="minorHAnsi" w:eastAsiaTheme="minorHAnsi" w:hAnsiTheme="minorHAnsi" w:cstheme="minorHAnsi"/>
      <w:i/>
      <w:sz w:val="20"/>
    </w:rPr>
  </w:style>
  <w:style w:type="paragraph" w:customStyle="1" w:styleId="NumberedQuestion">
    <w:name w:val="Numbered Question"/>
    <w:basedOn w:val="Normal"/>
    <w:uiPriority w:val="99"/>
    <w:rsid w:val="0036180D"/>
    <w:pPr>
      <w:numPr>
        <w:numId w:val="53"/>
      </w:numPr>
      <w:spacing w:after="0" w:line="264" w:lineRule="auto"/>
    </w:pPr>
    <w:rPr>
      <w:rFonts w:ascii="Helvetica" w:hAnsi="Helvetica"/>
      <w:b/>
      <w:sz w:val="20"/>
    </w:rPr>
  </w:style>
  <w:style w:type="paragraph" w:customStyle="1" w:styleId="ExhibitSourceLast">
    <w:name w:val="Exhibit Source Last"/>
    <w:basedOn w:val="ExhibitSource"/>
    <w:uiPriority w:val="99"/>
    <w:qFormat/>
    <w:rsid w:val="0036180D"/>
  </w:style>
  <w:style w:type="character" w:styleId="IntenseEmphasis">
    <w:name w:val="Intense Emphasis"/>
    <w:basedOn w:val="DefaultParagraphFont"/>
    <w:uiPriority w:val="21"/>
    <w:qFormat/>
    <w:rsid w:val="0036180D"/>
    <w:rPr>
      <w:i/>
      <w:iCs/>
      <w:color w:val="48A9C5" w:themeColor="accent1"/>
    </w:rPr>
  </w:style>
  <w:style w:type="character" w:customStyle="1" w:styleId="BodyText3Char">
    <w:name w:val="Body Text 3 Char"/>
    <w:basedOn w:val="DefaultParagraphFont"/>
    <w:link w:val="BodyText3"/>
    <w:semiHidden/>
    <w:rsid w:val="00644B14"/>
    <w:rPr>
      <w:sz w:val="16"/>
      <w:szCs w:val="16"/>
    </w:rPr>
  </w:style>
  <w:style w:type="paragraph" w:styleId="BodyText3">
    <w:name w:val="Body Text 3"/>
    <w:basedOn w:val="Normal"/>
    <w:link w:val="BodyText3Char"/>
    <w:semiHidden/>
    <w:unhideWhenUsed/>
    <w:rsid w:val="00644B14"/>
    <w:pPr>
      <w:spacing w:after="120"/>
    </w:pPr>
    <w:rPr>
      <w:sz w:val="16"/>
      <w:szCs w:val="16"/>
    </w:rPr>
  </w:style>
  <w:style w:type="character" w:customStyle="1" w:styleId="pageheadline">
    <w:name w:val="pageheadline"/>
    <w:basedOn w:val="DefaultParagraphFont"/>
    <w:rsid w:val="0036180D"/>
  </w:style>
  <w:style w:type="character" w:customStyle="1" w:styleId="jrnl">
    <w:name w:val="jrnl"/>
    <w:basedOn w:val="DefaultParagraphFont"/>
    <w:rsid w:val="0036180D"/>
  </w:style>
  <w:style w:type="character" w:customStyle="1" w:styleId="ogd">
    <w:name w:val="_ogd"/>
    <w:basedOn w:val="DefaultParagraphFont"/>
    <w:rsid w:val="0036180D"/>
  </w:style>
  <w:style w:type="character" w:customStyle="1" w:styleId="st">
    <w:name w:val="st"/>
    <w:basedOn w:val="DefaultParagraphFont"/>
    <w:rsid w:val="0036180D"/>
  </w:style>
  <w:style w:type="table" w:styleId="LightGrid-Accent1">
    <w:name w:val="Light Grid Accent 1"/>
    <w:basedOn w:val="TableNormal"/>
    <w:uiPriority w:val="62"/>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48A9C5" w:themeColor="accent1"/>
        <w:left w:val="single" w:sz="8" w:space="0" w:color="48A9C5" w:themeColor="accent1"/>
        <w:bottom w:val="single" w:sz="8" w:space="0" w:color="48A9C5" w:themeColor="accent1"/>
        <w:right w:val="single" w:sz="8" w:space="0" w:color="48A9C5" w:themeColor="accent1"/>
        <w:insideH w:val="single" w:sz="8" w:space="0" w:color="48A9C5" w:themeColor="accent1"/>
        <w:insideV w:val="single" w:sz="8" w:space="0" w:color="48A9C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18" w:space="0" w:color="48A9C5" w:themeColor="accent1"/>
          <w:right w:val="single" w:sz="8" w:space="0" w:color="48A9C5" w:themeColor="accent1"/>
          <w:insideH w:val="nil"/>
          <w:insideV w:val="single" w:sz="8" w:space="0" w:color="48A9C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8A9C5" w:themeColor="accent1"/>
          <w:left w:val="single" w:sz="8" w:space="0" w:color="48A9C5" w:themeColor="accent1"/>
          <w:bottom w:val="single" w:sz="8" w:space="0" w:color="48A9C5" w:themeColor="accent1"/>
          <w:right w:val="single" w:sz="8" w:space="0" w:color="48A9C5" w:themeColor="accent1"/>
          <w:insideH w:val="nil"/>
          <w:insideV w:val="single" w:sz="8" w:space="0" w:color="48A9C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tcPr>
    </w:tblStylePr>
    <w:tblStylePr w:type="band1Vert">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shd w:val="clear" w:color="auto" w:fill="D1E9F0" w:themeFill="accent1" w:themeFillTint="3F"/>
      </w:tcPr>
    </w:tblStylePr>
    <w:tblStylePr w:type="band1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shd w:val="clear" w:color="auto" w:fill="D1E9F0" w:themeFill="accent1" w:themeFillTint="3F"/>
      </w:tcPr>
    </w:tblStylePr>
    <w:tblStylePr w:type="band2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tcPr>
    </w:tblStylePr>
  </w:style>
  <w:style w:type="table" w:styleId="LightList-Accent2">
    <w:name w:val="Light List Accent 2"/>
    <w:basedOn w:val="TableNormal"/>
    <w:uiPriority w:val="61"/>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E87722" w:themeColor="accent2"/>
        <w:left w:val="single" w:sz="8" w:space="0" w:color="E87722" w:themeColor="accent2"/>
        <w:bottom w:val="single" w:sz="8" w:space="0" w:color="E87722" w:themeColor="accent2"/>
        <w:right w:val="single" w:sz="8" w:space="0" w:color="E87722" w:themeColor="accent2"/>
      </w:tblBorders>
    </w:tblPr>
    <w:tblStylePr w:type="firstRow">
      <w:pPr>
        <w:spacing w:beforeLines="0" w:before="100" w:beforeAutospacing="1" w:afterLines="0" w:after="100" w:afterAutospacing="1" w:line="240" w:lineRule="auto"/>
      </w:pPr>
      <w:rPr>
        <w:b/>
        <w:bCs/>
        <w:color w:val="FFFFFF" w:themeColor="background1"/>
      </w:rPr>
      <w:tblPr/>
      <w:tcPr>
        <w:shd w:val="clear" w:color="auto" w:fill="E87722" w:themeFill="accent2"/>
      </w:tcPr>
    </w:tblStylePr>
    <w:tblStylePr w:type="lastRow">
      <w:pPr>
        <w:spacing w:beforeLines="0" w:before="100" w:beforeAutospacing="1" w:afterLines="0" w:after="100" w:afterAutospacing="1" w:line="240" w:lineRule="auto"/>
      </w:pPr>
      <w:rPr>
        <w:b/>
        <w:bCs/>
      </w:rPr>
      <w:tblPr/>
      <w:tcPr>
        <w:tcBorders>
          <w:top w:val="double" w:sz="6" w:space="0" w:color="E87722" w:themeColor="accent2"/>
          <w:left w:val="single" w:sz="8" w:space="0" w:color="E87722" w:themeColor="accent2"/>
          <w:bottom w:val="single" w:sz="8" w:space="0" w:color="E87722" w:themeColor="accent2"/>
          <w:right w:val="single" w:sz="8" w:space="0" w:color="E87722" w:themeColor="accent2"/>
        </w:tcBorders>
      </w:tcPr>
    </w:tblStylePr>
    <w:tblStylePr w:type="firstCol">
      <w:rPr>
        <w:b/>
        <w:bCs/>
      </w:rPr>
    </w:tblStylePr>
    <w:tblStylePr w:type="lastCol">
      <w:rPr>
        <w:b/>
        <w:bCs/>
      </w:rPr>
    </w:tblStylePr>
    <w:tblStylePr w:type="band1Vert">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tblStylePr w:type="band1Horz">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style>
  <w:style w:type="table" w:customStyle="1" w:styleId="GridTable4Accent1">
    <w:name w:val="Grid Table 4 Accent 1"/>
    <w:basedOn w:val="TableNormal"/>
    <w:uiPriority w:val="49"/>
    <w:rsid w:val="0036180D"/>
    <w:tblPr>
      <w:tblStyleRowBandSize w:val="1"/>
      <w:tblStyleColBandSize w:val="1"/>
      <w:tblInd w:w="0" w:type="nil"/>
      <w:tblBorders>
        <w:top w:val="single" w:sz="4" w:space="0" w:color="91CBDC" w:themeColor="accent1" w:themeTint="99"/>
        <w:left w:val="single" w:sz="4" w:space="0" w:color="91CBDC" w:themeColor="accent1" w:themeTint="99"/>
        <w:bottom w:val="single" w:sz="4" w:space="0" w:color="91CBDC" w:themeColor="accent1" w:themeTint="99"/>
        <w:right w:val="single" w:sz="4" w:space="0" w:color="91CBDC" w:themeColor="accent1" w:themeTint="99"/>
        <w:insideH w:val="single" w:sz="4" w:space="0" w:color="91CBDC" w:themeColor="accent1" w:themeTint="99"/>
        <w:insideV w:val="single" w:sz="4" w:space="0" w:color="91CBDC" w:themeColor="accent1" w:themeTint="99"/>
      </w:tblBorders>
    </w:tblPr>
    <w:tblStylePr w:type="firstRow">
      <w:rPr>
        <w:b/>
        <w:bCs/>
        <w:color w:val="FFFFFF" w:themeColor="background1"/>
      </w:rPr>
      <w:tblPr/>
      <w:tcPr>
        <w:tcBorders>
          <w:top w:val="single" w:sz="4" w:space="0" w:color="48A9C5" w:themeColor="accent1"/>
          <w:left w:val="single" w:sz="4" w:space="0" w:color="48A9C5" w:themeColor="accent1"/>
          <w:bottom w:val="single" w:sz="4" w:space="0" w:color="48A9C5" w:themeColor="accent1"/>
          <w:right w:val="single" w:sz="4" w:space="0" w:color="48A9C5" w:themeColor="accent1"/>
          <w:insideH w:val="nil"/>
          <w:insideV w:val="nil"/>
        </w:tcBorders>
        <w:shd w:val="clear" w:color="auto" w:fill="48A9C5" w:themeFill="accent1"/>
      </w:tcPr>
    </w:tblStylePr>
    <w:tblStylePr w:type="lastRow">
      <w:rPr>
        <w:b/>
        <w:bCs/>
      </w:rPr>
      <w:tblPr/>
      <w:tcPr>
        <w:tcBorders>
          <w:top w:val="double" w:sz="4" w:space="0" w:color="48A9C5" w:themeColor="accent1"/>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1LightAccent1">
    <w:name w:val="List Table 1 Light Accent 1"/>
    <w:basedOn w:val="TableNormal"/>
    <w:uiPriority w:val="46"/>
    <w:rsid w:val="0036180D"/>
    <w:tblPr>
      <w:tblStyleRowBandSize w:val="1"/>
      <w:tblStyleColBandSize w:val="1"/>
      <w:tblInd w:w="0" w:type="nil"/>
    </w:tblPr>
    <w:tblStylePr w:type="firstRow">
      <w:rPr>
        <w:b/>
        <w:bCs/>
      </w:rPr>
      <w:tblPr/>
      <w:tcPr>
        <w:tcBorders>
          <w:bottom w:val="single" w:sz="4" w:space="0" w:color="91CBDC" w:themeColor="accent1" w:themeTint="99"/>
        </w:tcBorders>
      </w:tcPr>
    </w:tblStylePr>
    <w:tblStylePr w:type="lastRow">
      <w:rPr>
        <w:b/>
        <w:bCs/>
      </w:rPr>
      <w:tblPr/>
      <w:tcPr>
        <w:tcBorders>
          <w:top w:val="single" w:sz="4" w:space="0" w:color="91CBDC" w:themeColor="accent1" w:themeTint="99"/>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2Accent1">
    <w:name w:val="List Table 2 Accent 1"/>
    <w:basedOn w:val="TableNormal"/>
    <w:uiPriority w:val="47"/>
    <w:rsid w:val="0036180D"/>
    <w:tblPr>
      <w:tblStyleRowBandSize w:val="1"/>
      <w:tblStyleColBandSize w:val="1"/>
      <w:tblInd w:w="0" w:type="nil"/>
      <w:tblBorders>
        <w:top w:val="single" w:sz="4" w:space="0" w:color="91CBDC" w:themeColor="accent1" w:themeTint="99"/>
        <w:bottom w:val="single" w:sz="4" w:space="0" w:color="91CBDC" w:themeColor="accent1" w:themeTint="99"/>
        <w:insideH w:val="single" w:sz="4" w:space="0" w:color="91CBD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TableGrid1">
    <w:name w:val="Table Grid1"/>
    <w:basedOn w:val="TableNormal"/>
    <w:rsid w:val="0036180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36180D"/>
    <w:tblPr>
      <w:tblStyleRowBandSize w:val="1"/>
      <w:tblStyleColBandSize w:val="1"/>
      <w:tblInd w:w="0" w:type="nil"/>
      <w:tblBorders>
        <w:top w:val="single" w:sz="4" w:space="0" w:color="B5DCE7" w:themeColor="accent1" w:themeTint="66"/>
        <w:left w:val="single" w:sz="4" w:space="0" w:color="B5DCE7" w:themeColor="accent1" w:themeTint="66"/>
        <w:bottom w:val="single" w:sz="4" w:space="0" w:color="B5DCE7" w:themeColor="accent1" w:themeTint="66"/>
        <w:right w:val="single" w:sz="4" w:space="0" w:color="B5DCE7" w:themeColor="accent1" w:themeTint="66"/>
        <w:insideH w:val="single" w:sz="4" w:space="0" w:color="B5DCE7" w:themeColor="accent1" w:themeTint="66"/>
        <w:insideV w:val="single" w:sz="4" w:space="0" w:color="B5DCE7" w:themeColor="accent1" w:themeTint="66"/>
      </w:tblBorders>
    </w:tblPr>
    <w:tblStylePr w:type="firstRow">
      <w:rPr>
        <w:b/>
        <w:bCs/>
      </w:rPr>
      <w:tblPr/>
      <w:tcPr>
        <w:tcBorders>
          <w:bottom w:val="single" w:sz="12" w:space="0" w:color="91CBDC" w:themeColor="accent1" w:themeTint="99"/>
        </w:tcBorders>
      </w:tcPr>
    </w:tblStylePr>
    <w:tblStylePr w:type="lastRow">
      <w:rPr>
        <w:b/>
        <w:bCs/>
      </w:rPr>
      <w:tblPr/>
      <w:tcPr>
        <w:tcBorders>
          <w:top w:val="double" w:sz="2" w:space="0" w:color="91CBDC" w:themeColor="accent1" w:themeTint="99"/>
        </w:tcBorders>
      </w:tcPr>
    </w:tblStylePr>
    <w:tblStylePr w:type="firstCol">
      <w:rPr>
        <w:b/>
        <w:bCs/>
      </w:rPr>
    </w:tblStylePr>
    <w:tblStylePr w:type="lastCol">
      <w:rPr>
        <w:b/>
        <w:bCs/>
      </w:rPr>
    </w:tblStylePr>
  </w:style>
  <w:style w:type="table" w:customStyle="1" w:styleId="AbtFinal1">
    <w:name w:val="Abt Final1"/>
    <w:basedOn w:val="TableNormal"/>
    <w:uiPriority w:val="99"/>
    <w:rsid w:val="0036180D"/>
    <w:rPr>
      <w:rFonts w:ascii="Arial Narrow" w:hAnsi="Arial Narrow"/>
    </w:rPr>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mbria" w:hAnsi="Cambria" w:hint="default"/>
        <w:b/>
        <w:caps w:val="0"/>
        <w:smallCaps w:val="0"/>
        <w:strike w:val="0"/>
        <w:dstrike w:val="0"/>
        <w:vanish w:val="0"/>
        <w:webHidden w:val="0"/>
        <w:color w:val="FFFFFF" w:themeColor="background1"/>
        <w:sz w:val="20"/>
        <w:szCs w:val="20"/>
        <w:u w:val="none"/>
        <w:effect w:val="none"/>
        <w:specVanish w:val="0"/>
      </w:rPr>
      <w:tblPr/>
      <w:tcPr>
        <w:shd w:val="clear" w:color="auto" w:fill="DA291C" w:themeFill="text2"/>
        <w:vAlign w:val="bottom"/>
      </w:tcPr>
    </w:tblStylePr>
    <w:tblStylePr w:type="lastRow">
      <w:pPr>
        <w:jc w:val="left"/>
      </w:pPr>
      <w:rPr>
        <w:rFonts w:ascii="Cambria" w:hAnsi="Cambria" w:hint="default"/>
        <w:color w:val="FFFFFF" w:themeColor="background1"/>
        <w:sz w:val="20"/>
        <w:szCs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Cambria" w:hAnsi="Cambria" w:hint="default"/>
        <w:sz w:val="20"/>
        <w:szCs w:val="20"/>
      </w:rPr>
    </w:tblStylePr>
    <w:tblStylePr w:type="lastCol">
      <w:rPr>
        <w:rFonts w:ascii="Cambria" w:hAnsi="Cambria" w:hint="default"/>
        <w:sz w:val="20"/>
        <w:szCs w:val="20"/>
      </w:rPr>
    </w:tblStylePr>
    <w:tblStylePr w:type="band1Horz">
      <w:rPr>
        <w:rFonts w:ascii="Cambria" w:hAnsi="Cambria" w:hint="default"/>
        <w:sz w:val="20"/>
        <w:szCs w:val="20"/>
      </w:rPr>
    </w:tblStylePr>
    <w:tblStylePr w:type="band2Horz">
      <w:rPr>
        <w:rFonts w:ascii="Cambria" w:hAnsi="Cambria" w:hint="default"/>
        <w:sz w:val="20"/>
        <w:szCs w:val="20"/>
      </w:rPr>
    </w:tblStylePr>
  </w:style>
  <w:style w:type="table" w:customStyle="1" w:styleId="Abt">
    <w:name w:val="Abt"/>
    <w:basedOn w:val="TableNormal"/>
    <w:uiPriority w:val="99"/>
    <w:rsid w:val="0036180D"/>
    <w:rPr>
      <w:rFonts w:ascii="Arial Narrow" w:hAnsi="Arial Narrow"/>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Narrow" w:hAnsi="Arial Narrow" w:hint="default"/>
        <w:b/>
        <w:caps w:val="0"/>
        <w:smallCaps w:val="0"/>
        <w:strike w:val="0"/>
        <w:dstrike w:val="0"/>
        <w:vanish w:val="0"/>
        <w:webHidden w:val="0"/>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89D4A" w:themeFill="accent4"/>
        <w:vAlign w:val="bottom"/>
      </w:tcPr>
    </w:tblStylePr>
    <w:tblStylePr w:type="lastRow">
      <w:pPr>
        <w:jc w:val="left"/>
      </w:pPr>
      <w:rPr>
        <w:rFonts w:ascii="Arial" w:hAnsi="Arial" w:cs="Arial" w:hint="default"/>
        <w:sz w:val="18"/>
        <w:szCs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band1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AE3D2" w:themeFill="accent2" w:themeFillTint="33"/>
      </w:tcPr>
    </w:tblStylePr>
    <w:tblStylePr w:type="band2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table" w:customStyle="1" w:styleId="LightList-Accent21">
    <w:name w:val="Light List - Accent 21"/>
    <w:basedOn w:val="TableNormal"/>
    <w:uiPriority w:val="61"/>
    <w:rsid w:val="0036180D"/>
    <w:rPr>
      <w:rFonts w:ascii="Calibri" w:eastAsia="Calibri" w:hAnsi="Calibri"/>
      <w:sz w:val="22"/>
      <w:szCs w:val="22"/>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List1-Accent11">
    <w:name w:val="Medium List 1 - Accent 11"/>
    <w:basedOn w:val="TableNormal"/>
    <w:uiPriority w:val="65"/>
    <w:rsid w:val="0036180D"/>
    <w:rPr>
      <w:rFonts w:ascii="Calibri" w:eastAsia="Calibri" w:hAnsi="Calibri"/>
      <w:color w:val="000000"/>
      <w:sz w:val="22"/>
      <w:szCs w:val="22"/>
    </w:rPr>
    <w:tblPr>
      <w:tblStyleRowBandSize w:val="1"/>
      <w:tblStyleColBandSize w:val="1"/>
      <w:tblInd w:w="0" w:type="nil"/>
      <w:tblBorders>
        <w:top w:val="single" w:sz="8" w:space="0" w:color="48A9C5"/>
        <w:bottom w:val="single" w:sz="8" w:space="0" w:color="48A9C5"/>
      </w:tblBorders>
    </w:tblPr>
    <w:tblStylePr w:type="firstRow">
      <w:rPr>
        <w:rFonts w:ascii="Verdana" w:eastAsia="Times New Roman" w:hAnsi="Verdana" w:cs="Times New Roman" w:hint="default"/>
      </w:rPr>
      <w:tblPr/>
      <w:tcPr>
        <w:tcBorders>
          <w:top w:val="nil"/>
          <w:bottom w:val="single" w:sz="8" w:space="0" w:color="48A9C5"/>
        </w:tcBorders>
      </w:tcPr>
    </w:tblStylePr>
    <w:tblStylePr w:type="lastRow">
      <w:rPr>
        <w:b/>
        <w:bCs/>
        <w:color w:val="DA291C"/>
      </w:rPr>
      <w:tblPr/>
      <w:tcPr>
        <w:tcBorders>
          <w:top w:val="single" w:sz="8" w:space="0" w:color="48A9C5"/>
          <w:bottom w:val="single" w:sz="8" w:space="0" w:color="48A9C5"/>
        </w:tcBorders>
      </w:tcPr>
    </w:tblStylePr>
    <w:tblStylePr w:type="firstCol">
      <w:rPr>
        <w:b/>
        <w:bCs/>
      </w:rPr>
    </w:tblStylePr>
    <w:tblStylePr w:type="lastCol">
      <w:rPr>
        <w:b/>
        <w:bCs/>
      </w:rPr>
      <w:tblPr/>
      <w:tcPr>
        <w:tcBorders>
          <w:top w:val="single" w:sz="8" w:space="0" w:color="48A9C5"/>
          <w:bottom w:val="single" w:sz="8" w:space="0" w:color="48A9C5"/>
        </w:tcBorders>
      </w:tcPr>
    </w:tblStylePr>
    <w:tblStylePr w:type="band1Vert">
      <w:tblPr/>
      <w:tcPr>
        <w:shd w:val="clear" w:color="auto" w:fill="D1E9F0"/>
      </w:tcPr>
    </w:tblStylePr>
    <w:tblStylePr w:type="band1Horz">
      <w:tblPr/>
      <w:tcPr>
        <w:shd w:val="clear" w:color="auto" w:fill="D1E9F0"/>
      </w:tcPr>
    </w:tblStylePr>
  </w:style>
  <w:style w:type="paragraph" w:customStyle="1" w:styleId="ProjectsHeaderRow">
    <w:name w:val="ProjectsHeaderRow"/>
    <w:basedOn w:val="PPRowHeader"/>
    <w:uiPriority w:val="99"/>
    <w:qFormat/>
    <w:rsid w:val="0036180D"/>
    <w:pPr>
      <w:shd w:val="clear" w:color="auto" w:fill="DA291C"/>
    </w:pPr>
    <w:rPr>
      <w:color w:val="FFFFFF" w:themeColor="background1"/>
    </w:rPr>
  </w:style>
  <w:style w:type="paragraph" w:customStyle="1" w:styleId="ExhibitBullets2">
    <w:name w:val="Exhibit Bullets 2"/>
    <w:basedOn w:val="ExhibitBullets"/>
    <w:uiPriority w:val="99"/>
    <w:qFormat/>
    <w:rsid w:val="0036180D"/>
    <w:pPr>
      <w:numPr>
        <w:ilvl w:val="1"/>
      </w:numPr>
      <w:tabs>
        <w:tab w:val="clear" w:pos="432"/>
        <w:tab w:val="num" w:pos="360"/>
      </w:tabs>
    </w:pPr>
  </w:style>
  <w:style w:type="paragraph" w:styleId="BodyTextFirstIndent">
    <w:name w:val="Body Text First Indent"/>
    <w:basedOn w:val="BodyText"/>
    <w:link w:val="BodyTextFirstIndentChar"/>
    <w:rsid w:val="00644B14"/>
    <w:pPr>
      <w:spacing w:after="180" w:line="240" w:lineRule="auto"/>
      <w:ind w:firstLine="360"/>
    </w:pPr>
    <w:rPr>
      <w:rFonts w:ascii="Times New Roman" w:hAnsi="Times New Roman"/>
      <w:lang w:val="en-US"/>
    </w:rPr>
  </w:style>
  <w:style w:type="character" w:customStyle="1" w:styleId="BodyTextFirstIndentChar">
    <w:name w:val="Body Text First Indent Char"/>
    <w:basedOn w:val="BodyTextChar"/>
    <w:link w:val="BodyTextFirstIndent"/>
    <w:rsid w:val="00644B14"/>
    <w:rPr>
      <w:rFonts w:ascii="Calibri" w:hAnsi="Calibri"/>
      <w:sz w:val="22"/>
      <w:lang w:val="en"/>
    </w:rPr>
  </w:style>
  <w:style w:type="character" w:customStyle="1" w:styleId="BodyTextIndentChar">
    <w:name w:val="Body Text Indent Char"/>
    <w:basedOn w:val="DefaultParagraphFont"/>
    <w:link w:val="BodyTextIndent"/>
    <w:semiHidden/>
    <w:rsid w:val="00644B14"/>
    <w:rPr>
      <w:sz w:val="22"/>
    </w:rPr>
  </w:style>
  <w:style w:type="paragraph" w:styleId="BodyTextIndent">
    <w:name w:val="Body Text Indent"/>
    <w:basedOn w:val="Normal"/>
    <w:link w:val="BodyTextIndentChar"/>
    <w:semiHidden/>
    <w:unhideWhenUsed/>
    <w:rsid w:val="00644B14"/>
    <w:pPr>
      <w:spacing w:after="120"/>
      <w:ind w:left="360"/>
    </w:pPr>
  </w:style>
  <w:style w:type="character" w:customStyle="1" w:styleId="BodyTextFirstIndent2Char">
    <w:name w:val="Body Text First Indent 2 Char"/>
    <w:basedOn w:val="BodyTextIndentChar"/>
    <w:link w:val="BodyTextFirstIndent2"/>
    <w:semiHidden/>
    <w:rsid w:val="00644B14"/>
    <w:rPr>
      <w:sz w:val="22"/>
    </w:rPr>
  </w:style>
  <w:style w:type="paragraph" w:styleId="BodyTextFirstIndent2">
    <w:name w:val="Body Text First Indent 2"/>
    <w:basedOn w:val="BodyTextIndent"/>
    <w:link w:val="BodyTextFirstIndent2Char"/>
    <w:semiHidden/>
    <w:unhideWhenUsed/>
    <w:rsid w:val="00644B14"/>
    <w:pPr>
      <w:spacing w:after="180"/>
      <w:ind w:firstLine="360"/>
    </w:pPr>
  </w:style>
  <w:style w:type="character" w:customStyle="1" w:styleId="BodyTextIndent2Char">
    <w:name w:val="Body Text Indent 2 Char"/>
    <w:basedOn w:val="DefaultParagraphFont"/>
    <w:link w:val="BodyTextIndent2"/>
    <w:semiHidden/>
    <w:rsid w:val="00644B14"/>
    <w:rPr>
      <w:sz w:val="22"/>
    </w:rPr>
  </w:style>
  <w:style w:type="paragraph" w:styleId="BodyTextIndent2">
    <w:name w:val="Body Text Indent 2"/>
    <w:basedOn w:val="Normal"/>
    <w:link w:val="BodyTextIndent2Char"/>
    <w:semiHidden/>
    <w:unhideWhenUsed/>
    <w:rsid w:val="00644B14"/>
    <w:pPr>
      <w:spacing w:after="120" w:line="480" w:lineRule="auto"/>
      <w:ind w:left="360"/>
    </w:pPr>
  </w:style>
  <w:style w:type="character" w:customStyle="1" w:styleId="BodyTextIndent3Char">
    <w:name w:val="Body Text Indent 3 Char"/>
    <w:basedOn w:val="DefaultParagraphFont"/>
    <w:link w:val="BodyTextIndent3"/>
    <w:semiHidden/>
    <w:rsid w:val="00644B14"/>
    <w:rPr>
      <w:sz w:val="16"/>
      <w:szCs w:val="16"/>
    </w:rPr>
  </w:style>
  <w:style w:type="paragraph" w:styleId="BodyTextIndent3">
    <w:name w:val="Body Text Indent 3"/>
    <w:basedOn w:val="Normal"/>
    <w:link w:val="BodyTextIndent3Char"/>
    <w:semiHidden/>
    <w:unhideWhenUsed/>
    <w:rsid w:val="00644B14"/>
    <w:pPr>
      <w:spacing w:after="120"/>
      <w:ind w:left="360"/>
    </w:pPr>
    <w:rPr>
      <w:sz w:val="16"/>
      <w:szCs w:val="16"/>
    </w:rPr>
  </w:style>
  <w:style w:type="character" w:customStyle="1" w:styleId="ClosingChar">
    <w:name w:val="Closing Char"/>
    <w:basedOn w:val="DefaultParagraphFont"/>
    <w:link w:val="Closing"/>
    <w:semiHidden/>
    <w:rsid w:val="00644B14"/>
    <w:rPr>
      <w:sz w:val="22"/>
    </w:rPr>
  </w:style>
  <w:style w:type="paragraph" w:styleId="Closing">
    <w:name w:val="Closing"/>
    <w:basedOn w:val="Normal"/>
    <w:link w:val="ClosingChar"/>
    <w:semiHidden/>
    <w:unhideWhenUsed/>
    <w:rsid w:val="00644B14"/>
    <w:pPr>
      <w:spacing w:after="0"/>
      <w:ind w:left="4320"/>
    </w:pPr>
  </w:style>
  <w:style w:type="paragraph" w:styleId="Date">
    <w:name w:val="Date"/>
    <w:basedOn w:val="Normal"/>
    <w:next w:val="Normal"/>
    <w:link w:val="DateChar"/>
    <w:rsid w:val="00644B14"/>
  </w:style>
  <w:style w:type="character" w:customStyle="1" w:styleId="DateChar">
    <w:name w:val="Date Char"/>
    <w:basedOn w:val="DefaultParagraphFont"/>
    <w:link w:val="Date"/>
    <w:rsid w:val="00644B14"/>
    <w:rPr>
      <w:sz w:val="22"/>
    </w:rPr>
  </w:style>
  <w:style w:type="character" w:customStyle="1" w:styleId="DocumentMapChar">
    <w:name w:val="Document Map Char"/>
    <w:basedOn w:val="DefaultParagraphFont"/>
    <w:link w:val="DocumentMap"/>
    <w:semiHidden/>
    <w:rsid w:val="00644B14"/>
    <w:rPr>
      <w:rFonts w:ascii="Segoe UI" w:hAnsi="Segoe UI" w:cs="Segoe UI"/>
      <w:sz w:val="16"/>
      <w:szCs w:val="16"/>
    </w:rPr>
  </w:style>
  <w:style w:type="paragraph" w:styleId="DocumentMap">
    <w:name w:val="Document Map"/>
    <w:basedOn w:val="Normal"/>
    <w:link w:val="DocumentMapChar"/>
    <w:semiHidden/>
    <w:unhideWhenUsed/>
    <w:rsid w:val="00644B14"/>
    <w:pPr>
      <w:spacing w:after="0"/>
    </w:pPr>
    <w:rPr>
      <w:rFonts w:ascii="Segoe UI" w:hAnsi="Segoe UI" w:cs="Segoe UI"/>
      <w:sz w:val="16"/>
      <w:szCs w:val="16"/>
    </w:rPr>
  </w:style>
  <w:style w:type="character" w:customStyle="1" w:styleId="E-mailSignatureChar">
    <w:name w:val="E-mail Signature Char"/>
    <w:basedOn w:val="DefaultParagraphFont"/>
    <w:link w:val="E-mailSignature"/>
    <w:semiHidden/>
    <w:rsid w:val="00644B14"/>
    <w:rPr>
      <w:sz w:val="22"/>
    </w:rPr>
  </w:style>
  <w:style w:type="paragraph" w:styleId="E-mailSignature">
    <w:name w:val="E-mail Signature"/>
    <w:basedOn w:val="Normal"/>
    <w:link w:val="E-mailSignatureChar"/>
    <w:semiHidden/>
    <w:unhideWhenUsed/>
    <w:rsid w:val="00644B14"/>
    <w:pPr>
      <w:spacing w:after="0"/>
    </w:pPr>
  </w:style>
  <w:style w:type="paragraph" w:styleId="EnvelopeAddress">
    <w:name w:val="envelope address"/>
    <w:basedOn w:val="Normal"/>
    <w:semiHidden/>
    <w:unhideWhenUsed/>
    <w:rsid w:val="00644B1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HTMLAddressChar">
    <w:name w:val="HTML Address Char"/>
    <w:basedOn w:val="DefaultParagraphFont"/>
    <w:link w:val="HTMLAddress"/>
    <w:semiHidden/>
    <w:rsid w:val="00644B14"/>
    <w:rPr>
      <w:i/>
      <w:iCs/>
      <w:sz w:val="22"/>
    </w:rPr>
  </w:style>
  <w:style w:type="paragraph" w:styleId="HTMLAddress">
    <w:name w:val="HTML Address"/>
    <w:basedOn w:val="Normal"/>
    <w:link w:val="HTMLAddressChar"/>
    <w:semiHidden/>
    <w:unhideWhenUsed/>
    <w:rsid w:val="00644B14"/>
    <w:pPr>
      <w:spacing w:after="0"/>
    </w:pPr>
    <w:rPr>
      <w:i/>
      <w:iCs/>
    </w:rPr>
  </w:style>
  <w:style w:type="character" w:customStyle="1" w:styleId="HTMLPreformattedChar">
    <w:name w:val="HTML Preformatted Char"/>
    <w:basedOn w:val="DefaultParagraphFont"/>
    <w:link w:val="HTMLPreformatted"/>
    <w:semiHidden/>
    <w:rsid w:val="00644B14"/>
    <w:rPr>
      <w:rFonts w:ascii="Consolas" w:hAnsi="Consolas"/>
    </w:rPr>
  </w:style>
  <w:style w:type="paragraph" w:styleId="HTMLPreformatted">
    <w:name w:val="HTML Preformatted"/>
    <w:basedOn w:val="Normal"/>
    <w:link w:val="HTMLPreformattedChar"/>
    <w:semiHidden/>
    <w:unhideWhenUsed/>
    <w:rsid w:val="00644B14"/>
    <w:pPr>
      <w:spacing w:after="0"/>
    </w:pPr>
    <w:rPr>
      <w:rFonts w:ascii="Consolas" w:hAnsi="Consolas"/>
      <w:sz w:val="20"/>
    </w:rPr>
  </w:style>
  <w:style w:type="paragraph" w:styleId="IntenseQuote">
    <w:name w:val="Intense Quote"/>
    <w:basedOn w:val="Normal"/>
    <w:next w:val="Normal"/>
    <w:link w:val="IntenseQuoteChar"/>
    <w:uiPriority w:val="30"/>
    <w:qFormat/>
    <w:rsid w:val="00644B14"/>
    <w:pPr>
      <w:pBdr>
        <w:top w:val="single" w:sz="4" w:space="10" w:color="48A9C5" w:themeColor="accent1"/>
        <w:bottom w:val="single" w:sz="4" w:space="10" w:color="48A9C5" w:themeColor="accent1"/>
      </w:pBdr>
      <w:spacing w:before="360" w:after="360"/>
      <w:ind w:left="864" w:right="864"/>
      <w:jc w:val="center"/>
    </w:pPr>
    <w:rPr>
      <w:i/>
      <w:iCs/>
      <w:color w:val="48A9C5" w:themeColor="accent1"/>
    </w:rPr>
  </w:style>
  <w:style w:type="character" w:customStyle="1" w:styleId="IntenseQuoteChar">
    <w:name w:val="Intense Quote Char"/>
    <w:basedOn w:val="DefaultParagraphFont"/>
    <w:link w:val="IntenseQuote"/>
    <w:uiPriority w:val="30"/>
    <w:rsid w:val="00644B14"/>
    <w:rPr>
      <w:i/>
      <w:iCs/>
      <w:color w:val="48A9C5" w:themeColor="accent1"/>
      <w:sz w:val="22"/>
    </w:rPr>
  </w:style>
  <w:style w:type="paragraph" w:styleId="List">
    <w:name w:val="List"/>
    <w:basedOn w:val="Normal"/>
    <w:semiHidden/>
    <w:unhideWhenUsed/>
    <w:rsid w:val="00644B14"/>
    <w:pPr>
      <w:ind w:left="360" w:hanging="360"/>
      <w:contextualSpacing/>
    </w:pPr>
  </w:style>
  <w:style w:type="paragraph" w:styleId="List4">
    <w:name w:val="List 4"/>
    <w:basedOn w:val="Normal"/>
    <w:rsid w:val="00644B14"/>
    <w:pPr>
      <w:ind w:left="1440" w:hanging="360"/>
      <w:contextualSpacing/>
    </w:pPr>
  </w:style>
  <w:style w:type="paragraph" w:styleId="List5">
    <w:name w:val="List 5"/>
    <w:basedOn w:val="Normal"/>
    <w:rsid w:val="00644B14"/>
    <w:pPr>
      <w:ind w:left="1800" w:hanging="360"/>
      <w:contextualSpacing/>
    </w:pPr>
  </w:style>
  <w:style w:type="paragraph" w:styleId="ListBullet">
    <w:name w:val="List Bullet"/>
    <w:basedOn w:val="Normal"/>
    <w:semiHidden/>
    <w:unhideWhenUsed/>
    <w:rsid w:val="00644B14"/>
    <w:pPr>
      <w:numPr>
        <w:numId w:val="60"/>
      </w:numPr>
      <w:contextualSpacing/>
    </w:pPr>
  </w:style>
  <w:style w:type="paragraph" w:styleId="ListBullet2">
    <w:name w:val="List Bullet 2"/>
    <w:basedOn w:val="Normal"/>
    <w:semiHidden/>
    <w:unhideWhenUsed/>
    <w:rsid w:val="00644B14"/>
    <w:pPr>
      <w:numPr>
        <w:numId w:val="61"/>
      </w:numPr>
      <w:contextualSpacing/>
    </w:pPr>
  </w:style>
  <w:style w:type="paragraph" w:styleId="ListBullet3">
    <w:name w:val="List Bullet 3"/>
    <w:basedOn w:val="Normal"/>
    <w:semiHidden/>
    <w:unhideWhenUsed/>
    <w:rsid w:val="00644B14"/>
    <w:pPr>
      <w:numPr>
        <w:numId w:val="62"/>
      </w:numPr>
      <w:contextualSpacing/>
    </w:pPr>
  </w:style>
  <w:style w:type="paragraph" w:styleId="ListBullet4">
    <w:name w:val="List Bullet 4"/>
    <w:basedOn w:val="Normal"/>
    <w:semiHidden/>
    <w:unhideWhenUsed/>
    <w:rsid w:val="00644B14"/>
    <w:pPr>
      <w:numPr>
        <w:numId w:val="63"/>
      </w:numPr>
      <w:contextualSpacing/>
    </w:pPr>
  </w:style>
  <w:style w:type="paragraph" w:styleId="ListBullet5">
    <w:name w:val="List Bullet 5"/>
    <w:basedOn w:val="Normal"/>
    <w:semiHidden/>
    <w:unhideWhenUsed/>
    <w:rsid w:val="00644B14"/>
    <w:pPr>
      <w:numPr>
        <w:numId w:val="64"/>
      </w:numPr>
      <w:contextualSpacing/>
    </w:pPr>
  </w:style>
  <w:style w:type="paragraph" w:styleId="ListNumber">
    <w:name w:val="List Number"/>
    <w:basedOn w:val="Normal"/>
    <w:rsid w:val="00644B14"/>
    <w:pPr>
      <w:numPr>
        <w:numId w:val="65"/>
      </w:numPr>
      <w:contextualSpacing/>
    </w:pPr>
  </w:style>
  <w:style w:type="paragraph" w:styleId="ListNumber2">
    <w:name w:val="List Number 2"/>
    <w:basedOn w:val="Normal"/>
    <w:semiHidden/>
    <w:unhideWhenUsed/>
    <w:rsid w:val="00644B14"/>
    <w:pPr>
      <w:numPr>
        <w:numId w:val="66"/>
      </w:numPr>
      <w:contextualSpacing/>
    </w:pPr>
  </w:style>
  <w:style w:type="paragraph" w:styleId="ListNumber3">
    <w:name w:val="List Number 3"/>
    <w:basedOn w:val="Normal"/>
    <w:semiHidden/>
    <w:unhideWhenUsed/>
    <w:rsid w:val="00644B14"/>
    <w:pPr>
      <w:numPr>
        <w:numId w:val="67"/>
      </w:numPr>
      <w:contextualSpacing/>
    </w:pPr>
  </w:style>
  <w:style w:type="paragraph" w:styleId="ListNumber4">
    <w:name w:val="List Number 4"/>
    <w:basedOn w:val="Normal"/>
    <w:semiHidden/>
    <w:unhideWhenUsed/>
    <w:rsid w:val="00644B14"/>
    <w:pPr>
      <w:numPr>
        <w:numId w:val="68"/>
      </w:numPr>
      <w:contextualSpacing/>
    </w:pPr>
  </w:style>
  <w:style w:type="paragraph" w:styleId="ListNumber5">
    <w:name w:val="List Number 5"/>
    <w:basedOn w:val="Normal"/>
    <w:semiHidden/>
    <w:unhideWhenUsed/>
    <w:rsid w:val="00644B14"/>
    <w:pPr>
      <w:numPr>
        <w:numId w:val="69"/>
      </w:numPr>
      <w:contextualSpacing/>
    </w:pPr>
  </w:style>
  <w:style w:type="character" w:customStyle="1" w:styleId="MacroTextChar">
    <w:name w:val="Macro Text Char"/>
    <w:basedOn w:val="DefaultParagraphFont"/>
    <w:link w:val="MacroText"/>
    <w:semiHidden/>
    <w:rsid w:val="00644B14"/>
    <w:rPr>
      <w:rFonts w:ascii="Consolas" w:hAnsi="Consolas"/>
    </w:rPr>
  </w:style>
  <w:style w:type="paragraph" w:styleId="MacroText">
    <w:name w:val="macro"/>
    <w:link w:val="MacroTextChar"/>
    <w:semiHidden/>
    <w:unhideWhenUsed/>
    <w:rsid w:val="00644B1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essageHeaderChar">
    <w:name w:val="Message Header Char"/>
    <w:basedOn w:val="DefaultParagraphFont"/>
    <w:link w:val="MessageHeader"/>
    <w:semiHidden/>
    <w:rsid w:val="00644B14"/>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semiHidden/>
    <w:unhideWhenUsed/>
    <w:rsid w:val="00644B1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paragraph" w:styleId="NormalIndent">
    <w:name w:val="Normal Indent"/>
    <w:basedOn w:val="Normal"/>
    <w:semiHidden/>
    <w:unhideWhenUsed/>
    <w:rsid w:val="00644B14"/>
    <w:pPr>
      <w:ind w:left="720"/>
    </w:pPr>
  </w:style>
  <w:style w:type="character" w:customStyle="1" w:styleId="NoteHeadingChar">
    <w:name w:val="Note Heading Char"/>
    <w:basedOn w:val="DefaultParagraphFont"/>
    <w:link w:val="NoteHeading"/>
    <w:semiHidden/>
    <w:rsid w:val="00644B14"/>
    <w:rPr>
      <w:sz w:val="22"/>
    </w:rPr>
  </w:style>
  <w:style w:type="paragraph" w:styleId="NoteHeading">
    <w:name w:val="Note Heading"/>
    <w:basedOn w:val="Normal"/>
    <w:next w:val="Normal"/>
    <w:link w:val="NoteHeadingChar"/>
    <w:semiHidden/>
    <w:unhideWhenUsed/>
    <w:rsid w:val="00644B14"/>
    <w:pPr>
      <w:spacing w:after="0"/>
    </w:pPr>
  </w:style>
  <w:style w:type="paragraph" w:styleId="Quote">
    <w:name w:val="Quote"/>
    <w:basedOn w:val="Normal"/>
    <w:next w:val="Normal"/>
    <w:link w:val="QuoteChar"/>
    <w:uiPriority w:val="29"/>
    <w:qFormat/>
    <w:rsid w:val="00644B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4B14"/>
    <w:rPr>
      <w:i/>
      <w:iCs/>
      <w:color w:val="404040" w:themeColor="text1" w:themeTint="BF"/>
      <w:sz w:val="22"/>
    </w:rPr>
  </w:style>
  <w:style w:type="paragraph" w:styleId="Salutation">
    <w:name w:val="Salutation"/>
    <w:basedOn w:val="Normal"/>
    <w:next w:val="Normal"/>
    <w:link w:val="SalutationChar"/>
    <w:rsid w:val="00644B14"/>
  </w:style>
  <w:style w:type="character" w:customStyle="1" w:styleId="SalutationChar">
    <w:name w:val="Salutation Char"/>
    <w:basedOn w:val="DefaultParagraphFont"/>
    <w:link w:val="Salutation"/>
    <w:rsid w:val="00644B14"/>
    <w:rPr>
      <w:sz w:val="22"/>
    </w:rPr>
  </w:style>
  <w:style w:type="character" w:customStyle="1" w:styleId="SignatureChar">
    <w:name w:val="Signature Char"/>
    <w:basedOn w:val="DefaultParagraphFont"/>
    <w:link w:val="Signature"/>
    <w:semiHidden/>
    <w:rsid w:val="00644B14"/>
    <w:rPr>
      <w:sz w:val="22"/>
    </w:rPr>
  </w:style>
  <w:style w:type="paragraph" w:styleId="Signature">
    <w:name w:val="Signature"/>
    <w:basedOn w:val="Normal"/>
    <w:link w:val="SignatureChar"/>
    <w:semiHidden/>
    <w:unhideWhenUsed/>
    <w:rsid w:val="00644B14"/>
    <w:pPr>
      <w:spacing w:after="0"/>
      <w:ind w:left="4320"/>
    </w:pPr>
  </w:style>
  <w:style w:type="paragraph" w:customStyle="1" w:styleId="ParagraphNoIndent">
    <w:name w:val="ParagraphNoIndent"/>
    <w:qFormat/>
    <w:rsid w:val="00810A20"/>
    <w:rPr>
      <w:bCs/>
      <w:sz w:val="24"/>
      <w:szCs w:val="24"/>
    </w:rPr>
  </w:style>
  <w:style w:type="paragraph" w:customStyle="1" w:styleId="PreparedForText">
    <w:name w:val="PreparedForText"/>
    <w:qFormat/>
    <w:rsid w:val="00810A20"/>
    <w:rPr>
      <w:bCs/>
      <w:sz w:val="24"/>
      <w:szCs w:val="24"/>
    </w:rPr>
  </w:style>
  <w:style w:type="paragraph" w:customStyle="1" w:styleId="ContractNumber">
    <w:name w:val="ContractNumber"/>
    <w:next w:val="ParagraphNoIndent"/>
    <w:qFormat/>
    <w:rsid w:val="00810A20"/>
    <w:rPr>
      <w:b/>
      <w:bCs/>
      <w:sz w:val="24"/>
      <w:szCs w:val="24"/>
    </w:rPr>
  </w:style>
  <w:style w:type="paragraph" w:customStyle="1" w:styleId="ParagraphNoIndentBold">
    <w:name w:val="ParagraphNoIndentBold"/>
    <w:qFormat/>
    <w:rsid w:val="00810A20"/>
    <w:rPr>
      <w:b/>
      <w:bCs/>
      <w:sz w:val="24"/>
      <w:szCs w:val="24"/>
    </w:rPr>
  </w:style>
  <w:style w:type="paragraph" w:customStyle="1" w:styleId="PreparedByText">
    <w:name w:val="PreparedByText"/>
    <w:qFormat/>
    <w:rsid w:val="00810A20"/>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87692">
      <w:bodyDiv w:val="1"/>
      <w:marLeft w:val="0"/>
      <w:marRight w:val="0"/>
      <w:marTop w:val="0"/>
      <w:marBottom w:val="0"/>
      <w:divBdr>
        <w:top w:val="none" w:sz="0" w:space="0" w:color="auto"/>
        <w:left w:val="none" w:sz="0" w:space="0" w:color="auto"/>
        <w:bottom w:val="none" w:sz="0" w:space="0" w:color="auto"/>
        <w:right w:val="none" w:sz="0" w:space="0" w:color="auto"/>
      </w:divBdr>
    </w:div>
    <w:div w:id="657347497">
      <w:bodyDiv w:val="1"/>
      <w:marLeft w:val="0"/>
      <w:marRight w:val="0"/>
      <w:marTop w:val="0"/>
      <w:marBottom w:val="1800"/>
      <w:divBdr>
        <w:top w:val="none" w:sz="0" w:space="0" w:color="auto"/>
        <w:left w:val="none" w:sz="0" w:space="0" w:color="auto"/>
        <w:bottom w:val="none" w:sz="0" w:space="0" w:color="auto"/>
        <w:right w:val="none" w:sz="0" w:space="0" w:color="auto"/>
      </w:divBdr>
      <w:divsChild>
        <w:div w:id="1440101814">
          <w:marLeft w:val="0"/>
          <w:marRight w:val="0"/>
          <w:marTop w:val="0"/>
          <w:marBottom w:val="0"/>
          <w:divBdr>
            <w:top w:val="none" w:sz="0" w:space="0" w:color="auto"/>
            <w:left w:val="none" w:sz="0" w:space="0" w:color="auto"/>
            <w:bottom w:val="none" w:sz="0" w:space="0" w:color="auto"/>
            <w:right w:val="none" w:sz="0" w:space="0" w:color="auto"/>
          </w:divBdr>
          <w:divsChild>
            <w:div w:id="849493669">
              <w:marLeft w:val="0"/>
              <w:marRight w:val="0"/>
              <w:marTop w:val="360"/>
              <w:marBottom w:val="330"/>
              <w:divBdr>
                <w:top w:val="none" w:sz="0" w:space="0" w:color="auto"/>
                <w:left w:val="none" w:sz="0" w:space="0" w:color="auto"/>
                <w:bottom w:val="none" w:sz="0" w:space="0" w:color="auto"/>
                <w:right w:val="none" w:sz="0" w:space="0" w:color="auto"/>
              </w:divBdr>
              <w:divsChild>
                <w:div w:id="126823485">
                  <w:marLeft w:val="0"/>
                  <w:marRight w:val="0"/>
                  <w:marTop w:val="0"/>
                  <w:marBottom w:val="0"/>
                  <w:divBdr>
                    <w:top w:val="none" w:sz="0" w:space="0" w:color="auto"/>
                    <w:left w:val="none" w:sz="0" w:space="0" w:color="auto"/>
                    <w:bottom w:val="none" w:sz="0" w:space="0" w:color="auto"/>
                    <w:right w:val="none" w:sz="0" w:space="0" w:color="auto"/>
                  </w:divBdr>
                  <w:divsChild>
                    <w:div w:id="1718431948">
                      <w:marLeft w:val="0"/>
                      <w:marRight w:val="0"/>
                      <w:marTop w:val="0"/>
                      <w:marBottom w:val="0"/>
                      <w:divBdr>
                        <w:top w:val="none" w:sz="0" w:space="0" w:color="auto"/>
                        <w:left w:val="none" w:sz="0" w:space="0" w:color="auto"/>
                        <w:bottom w:val="none" w:sz="0" w:space="0" w:color="auto"/>
                        <w:right w:val="none" w:sz="0" w:space="0" w:color="auto"/>
                      </w:divBdr>
                      <w:divsChild>
                        <w:div w:id="736245366">
                          <w:marLeft w:val="0"/>
                          <w:marRight w:val="73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54593373">
      <w:bodyDiv w:val="1"/>
      <w:marLeft w:val="0"/>
      <w:marRight w:val="0"/>
      <w:marTop w:val="0"/>
      <w:marBottom w:val="0"/>
      <w:divBdr>
        <w:top w:val="none" w:sz="0" w:space="0" w:color="auto"/>
        <w:left w:val="none" w:sz="0" w:space="0" w:color="auto"/>
        <w:bottom w:val="none" w:sz="0" w:space="0" w:color="auto"/>
        <w:right w:val="none" w:sz="0" w:space="0" w:color="auto"/>
      </w:divBdr>
    </w:div>
    <w:div w:id="1452437288">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44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insonM\AppData\Roaming\Microsoft\Templates\NEW%20Technical%20Template_Generic.dotx" TargetMode="External"/></Relationships>
</file>

<file path=word/theme/theme1.xml><?xml version="1.0" encoding="utf-8"?>
<a:theme xmlns:a="http://schemas.openxmlformats.org/drawingml/2006/main" name="Office Theme">
  <a:themeElements>
    <a:clrScheme name="Abt Theme Colors">
      <a:dk1>
        <a:sysClr val="windowText" lastClr="000000"/>
      </a:dk1>
      <a:lt1>
        <a:sysClr val="window" lastClr="FFFFFF"/>
      </a:lt1>
      <a:dk2>
        <a:srgbClr val="DA291C"/>
      </a:dk2>
      <a:lt2>
        <a:srgbClr val="898D8D"/>
      </a:lt2>
      <a:accent1>
        <a:srgbClr val="48A9C5"/>
      </a:accent1>
      <a:accent2>
        <a:srgbClr val="E87722"/>
      </a:accent2>
      <a:accent3>
        <a:srgbClr val="7566A0"/>
      </a:accent3>
      <a:accent4>
        <a:srgbClr val="789D4A"/>
      </a:accent4>
      <a:accent5>
        <a:srgbClr val="E7E8E8"/>
      </a:accent5>
      <a:accent6>
        <a:srgbClr val="B7C9D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89650-AE56-4713-ABAF-D19CE57E8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Technical Template_Generic</Template>
  <TotalTime>292</TotalTime>
  <Pages>14</Pages>
  <Words>4546</Words>
  <Characters>25918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30404</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dei</cp:lastModifiedBy>
  <cp:revision>32</cp:revision>
  <cp:lastPrinted>2020-03-05T17:00:00Z</cp:lastPrinted>
  <dcterms:created xsi:type="dcterms:W3CDTF">2020-03-05T16:52:00Z</dcterms:created>
  <dcterms:modified xsi:type="dcterms:W3CDTF">2020-03-14T09:01:00Z</dcterms:modified>
  <cp:category>Templates</cp:category>
</cp:coreProperties>
</file>