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05D9A" w14:textId="65BECBC3" w:rsidR="000B7EE6" w:rsidRPr="000B7EE6" w:rsidRDefault="000B7EE6" w:rsidP="000B7EE6">
      <w:pPr>
        <w:keepNext/>
        <w:spacing w:after="60"/>
        <w:jc w:val="center"/>
        <w:outlineLvl w:val="0"/>
        <w:rPr>
          <w:rFonts w:ascii="Arial" w:eastAsia="Calibri" w:hAnsi="Arial"/>
          <w:b/>
          <w:bCs/>
          <w:sz w:val="36"/>
          <w:szCs w:val="24"/>
        </w:rPr>
      </w:pPr>
      <w:bookmarkStart w:id="0" w:name="_Toc384720977"/>
      <w:r w:rsidRPr="000B7EE6">
        <w:rPr>
          <w:rFonts w:ascii="Arial" w:eastAsia="Calibri" w:hAnsi="Arial"/>
          <w:b/>
          <w:bCs/>
          <w:sz w:val="36"/>
          <w:szCs w:val="24"/>
        </w:rPr>
        <w:t xml:space="preserve">Appendix B. </w:t>
      </w:r>
      <w:bookmarkStart w:id="1" w:name="_GoBack"/>
      <w:r>
        <w:rPr>
          <w:rFonts w:ascii="Arial" w:eastAsia="Calibri" w:hAnsi="Arial"/>
          <w:b/>
          <w:bCs/>
          <w:sz w:val="36"/>
          <w:szCs w:val="24"/>
        </w:rPr>
        <w:t>Relevant Point-of-Care Evidence Summaries</w:t>
      </w:r>
      <w:bookmarkEnd w:id="0"/>
      <w:bookmarkEnd w:id="1"/>
    </w:p>
    <w:p w14:paraId="2FB3D847" w14:textId="11A7BED5" w:rsidR="000B7EE6" w:rsidRPr="000B7EE6" w:rsidRDefault="000B7EE6" w:rsidP="0062294C">
      <w:pPr>
        <w:keepNext/>
        <w:spacing w:before="240"/>
        <w:ind w:left="-180"/>
        <w:rPr>
          <w:rFonts w:ascii="Arial" w:eastAsia="Calibri" w:hAnsi="Arial"/>
          <w:b/>
          <w:color w:val="000000"/>
          <w:sz w:val="20"/>
          <w:szCs w:val="24"/>
        </w:rPr>
      </w:pPr>
      <w:r w:rsidRPr="000B7EE6">
        <w:rPr>
          <w:rFonts w:ascii="Arial" w:eastAsia="Calibri" w:hAnsi="Arial"/>
          <w:b/>
          <w:color w:val="000000"/>
          <w:sz w:val="20"/>
          <w:szCs w:val="24"/>
        </w:rPr>
        <w:t xml:space="preserve">Table B1. Review of </w:t>
      </w:r>
      <w:r w:rsidR="00AD4DF6" w:rsidRPr="000B7EE6">
        <w:rPr>
          <w:rFonts w:ascii="Arial" w:eastAsia="Calibri" w:hAnsi="Arial"/>
          <w:b/>
          <w:color w:val="000000"/>
          <w:sz w:val="20"/>
          <w:szCs w:val="24"/>
        </w:rPr>
        <w:t>point-of-care tool evidence summaries</w:t>
      </w:r>
      <w:r w:rsidRPr="000B7EE6">
        <w:rPr>
          <w:rFonts w:ascii="Arial" w:eastAsia="Calibri" w:hAnsi="Arial"/>
          <w:b/>
          <w:color w:val="000000"/>
          <w:sz w:val="20"/>
          <w:szCs w:val="24"/>
        </w:rPr>
        <w:t xml:space="preserve"> for EPC CER </w:t>
      </w:r>
      <w:r w:rsidR="00AD4DF6" w:rsidRPr="000B7EE6">
        <w:rPr>
          <w:rFonts w:ascii="Arial" w:eastAsia="Calibri" w:hAnsi="Arial"/>
          <w:b/>
          <w:color w:val="000000"/>
          <w:sz w:val="20"/>
          <w:szCs w:val="24"/>
        </w:rPr>
        <w:t>c</w:t>
      </w:r>
      <w:r w:rsidRPr="000B7EE6">
        <w:rPr>
          <w:rFonts w:ascii="Arial" w:eastAsia="Calibri" w:hAnsi="Arial"/>
          <w:b/>
          <w:color w:val="000000"/>
          <w:sz w:val="20"/>
          <w:szCs w:val="24"/>
        </w:rPr>
        <w:t>itations</w:t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62294C" w:rsidRPr="000B7EE6" w14:paraId="53A92FFC" w14:textId="77777777" w:rsidTr="00BC2089">
        <w:trPr>
          <w:cantSplit/>
          <w:trHeight w:val="1407"/>
          <w:tblHeader/>
        </w:trPr>
        <w:tc>
          <w:tcPr>
            <w:tcW w:w="2585" w:type="pct"/>
          </w:tcPr>
          <w:p w14:paraId="217CF4E3" w14:textId="5CF46D93" w:rsidR="0062294C" w:rsidRPr="000B7EE6" w:rsidRDefault="0062294C" w:rsidP="008A11C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51CB5AD1" w14:textId="281C991D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0167E02B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090F75BD" w14:textId="6C2AB8E9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31249C45" w14:textId="6749763D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648BC26B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60AE5FAB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1C990EB8" w14:textId="5627226D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36D67C64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5D6ED01C" w14:textId="36B5B0A4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7F329C75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62294C" w:rsidRPr="000B7EE6" w14:paraId="4478371B" w14:textId="77777777" w:rsidTr="00BC2089">
        <w:trPr>
          <w:cantSplit/>
          <w:trHeight w:val="232"/>
        </w:trPr>
        <w:tc>
          <w:tcPr>
            <w:tcW w:w="2585" w:type="pct"/>
          </w:tcPr>
          <w:p w14:paraId="1CA2BD93" w14:textId="77777777" w:rsidR="0062294C" w:rsidRPr="000B7EE6" w:rsidRDefault="0062294C" w:rsidP="000B7EE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2009</w:t>
            </w:r>
          </w:p>
        </w:tc>
        <w:tc>
          <w:tcPr>
            <w:tcW w:w="476" w:type="pct"/>
          </w:tcPr>
          <w:p w14:paraId="2A4F80E1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470FEE5C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49382938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0A923578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2619F431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4CB9CD19" w14:textId="6E5DB953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EFE14FF" w14:textId="77777777" w:rsidR="0062294C" w:rsidRPr="000B7EE6" w:rsidRDefault="0062294C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F032C" w:rsidRPr="000B7EE6" w14:paraId="53D5C141" w14:textId="77777777" w:rsidTr="00BC2089">
        <w:trPr>
          <w:cantSplit/>
          <w:trHeight w:val="464"/>
        </w:trPr>
        <w:tc>
          <w:tcPr>
            <w:tcW w:w="2585" w:type="pct"/>
            <w:vMerge w:val="restart"/>
          </w:tcPr>
          <w:p w14:paraId="52E6D0B0" w14:textId="77777777" w:rsidR="004F032C" w:rsidRPr="000B7EE6" w:rsidRDefault="004F032C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Hartmann KE,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McPheeters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ML, Biller DH, Ward RM,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McKoy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JN, Jerome RN,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Micucci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SR,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Meints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L, Fisher JA, Scott TA, Slaughter JC,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Blume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JD. Treatment of Overactive Bladder in Women. Evidence Report/Technology Assessment No. 187 (Prepared by the Vanderbilt Evidence-based Practice Center under Contract No. 290-2007-10065-I). AHRQ Publication No. 09-E017. Rockville, MD: Agency for Healthcare Research and Quality. August 2009.</w:t>
            </w:r>
          </w:p>
        </w:tc>
        <w:tc>
          <w:tcPr>
            <w:tcW w:w="476" w:type="pct"/>
          </w:tcPr>
          <w:p w14:paraId="7BE0CD85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Urinary Incontinence</w:t>
            </w:r>
          </w:p>
        </w:tc>
        <w:tc>
          <w:tcPr>
            <w:tcW w:w="261" w:type="pct"/>
          </w:tcPr>
          <w:p w14:paraId="7A39627F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68493A8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Urinary Incontinence</w:t>
            </w:r>
          </w:p>
        </w:tc>
        <w:tc>
          <w:tcPr>
            <w:tcW w:w="261" w:type="pct"/>
            <w:shd w:val="clear" w:color="auto" w:fill="auto"/>
          </w:tcPr>
          <w:p w14:paraId="27214EB4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43D50B7C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Urinary Incontinence</w:t>
            </w:r>
          </w:p>
        </w:tc>
        <w:tc>
          <w:tcPr>
            <w:tcW w:w="254" w:type="pct"/>
          </w:tcPr>
          <w:p w14:paraId="5F266172" w14:textId="174946A8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E75449A" w14:textId="77777777" w:rsidR="004F032C" w:rsidRPr="000B7EE6" w:rsidRDefault="004F032C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F032C" w:rsidRPr="000B7EE6" w14:paraId="0CC5A3A8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233E6D1D" w14:textId="77777777" w:rsidR="004F032C" w:rsidRPr="000B7EE6" w:rsidRDefault="004F032C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2CECA503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0D8335C4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DB2533A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3D2FCCA9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DCB3B25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28A8ECC9" w14:textId="77777777" w:rsidR="004F032C" w:rsidRPr="000B7EE6" w:rsidRDefault="004F032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3909589" w14:textId="7172EB4A" w:rsidR="004F032C" w:rsidRPr="000B7EE6" w:rsidRDefault="004F032C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62294C" w:rsidRPr="000B7EE6" w14:paraId="6B73EFB3" w14:textId="77777777" w:rsidTr="00BC2089">
        <w:trPr>
          <w:cantSplit/>
          <w:trHeight w:val="1175"/>
        </w:trPr>
        <w:tc>
          <w:tcPr>
            <w:tcW w:w="2585" w:type="pct"/>
            <w:vMerge w:val="restart"/>
          </w:tcPr>
          <w:p w14:paraId="4A63B760" w14:textId="77777777" w:rsidR="0062294C" w:rsidRPr="000B7EE6" w:rsidRDefault="0062294C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Sharma M, et al., Comparative Effectiveness of Lipid-Modifying Agents. Comparative Effectiveness Review No. 16. (Prepared by the University of Ottawa Evidence-based Practice Center under contract No. 290-02-0021.) Rockville, MD: Agency for Healthcare Research and Quality. September 2009.</w:t>
            </w:r>
          </w:p>
          <w:p w14:paraId="6E7EB2C4" w14:textId="34DD5B83" w:rsidR="0062294C" w:rsidRPr="00252CAC" w:rsidRDefault="003F4F95" w:rsidP="00252CA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 xml:space="preserve">Sharma M, Ansari MT, </w:t>
            </w:r>
            <w:proofErr w:type="spell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Abou-Setta</w:t>
            </w:r>
            <w:proofErr w:type="spell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 xml:space="preserve"> AM, et al. Systematic review: comparative effectiveness and harms of combination therapy and monotherapy for dyslipidemia. Ann Intern Med. 2009 Nov 3</w:t>
            </w:r>
            <w:proofErr w:type="gram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;151</w:t>
            </w:r>
            <w:proofErr w:type="gram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(9):622-30. PMID 19884623.</w:t>
            </w:r>
          </w:p>
        </w:tc>
        <w:tc>
          <w:tcPr>
            <w:tcW w:w="476" w:type="pct"/>
          </w:tcPr>
          <w:p w14:paraId="0D9D01B1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Lipid-lowering pharm therapy overview</w:t>
            </w:r>
          </w:p>
          <w:p w14:paraId="5B5699C6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[4/7/2013]</w:t>
            </w:r>
          </w:p>
        </w:tc>
        <w:tc>
          <w:tcPr>
            <w:tcW w:w="261" w:type="pct"/>
          </w:tcPr>
          <w:p w14:paraId="24561CCB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48" w:type="pct"/>
            <w:shd w:val="clear" w:color="auto" w:fill="auto"/>
          </w:tcPr>
          <w:p w14:paraId="169B65C0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Treatment of lipids - secondary prevention</w:t>
            </w:r>
          </w:p>
          <w:p w14:paraId="629B2D99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July 2013</w:t>
            </w:r>
          </w:p>
        </w:tc>
        <w:tc>
          <w:tcPr>
            <w:tcW w:w="261" w:type="pct"/>
            <w:shd w:val="clear" w:color="auto" w:fill="auto"/>
          </w:tcPr>
          <w:p w14:paraId="76311EEB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57C237E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Hyper-</w:t>
            </w:r>
            <w:proofErr w:type="spellStart"/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lipidemia</w:t>
            </w:r>
            <w:proofErr w:type="spellEnd"/>
          </w:p>
          <w:p w14:paraId="0D84F9A8" w14:textId="1160C847" w:rsidR="0062294C" w:rsidRPr="00FE0423" w:rsidRDefault="0062294C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E2E2E"/>
                <w:sz w:val="18"/>
                <w:szCs w:val="18"/>
              </w:rPr>
              <w:t>6/17/10</w:t>
            </w:r>
          </w:p>
        </w:tc>
        <w:tc>
          <w:tcPr>
            <w:tcW w:w="254" w:type="pct"/>
          </w:tcPr>
          <w:p w14:paraId="416A677D" w14:textId="34F664C4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A110EDD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294C" w:rsidRPr="000B7EE6" w14:paraId="33829DAC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9BFA7CD" w14:textId="77777777" w:rsidR="0062294C" w:rsidRPr="000B7EE6" w:rsidRDefault="0062294C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28955464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Statins for prevention of CV disease</w:t>
            </w:r>
          </w:p>
          <w:p w14:paraId="03D34FE8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6/24/13</w:t>
            </w:r>
          </w:p>
        </w:tc>
        <w:tc>
          <w:tcPr>
            <w:tcW w:w="261" w:type="pct"/>
          </w:tcPr>
          <w:p w14:paraId="5CAD2702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9BE6C9D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1959AAAA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FF4F754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13C11481" w14:textId="56EA3341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13C5B2C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294C" w:rsidRPr="000B7EE6" w14:paraId="64805703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34E79E89" w14:textId="77777777" w:rsidR="0062294C" w:rsidRPr="000B7EE6" w:rsidRDefault="0062294C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34B9B973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540C35C9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3784505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67FCCB52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8110864" w14:textId="77777777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707BCAFA" w14:textId="00151081" w:rsidR="0062294C" w:rsidRPr="000B7EE6" w:rsidRDefault="0062294C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826D32D" w14:textId="77777777" w:rsidR="0062294C" w:rsidRPr="000B7EE6" w:rsidRDefault="0062294C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4E12A444" w14:textId="77777777" w:rsidR="00225510" w:rsidRDefault="00225510">
      <w:r>
        <w:br w:type="page"/>
      </w:r>
    </w:p>
    <w:tbl>
      <w:tblPr>
        <w:tblStyle w:val="TableGrid12"/>
        <w:tblW w:w="1342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928"/>
        <w:gridCol w:w="1278"/>
        <w:gridCol w:w="703"/>
        <w:gridCol w:w="1205"/>
        <w:gridCol w:w="703"/>
        <w:gridCol w:w="1211"/>
        <w:gridCol w:w="682"/>
        <w:gridCol w:w="711"/>
      </w:tblGrid>
      <w:tr w:rsidR="00225510" w:rsidRPr="000B7EE6" w14:paraId="52CCFCA2" w14:textId="77777777" w:rsidTr="00BC2089">
        <w:trPr>
          <w:cantSplit/>
          <w:trHeight w:val="26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01F29865" w14:textId="267F2B24" w:rsidR="00225510" w:rsidRPr="00BC2089" w:rsidRDefault="00225510" w:rsidP="00BC2089">
            <w:pPr>
              <w:keepNext/>
              <w:ind w:left="-187"/>
              <w:rPr>
                <w:rFonts w:ascii="Arial" w:eastAsia="Calibri" w:hAnsi="Arial"/>
                <w:b/>
                <w:color w:val="000000"/>
                <w:sz w:val="20"/>
                <w:szCs w:val="24"/>
              </w:rPr>
            </w:pP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 xml:space="preserve">  </w:t>
            </w: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225510" w:rsidRPr="000B7EE6" w14:paraId="346B95D7" w14:textId="77777777" w:rsidTr="00BC2089">
        <w:trPr>
          <w:cantSplit/>
          <w:trHeight w:val="943"/>
        </w:trPr>
        <w:tc>
          <w:tcPr>
            <w:tcW w:w="2581" w:type="pct"/>
          </w:tcPr>
          <w:p w14:paraId="1DAA1897" w14:textId="7635CCE6" w:rsidR="00225510" w:rsidRPr="000B7EE6" w:rsidRDefault="00225510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0902987B" w14:textId="77777777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217E0AE9" w14:textId="43A06300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2" w:type="pct"/>
          </w:tcPr>
          <w:p w14:paraId="7B754D01" w14:textId="7B02D94D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9" w:type="pct"/>
            <w:shd w:val="clear" w:color="auto" w:fill="auto"/>
          </w:tcPr>
          <w:p w14:paraId="37576B2A" w14:textId="0849EA2A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5E1820B0" w14:textId="2FB6FE67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2" w:type="pct"/>
            <w:shd w:val="clear" w:color="auto" w:fill="auto"/>
          </w:tcPr>
          <w:p w14:paraId="5EAAED68" w14:textId="1A4A8E96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1" w:type="pct"/>
          </w:tcPr>
          <w:p w14:paraId="394CC9D0" w14:textId="77777777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5E629714" w14:textId="51E708AD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074AD47A" w14:textId="2744C611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6" w:type="pct"/>
          </w:tcPr>
          <w:p w14:paraId="5CC6099C" w14:textId="146F3F43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225510" w:rsidRPr="000B7EE6" w14:paraId="0A747FDD" w14:textId="77777777" w:rsidTr="00BC2089">
        <w:trPr>
          <w:cantSplit/>
          <w:trHeight w:val="943"/>
        </w:trPr>
        <w:tc>
          <w:tcPr>
            <w:tcW w:w="2581" w:type="pct"/>
            <w:vMerge w:val="restart"/>
          </w:tcPr>
          <w:p w14:paraId="2A96FCFC" w14:textId="7D0BF067" w:rsidR="00225510" w:rsidRPr="000B7EE6" w:rsidRDefault="00225510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Bruening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W, et al., Comparative Effectiveness of Core-Needle and Open Surgical Biopsy for the Diagnosis of Breast Lesions. Comparative Effectiveness Review No. 19. (Prepared by ECRI Institute Evidence-based Practice Center under Contract No. 290-02-0019.) Rockville, MD: Agency for Healthcare Research and Quality. December 2009.</w:t>
            </w:r>
          </w:p>
          <w:p w14:paraId="7D7422CA" w14:textId="4646328C" w:rsidR="00225510" w:rsidRPr="00252CAC" w:rsidRDefault="00225510" w:rsidP="00252CA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Bruening</w:t>
            </w:r>
            <w:proofErr w:type="spell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 xml:space="preserve"> W, </w:t>
            </w:r>
            <w:proofErr w:type="spell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Fontanarosa</w:t>
            </w:r>
            <w:proofErr w:type="spell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 xml:space="preserve"> J, Tipton K, et al. Systematic review: comparative effectiveness of core-needle and open surgical biopsy to diagnose breast lesions. Ann Intern Med. 2010 Feb 16</w:t>
            </w:r>
            <w:proofErr w:type="gram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;152</w:t>
            </w:r>
            <w:proofErr w:type="gram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(4):238-46. PMID 20008742.</w:t>
            </w:r>
          </w:p>
        </w:tc>
        <w:tc>
          <w:tcPr>
            <w:tcW w:w="476" w:type="pct"/>
          </w:tcPr>
          <w:p w14:paraId="6B67980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Palpable breast mass evaluation [11/16/2012]</w:t>
            </w:r>
          </w:p>
        </w:tc>
        <w:tc>
          <w:tcPr>
            <w:tcW w:w="262" w:type="pct"/>
          </w:tcPr>
          <w:p w14:paraId="003FBC3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2824D0C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Breast Biopsy</w:t>
            </w:r>
          </w:p>
          <w:p w14:paraId="2769C4E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2" w:type="pct"/>
            <w:shd w:val="clear" w:color="auto" w:fill="auto"/>
          </w:tcPr>
          <w:p w14:paraId="1FB4722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51" w:type="pct"/>
          </w:tcPr>
          <w:p w14:paraId="688CACB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Breast cancer</w:t>
            </w:r>
          </w:p>
          <w:p w14:paraId="77C9F0A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[5/29/2010]</w:t>
            </w:r>
          </w:p>
        </w:tc>
        <w:tc>
          <w:tcPr>
            <w:tcW w:w="254" w:type="pct"/>
          </w:tcPr>
          <w:p w14:paraId="1922BF51" w14:textId="45C1C235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65124F2E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50044B9D" w14:textId="77777777" w:rsidTr="00BC2089">
        <w:trPr>
          <w:cantSplit/>
          <w:trHeight w:val="164"/>
        </w:trPr>
        <w:tc>
          <w:tcPr>
            <w:tcW w:w="2581" w:type="pct"/>
            <w:vMerge/>
          </w:tcPr>
          <w:p w14:paraId="325A0732" w14:textId="77777777" w:rsidR="00225510" w:rsidRPr="000B7EE6" w:rsidRDefault="00225510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42D2CEB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Breast cancer in women</w:t>
            </w:r>
          </w:p>
          <w:p w14:paraId="2C50721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[7/11/2013]</w:t>
            </w:r>
          </w:p>
        </w:tc>
        <w:tc>
          <w:tcPr>
            <w:tcW w:w="262" w:type="pct"/>
          </w:tcPr>
          <w:p w14:paraId="25356D4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0DAE8BA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Diagnostic Evaluation of Women with Suspected Breast Cancer</w:t>
            </w:r>
          </w:p>
          <w:p w14:paraId="7C310C8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2" w:type="pct"/>
            <w:shd w:val="clear" w:color="auto" w:fill="auto"/>
          </w:tcPr>
          <w:p w14:paraId="00BA054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1" w:type="pct"/>
          </w:tcPr>
          <w:p w14:paraId="7B69998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1D34ED33" w14:textId="180CF088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127C9246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5633E4FF" w14:textId="77777777" w:rsidTr="00BC2089">
        <w:trPr>
          <w:cantSplit/>
          <w:trHeight w:val="164"/>
        </w:trPr>
        <w:tc>
          <w:tcPr>
            <w:tcW w:w="2581" w:type="pct"/>
            <w:vMerge/>
          </w:tcPr>
          <w:p w14:paraId="4FD5AB1D" w14:textId="77777777" w:rsidR="00225510" w:rsidRPr="000B7EE6" w:rsidRDefault="00225510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531252A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00F97F5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7E97596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0F4D25E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1" w:type="pct"/>
          </w:tcPr>
          <w:p w14:paraId="1DB4B6D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38D60881" w14:textId="5E4FA61A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06110686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225510" w:rsidRPr="000B7EE6" w14:paraId="25C23D36" w14:textId="77777777" w:rsidTr="00BC2089">
        <w:trPr>
          <w:cantSplit/>
          <w:trHeight w:val="164"/>
        </w:trPr>
        <w:tc>
          <w:tcPr>
            <w:tcW w:w="2581" w:type="pct"/>
          </w:tcPr>
          <w:p w14:paraId="1FE4EBD2" w14:textId="77777777" w:rsidR="00225510" w:rsidRPr="000B7EE6" w:rsidRDefault="00225510" w:rsidP="008A11C3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476" w:type="pct"/>
          </w:tcPr>
          <w:p w14:paraId="2C37A15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6D348BF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13E9B5D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07F25E77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1" w:type="pct"/>
          </w:tcPr>
          <w:p w14:paraId="781EAEC7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4C24074C" w14:textId="202B805E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1D38C3F5" w14:textId="77777777" w:rsidR="00225510" w:rsidRPr="000B7EE6" w:rsidRDefault="00225510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2B6DF99D" w14:textId="77777777" w:rsidTr="00BC2089">
        <w:trPr>
          <w:cantSplit/>
          <w:trHeight w:val="164"/>
        </w:trPr>
        <w:tc>
          <w:tcPr>
            <w:tcW w:w="2581" w:type="pct"/>
            <w:vMerge w:val="restart"/>
          </w:tcPr>
          <w:p w14:paraId="27B304BB" w14:textId="491F1424" w:rsidR="00225510" w:rsidRPr="000B7EE6" w:rsidRDefault="00225510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Whitlock EP, O’Connor EA, Williams SB,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Beil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TL, Lutz KW. Effectiveness of Primary Care Interventions for Weight Management in Children and Adolescents: An Updated, Targeted Systematic Review for the USPSTF. Evidence Synthesis No. 76. AHRQ Publication No. 10-05144-EF-1. </w:t>
            </w:r>
            <w:r>
              <w:rPr>
                <w:rFonts w:ascii="Arial" w:eastAsia="Calibri" w:hAnsi="Arial" w:cs="Arial"/>
                <w:sz w:val="18"/>
                <w:szCs w:val="18"/>
              </w:rPr>
              <w:t>Rockville MD: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Agency for Healthcare Research and Quality, January 2010.</w:t>
            </w:r>
          </w:p>
          <w:p w14:paraId="19C931AF" w14:textId="48368C73" w:rsidR="00225510" w:rsidRPr="00252CAC" w:rsidRDefault="00225510" w:rsidP="00252CA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Whitlock EP, O'Connor EA, Williams SB, et al. Effectiveness of weight management interventions in children: a targeted systematic review for the USPSTF. Pediatrics. 2010 Feb</w:t>
            </w:r>
            <w:proofErr w:type="gram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;125</w:t>
            </w:r>
            <w:proofErr w:type="gram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(2):e396-418. PMID 20083531.</w:t>
            </w:r>
          </w:p>
        </w:tc>
        <w:tc>
          <w:tcPr>
            <w:tcW w:w="476" w:type="pct"/>
          </w:tcPr>
          <w:p w14:paraId="5683BF7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Obesity in children and adolescents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</w:p>
          <w:p w14:paraId="17544D1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[6/28/2013]</w:t>
            </w:r>
          </w:p>
        </w:tc>
        <w:tc>
          <w:tcPr>
            <w:tcW w:w="262" w:type="pct"/>
          </w:tcPr>
          <w:p w14:paraId="181E023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5247947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Mgmt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of Childhood Obesity in a Primary Care Setting</w:t>
            </w:r>
          </w:p>
          <w:p w14:paraId="1F1700E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2" w:type="pct"/>
            <w:shd w:val="clear" w:color="auto" w:fill="auto"/>
          </w:tcPr>
          <w:p w14:paraId="5089904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51" w:type="pct"/>
          </w:tcPr>
          <w:p w14:paraId="4871CEA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Obesity in children</w:t>
            </w:r>
          </w:p>
          <w:p w14:paraId="511115E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[8/24/2007]</w:t>
            </w:r>
          </w:p>
        </w:tc>
        <w:tc>
          <w:tcPr>
            <w:tcW w:w="254" w:type="pct"/>
          </w:tcPr>
          <w:p w14:paraId="1783600C" w14:textId="4F00FDEA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26086741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72F62737" w14:textId="77777777" w:rsidTr="00BC2089">
        <w:trPr>
          <w:cantSplit/>
          <w:trHeight w:val="164"/>
        </w:trPr>
        <w:tc>
          <w:tcPr>
            <w:tcW w:w="2581" w:type="pct"/>
            <w:vMerge/>
          </w:tcPr>
          <w:p w14:paraId="350DBD13" w14:textId="77777777" w:rsidR="00225510" w:rsidRPr="000B7EE6" w:rsidRDefault="00225510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6B1B4ED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11ACEFF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327DB5D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1BB6937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1" w:type="pct"/>
          </w:tcPr>
          <w:p w14:paraId="4642F35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117E7800" w14:textId="1FA16955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3BCE433C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225510" w:rsidRPr="000B7EE6" w14:paraId="6D2C889D" w14:textId="77777777" w:rsidTr="00BC2089">
        <w:trPr>
          <w:cantSplit/>
          <w:trHeight w:val="164"/>
        </w:trPr>
        <w:tc>
          <w:tcPr>
            <w:tcW w:w="2581" w:type="pct"/>
            <w:vMerge w:val="restart"/>
          </w:tcPr>
          <w:p w14:paraId="684B61B0" w14:textId="77777777" w:rsidR="00225510" w:rsidRPr="000B7EE6" w:rsidRDefault="00225510" w:rsidP="000B7EE6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Dryden DM, et al., Exercise-Induced Bronchoconstriction and Asthma. Evidence Report/Technology Assessment No. 189 (Prepared by the University of Alberta Evidence-based Practice Center under Contract No. 290-2007-10021-I) AHRQ Publication No. 10-E001. Rockville, MD: Agency for Healthcare Research and Quality. January 2010 (Web site posting); revised March 2010.</w:t>
            </w:r>
          </w:p>
          <w:p w14:paraId="2EEF8EC1" w14:textId="25A6CEC4" w:rsidR="00225510" w:rsidRPr="00252CAC" w:rsidRDefault="00225510" w:rsidP="00252CA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Stickland</w:t>
            </w:r>
            <w:proofErr w:type="spell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 xml:space="preserve"> MK, Spooner CH, Dryden DM, et al. The need for standardization in exercise challenge testing for exercise-induced asthma/bronchoconstriction. J Allergy </w:t>
            </w:r>
            <w:proofErr w:type="spell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Clin</w:t>
            </w:r>
            <w:proofErr w:type="spell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 xml:space="preserve"> </w:t>
            </w:r>
            <w:proofErr w:type="spell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Immunol</w:t>
            </w:r>
            <w:proofErr w:type="spell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. 2010 Oct</w:t>
            </w:r>
            <w:proofErr w:type="gramStart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;126</w:t>
            </w:r>
            <w:proofErr w:type="gramEnd"/>
            <w:r w:rsidRPr="00252CAC">
              <w:rPr>
                <w:rFonts w:ascii="Plain Font" w:eastAsia="Calibri" w:hAnsi="Plain Font" w:cs="Plain Font"/>
                <w:sz w:val="18"/>
                <w:szCs w:val="18"/>
              </w:rPr>
              <w:t>(4):878-80 e6. PMID 20920779.</w:t>
            </w:r>
          </w:p>
        </w:tc>
        <w:tc>
          <w:tcPr>
            <w:tcW w:w="476" w:type="pct"/>
          </w:tcPr>
          <w:p w14:paraId="3744589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333333"/>
                <w:sz w:val="18"/>
                <w:szCs w:val="18"/>
              </w:rPr>
              <w:t xml:space="preserve">Exercise-induced </w:t>
            </w:r>
            <w:proofErr w:type="spellStart"/>
            <w:r w:rsidRPr="000B7EE6">
              <w:rPr>
                <w:rFonts w:ascii="Arial" w:eastAsia="Calibri" w:hAnsi="Arial" w:cs="Arial"/>
                <w:color w:val="333333"/>
                <w:sz w:val="18"/>
                <w:szCs w:val="18"/>
              </w:rPr>
              <w:t>broncho</w:t>
            </w:r>
            <w:proofErr w:type="spellEnd"/>
            <w:r w:rsidRPr="000B7EE6">
              <w:rPr>
                <w:rFonts w:ascii="Arial" w:eastAsia="Calibri" w:hAnsi="Arial" w:cs="Arial"/>
                <w:color w:val="333333"/>
                <w:sz w:val="18"/>
                <w:szCs w:val="18"/>
              </w:rPr>
              <w:t>-constriction</w:t>
            </w:r>
          </w:p>
          <w:p w14:paraId="5407172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333333"/>
                <w:sz w:val="18"/>
                <w:szCs w:val="18"/>
              </w:rPr>
              <w:t>[5/9/2013]</w:t>
            </w:r>
          </w:p>
        </w:tc>
        <w:tc>
          <w:tcPr>
            <w:tcW w:w="262" w:type="pct"/>
          </w:tcPr>
          <w:p w14:paraId="2F0F466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780B8E3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Exercise-Induced Broncho-constriction</w:t>
            </w:r>
          </w:p>
          <w:p w14:paraId="6E5CB14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[7/2013]</w:t>
            </w:r>
          </w:p>
        </w:tc>
        <w:tc>
          <w:tcPr>
            <w:tcW w:w="262" w:type="pct"/>
            <w:shd w:val="clear" w:color="auto" w:fill="auto"/>
          </w:tcPr>
          <w:p w14:paraId="750A831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1" w:type="pct"/>
          </w:tcPr>
          <w:p w14:paraId="2F547C3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Asthma in Children</w:t>
            </w:r>
          </w:p>
          <w:p w14:paraId="07675DBE" w14:textId="4010894F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[8/19/2010]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" w:type="pct"/>
          </w:tcPr>
          <w:p w14:paraId="2383E385" w14:textId="1291863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15BC2037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32BB831B" w14:textId="77777777" w:rsidTr="00BC2089">
        <w:trPr>
          <w:cantSplit/>
          <w:trHeight w:val="164"/>
        </w:trPr>
        <w:tc>
          <w:tcPr>
            <w:tcW w:w="2581" w:type="pct"/>
            <w:vMerge/>
          </w:tcPr>
          <w:p w14:paraId="6081D66F" w14:textId="77777777" w:rsidR="00225510" w:rsidRPr="000B7EE6" w:rsidRDefault="00225510" w:rsidP="000B7EE6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</w:tcPr>
          <w:p w14:paraId="700C53A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62" w:type="pct"/>
          </w:tcPr>
          <w:p w14:paraId="23F182F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0339DCA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Overview of Asthma Management</w:t>
            </w:r>
          </w:p>
          <w:p w14:paraId="5DD3B35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[7/2013]</w:t>
            </w:r>
          </w:p>
        </w:tc>
        <w:tc>
          <w:tcPr>
            <w:tcW w:w="262" w:type="pct"/>
            <w:shd w:val="clear" w:color="auto" w:fill="auto"/>
          </w:tcPr>
          <w:p w14:paraId="1D94BA7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1" w:type="pct"/>
          </w:tcPr>
          <w:p w14:paraId="6DC1991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Asthma in Adults</w:t>
            </w:r>
          </w:p>
          <w:p w14:paraId="371A832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[12/15/2009]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" w:type="pct"/>
          </w:tcPr>
          <w:p w14:paraId="0F268F25" w14:textId="0C3FD6B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554E2A59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3C5DB79A" w14:textId="77777777" w:rsidTr="00BC2089">
        <w:trPr>
          <w:cantSplit/>
          <w:trHeight w:val="164"/>
        </w:trPr>
        <w:tc>
          <w:tcPr>
            <w:tcW w:w="2581" w:type="pct"/>
            <w:vMerge/>
          </w:tcPr>
          <w:p w14:paraId="5EA1766D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</w:tcPr>
          <w:p w14:paraId="734928B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62" w:type="pct"/>
          </w:tcPr>
          <w:p w14:paraId="58ABA44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</w:tcPr>
          <w:p w14:paraId="4BCA5A0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14:paraId="2CEC089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1" w:type="pct"/>
          </w:tcPr>
          <w:p w14:paraId="7612917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4162C7A3" w14:textId="54486B06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05919069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</w:tbl>
    <w:p w14:paraId="030FE44E" w14:textId="77777777" w:rsidR="00225510" w:rsidRDefault="00225510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225510" w:rsidRPr="000B7EE6" w14:paraId="775903EA" w14:textId="77777777" w:rsidTr="00BC2089">
        <w:trPr>
          <w:cantSplit/>
          <w:trHeight w:val="16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151C3CE6" w14:textId="459F45AF" w:rsidR="00225510" w:rsidRPr="000B7EE6" w:rsidRDefault="00225510" w:rsidP="00BC2089">
            <w:pPr>
              <w:ind w:left="-61" w:right="-18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225510" w:rsidRPr="000B7EE6" w14:paraId="7FC349E0" w14:textId="77777777" w:rsidTr="00225510">
        <w:trPr>
          <w:cantSplit/>
          <w:trHeight w:val="164"/>
        </w:trPr>
        <w:tc>
          <w:tcPr>
            <w:tcW w:w="2585" w:type="pct"/>
          </w:tcPr>
          <w:p w14:paraId="627A44C6" w14:textId="2B645444" w:rsidR="00225510" w:rsidRPr="000B7EE6" w:rsidRDefault="00225510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430173A5" w14:textId="77777777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07AD4A08" w14:textId="29BE4A99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1DFDD02D" w14:textId="04409844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3D1E2386" w14:textId="16A9053B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2D281BD3" w14:textId="484595B5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76C04072" w14:textId="308D2C47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32E86C5F" w14:textId="77777777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48754A9A" w14:textId="1992446B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56BBD315" w14:textId="1B57706D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7E9D9DFF" w14:textId="0480B7E1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225510" w:rsidRPr="000B7EE6" w14:paraId="3DE043B2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72597645" w14:textId="0ADAB2F4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Seida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J, et al., Comparative Effectiveness of Non-operative and Operative Treatment for Rotator Cuff Tears. Comparative Effectiveness Review No. 22. (Prepared by the University of Alberta Evidence-based Practice Center under Contract No. 290-02-0023.) AHRQ Publication No. 10-EHC050. Rockville, MD: Agency for Healthcare Research and Quality. July 2010.</w:t>
            </w:r>
          </w:p>
          <w:p w14:paraId="6D1B2169" w14:textId="4FF0FEB4" w:rsidR="00225510" w:rsidRPr="000B7EE6" w:rsidRDefault="00225510" w:rsidP="000B7E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Seida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JC, LeBlanc C, Schouten JR, et al. Systematic review: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nonoperative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and operative treatments for rotator cuff tears. Ann Intern Med. 2010 Aug 17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;153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(4):246-55. PMID 20621893.</w:t>
            </w:r>
          </w:p>
        </w:tc>
        <w:tc>
          <w:tcPr>
            <w:tcW w:w="476" w:type="pct"/>
          </w:tcPr>
          <w:p w14:paraId="44DDAC0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Rotator Cuff Tear</w:t>
            </w:r>
          </w:p>
          <w:p w14:paraId="071CB41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[1/17/2013]</w:t>
            </w:r>
          </w:p>
        </w:tc>
        <w:tc>
          <w:tcPr>
            <w:tcW w:w="261" w:type="pct"/>
          </w:tcPr>
          <w:p w14:paraId="7336081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R, J</w:t>
            </w:r>
          </w:p>
        </w:tc>
        <w:tc>
          <w:tcPr>
            <w:tcW w:w="448" w:type="pct"/>
            <w:shd w:val="clear" w:color="auto" w:fill="auto"/>
          </w:tcPr>
          <w:p w14:paraId="7AE1082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Management of Rotator Cuff Tears</w:t>
            </w:r>
          </w:p>
          <w:p w14:paraId="2601FFF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  <w:p w14:paraId="35C51A5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6591631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50" w:type="pct"/>
          </w:tcPr>
          <w:p w14:paraId="159416A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Rotator cuff syndrome</w:t>
            </w:r>
          </w:p>
          <w:p w14:paraId="6D3579E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[8/24/2007]</w:t>
            </w: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" w:type="pct"/>
          </w:tcPr>
          <w:p w14:paraId="37918095" w14:textId="72A691A4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3FEB7DB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6FCF1193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F91D629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78D1BC3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212E2AE0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32FA35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59979B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BDF8E7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4A6A51E9" w14:textId="3650233C" w:rsidR="00225510" w:rsidRPr="000B7EE6" w:rsidRDefault="00225510" w:rsidP="00FE0423">
            <w:pPr>
              <w:ind w:left="-43" w:right="-81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BD54543" w14:textId="77777777" w:rsidR="00225510" w:rsidRPr="000B7EE6" w:rsidRDefault="00225510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bookmarkStart w:id="2" w:name="_Toc384720978"/>
            <w:r w:rsidRPr="000B7EE6">
              <w:rPr>
                <w:rFonts w:ascii="Arial" w:eastAsia="Calibri" w:hAnsi="Arial" w:cs="Arial"/>
                <w:sz w:val="18"/>
                <w:szCs w:val="18"/>
              </w:rPr>
              <w:t>2</w:t>
            </w:r>
            <w:bookmarkEnd w:id="2"/>
          </w:p>
        </w:tc>
      </w:tr>
      <w:tr w:rsidR="00225510" w:rsidRPr="000B7EE6" w14:paraId="762BC44C" w14:textId="77777777" w:rsidTr="00BC2089">
        <w:trPr>
          <w:cantSplit/>
          <w:trHeight w:val="164"/>
        </w:trPr>
        <w:tc>
          <w:tcPr>
            <w:tcW w:w="2585" w:type="pct"/>
          </w:tcPr>
          <w:p w14:paraId="75E2265E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2011</w:t>
            </w:r>
          </w:p>
        </w:tc>
        <w:tc>
          <w:tcPr>
            <w:tcW w:w="476" w:type="pct"/>
          </w:tcPr>
          <w:p w14:paraId="7FE6C8A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53AB924B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8181DE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041601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71065B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4B1BE883" w14:textId="1A95E25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8B3D62A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1B30175A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08169CE9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Bennett, W.L. et al., Oral Diabetes Medications for Adults With Type 2 Diabetes: An Update. Comparative Effectiveness Review No. 27. (Prepared by Johns Hopkins University Evidence-based Practice Center under Contract No. 290-02-0018.) AHRQ Publication No. 11-EHC038-EF. Rockville, MD: Agency for Healthcare Research and Quality. March 2011</w:t>
            </w:r>
          </w:p>
          <w:p w14:paraId="668E4F83" w14:textId="446BE4EB" w:rsidR="00225510" w:rsidRPr="000B7EE6" w:rsidRDefault="00225510" w:rsidP="000B7EE6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Bennett WL,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Maruthur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NM, Singh S, et al. Comparative effectiveness and safety of medications for type 2 diabetes: an update including new drugs and 2-drug combinations. Ann Intern Med. 2011 May 3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;154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(9):602-13. PMID 21403054.</w:t>
            </w:r>
          </w:p>
        </w:tc>
        <w:tc>
          <w:tcPr>
            <w:tcW w:w="476" w:type="pct"/>
          </w:tcPr>
          <w:p w14:paraId="7C8D4F9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Glucose lowering medications for type 2 diabetes</w:t>
            </w:r>
          </w:p>
          <w:p w14:paraId="54346A57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[7/29/2013]</w:t>
            </w:r>
          </w:p>
        </w:tc>
        <w:tc>
          <w:tcPr>
            <w:tcW w:w="261" w:type="pct"/>
          </w:tcPr>
          <w:p w14:paraId="32F0BD72" w14:textId="1A6661AE" w:rsidR="00225510" w:rsidRPr="008A11C3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R, J</w:t>
            </w:r>
          </w:p>
        </w:tc>
        <w:tc>
          <w:tcPr>
            <w:tcW w:w="448" w:type="pct"/>
            <w:shd w:val="clear" w:color="auto" w:fill="auto"/>
          </w:tcPr>
          <w:p w14:paraId="58A092D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Initial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mgmt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of blood glucose in adults with type 2 DM</w:t>
            </w:r>
          </w:p>
          <w:p w14:paraId="232ED09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56054CC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50" w:type="pct"/>
          </w:tcPr>
          <w:p w14:paraId="245F6E4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Diabetes mellitus type 2 in adults</w:t>
            </w:r>
          </w:p>
          <w:p w14:paraId="7C16303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[5/11/2012]</w:t>
            </w:r>
          </w:p>
        </w:tc>
        <w:tc>
          <w:tcPr>
            <w:tcW w:w="254" w:type="pct"/>
          </w:tcPr>
          <w:p w14:paraId="7A43D3EA" w14:textId="6BEBC7B2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725AB7A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3765BB71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EFC9BBC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5BEF2C1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017AB843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5BFB904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CDA8E2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478CEA87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040E0DE5" w14:textId="1E729EA4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A37BD4B" w14:textId="7A39DE04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225510" w:rsidRPr="000B7EE6" w14:paraId="6D62F29F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7CE4F6EC" w14:textId="3D237932" w:rsidR="00225510" w:rsidRPr="000B7EE6" w:rsidRDefault="00225510" w:rsidP="00FE042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Sanders GD, et al., Angiotensin-Converting Enzyme Inhibitors (ACEIs), Angiotensin II Receptor Antagonists (ARBs), and Direct Renin Inhibitors for Treating Essential Hyper-tension: An Update. Comparative Effectiveness Review No. 34. (Prepared by the Duke Evidence-based Practice Center under Contract No. 290-02-0025.) AHRQ Publication No.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11-EHC063-EF. Rockville, MD: Agency for Healthcare Research and Quality. June 2011.</w:t>
            </w:r>
          </w:p>
          <w:p w14:paraId="4D7AD1C8" w14:textId="1AFC3BB2" w:rsidR="00225510" w:rsidRPr="008A11C3" w:rsidRDefault="00225510" w:rsidP="000B7EE6">
            <w:pPr>
              <w:numPr>
                <w:ilvl w:val="0"/>
                <w:numId w:val="9"/>
              </w:numPr>
              <w:ind w:left="180" w:hanging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Powers BJ,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Coeytaux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RR, Dolor RJ, et al. Updated report on comparative effectiveness of ACE inhibitors, ARBs, and direct renin inhibitors for patients with essential hypertension: much more data, little new information. J Gen Intern Med. 2012 Jun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;27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(6):716-29. PMID 22147122.</w:t>
            </w:r>
          </w:p>
        </w:tc>
        <w:tc>
          <w:tcPr>
            <w:tcW w:w="476" w:type="pct"/>
          </w:tcPr>
          <w:p w14:paraId="7BCEBD3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Antihyper-tensive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Medications Overview</w:t>
            </w:r>
          </w:p>
          <w:p w14:paraId="453F00B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[3/01/2013]</w:t>
            </w:r>
          </w:p>
        </w:tc>
        <w:tc>
          <w:tcPr>
            <w:tcW w:w="261" w:type="pct"/>
          </w:tcPr>
          <w:p w14:paraId="1D0A41D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D8DCB0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Overview of Hypertension in Adults</w:t>
            </w:r>
          </w:p>
          <w:p w14:paraId="03276705" w14:textId="043B088F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19A7D02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5E86D5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Hyper-tension 11/1/2012</w:t>
            </w:r>
          </w:p>
        </w:tc>
        <w:tc>
          <w:tcPr>
            <w:tcW w:w="254" w:type="pct"/>
          </w:tcPr>
          <w:p w14:paraId="50B85E6D" w14:textId="6DC6EA35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265" w:type="pct"/>
          </w:tcPr>
          <w:p w14:paraId="4C0B6D0A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635A4009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08029D60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675C16A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HTN</w:t>
            </w:r>
          </w:p>
          <w:p w14:paraId="52DE205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[7/15/2013]</w:t>
            </w:r>
          </w:p>
        </w:tc>
        <w:tc>
          <w:tcPr>
            <w:tcW w:w="261" w:type="pct"/>
          </w:tcPr>
          <w:p w14:paraId="2E8CA13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A858660" w14:textId="373FD704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Choices of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Therapy in Primary Hypertension</w:t>
            </w:r>
          </w:p>
          <w:p w14:paraId="0F80C22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59A6261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6112AB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6BA04B7A" w14:textId="2AC0F742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F7C6C78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2F07ED18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85790A2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725457E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First-line therapy for HTN</w:t>
            </w:r>
          </w:p>
          <w:p w14:paraId="28BC92C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[7/15/2013] </w:t>
            </w:r>
          </w:p>
        </w:tc>
        <w:tc>
          <w:tcPr>
            <w:tcW w:w="261" w:type="pct"/>
          </w:tcPr>
          <w:p w14:paraId="6557CB1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417E3C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38B78F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28AC131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6C661DA5" w14:textId="1E71AB1E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48C222D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191A9D28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E1F75E7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77FB03F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73D528B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538922C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4F08A5E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9D0844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6F705676" w14:textId="6943F381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3B1DA90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774F458A" w14:textId="77777777" w:rsidR="00225510" w:rsidRDefault="00225510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225510" w:rsidRPr="000B7EE6" w14:paraId="258A305A" w14:textId="77777777" w:rsidTr="00BC2089">
        <w:trPr>
          <w:cantSplit/>
          <w:trHeight w:val="16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4405974D" w14:textId="57428641" w:rsidR="00225510" w:rsidRPr="000B7EE6" w:rsidRDefault="00225510" w:rsidP="00BC2089">
            <w:pPr>
              <w:ind w:left="-61" w:right="-18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225510" w:rsidRPr="000B7EE6" w14:paraId="59F1C37D" w14:textId="77777777" w:rsidTr="00225510">
        <w:trPr>
          <w:cantSplit/>
          <w:trHeight w:val="164"/>
        </w:trPr>
        <w:tc>
          <w:tcPr>
            <w:tcW w:w="2585" w:type="pct"/>
          </w:tcPr>
          <w:p w14:paraId="1B9DB706" w14:textId="1A843EC1" w:rsidR="00225510" w:rsidRPr="000B7EE6" w:rsidRDefault="00225510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5E6833E6" w14:textId="77777777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0C831DF3" w14:textId="5E9BF931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1D20B2AB" w14:textId="20B3BBC6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2A374EC8" w14:textId="6D3A7635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0A73173A" w14:textId="26D61CCF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7C4EBC05" w14:textId="7F1BF5FB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6EB894A5" w14:textId="77777777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7390159B" w14:textId="3A2B5E86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7999DD02" w14:textId="2CD619C4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1EC07FC1" w14:textId="2CA73AF0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225510" w:rsidRPr="000B7EE6" w14:paraId="1EE81D47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2D0BCF04" w14:textId="591AE1A4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Ip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S, et al., Comparative Effectiveness of Management Strategies for Gastroesophageal Reflux Disease: Update. Comparative Effectiveness Review No. 29. (Prepared by Tufts Medical Center Evidence-based Practice Center under Contract No.  290-2007-10055-I.) AHRQ Publication No. 11-EHC049-EF. Rockville, MD: Agency for Health-care Research and Quality. September 2011.</w:t>
            </w:r>
          </w:p>
        </w:tc>
        <w:tc>
          <w:tcPr>
            <w:tcW w:w="476" w:type="pct"/>
          </w:tcPr>
          <w:p w14:paraId="39118AD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Gastro-esophageal Reflux Disease</w:t>
            </w:r>
          </w:p>
          <w:p w14:paraId="71094C4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[7/15/2013]</w:t>
            </w:r>
          </w:p>
        </w:tc>
        <w:tc>
          <w:tcPr>
            <w:tcW w:w="261" w:type="pct"/>
          </w:tcPr>
          <w:p w14:paraId="0CBF18C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A2668E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Management of GERD in Adults</w:t>
            </w:r>
          </w:p>
          <w:p w14:paraId="4E9435B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[7/22/2013]</w:t>
            </w:r>
          </w:p>
        </w:tc>
        <w:tc>
          <w:tcPr>
            <w:tcW w:w="261" w:type="pct"/>
            <w:shd w:val="clear" w:color="auto" w:fill="auto"/>
          </w:tcPr>
          <w:p w14:paraId="26DEBE9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</w:t>
            </w:r>
          </w:p>
        </w:tc>
        <w:tc>
          <w:tcPr>
            <w:tcW w:w="450" w:type="pct"/>
          </w:tcPr>
          <w:p w14:paraId="4A41CD3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GERD in Adults</w:t>
            </w:r>
          </w:p>
          <w:p w14:paraId="596B941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[6/30/2012]]</w:t>
            </w:r>
          </w:p>
        </w:tc>
        <w:tc>
          <w:tcPr>
            <w:tcW w:w="254" w:type="pct"/>
          </w:tcPr>
          <w:p w14:paraId="0F1C5A7F" w14:textId="5EB75AA9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DC87973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05CD3635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49B7E0DE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2E3A87B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1674E32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D3C069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22D4E4F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C61582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1D7F0039" w14:textId="03C4D594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C384574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225510" w:rsidRPr="000B7EE6" w14:paraId="1FE53644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2CA5322C" w14:textId="3CC94ECB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Chou, R., et al., Analgesics for Osteoarthritis: An Update of the 2006 Comparative Effectiveness Review. Comparative Effectiveness Review No. 38. (Prepared by the Oregon Evidence-based Practice Center under Contract No.  290 2007 10057 I) AHRQ Publication No. 11(12)-EHC076-EF. Rockville, MD: Agency for Healthcare Research and Quality. Oct. 2011</w:t>
            </w:r>
          </w:p>
        </w:tc>
        <w:tc>
          <w:tcPr>
            <w:tcW w:w="476" w:type="pct"/>
          </w:tcPr>
          <w:p w14:paraId="58828E2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Degenerative Joint Disease of Hip </w:t>
            </w:r>
          </w:p>
          <w:p w14:paraId="239596D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[11/29/2012] </w:t>
            </w:r>
          </w:p>
        </w:tc>
        <w:tc>
          <w:tcPr>
            <w:tcW w:w="261" w:type="pct"/>
          </w:tcPr>
          <w:p w14:paraId="3CC96471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51F19D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Pharm. therapy OA</w:t>
            </w:r>
          </w:p>
          <w:p w14:paraId="652E4DC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3C6B9A5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070E13B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Osteoarthritis</w:t>
            </w:r>
          </w:p>
          <w:p w14:paraId="421822B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[12/11/2010]</w:t>
            </w:r>
          </w:p>
        </w:tc>
        <w:tc>
          <w:tcPr>
            <w:tcW w:w="254" w:type="pct"/>
          </w:tcPr>
          <w:p w14:paraId="32F86CEB" w14:textId="5375F2E8" w:rsidR="00225510" w:rsidRPr="000B7EE6" w:rsidRDefault="00225510" w:rsidP="00FE0423">
            <w:pPr>
              <w:ind w:left="-43" w:right="-81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F77542D" w14:textId="77777777" w:rsidR="00225510" w:rsidRPr="000B7EE6" w:rsidRDefault="00225510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5DBCA678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375F822E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6611F06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Degenerative Joint Disease of Knee</w:t>
            </w:r>
          </w:p>
          <w:p w14:paraId="593FB8F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[5/7/2013] </w:t>
            </w:r>
          </w:p>
        </w:tc>
        <w:tc>
          <w:tcPr>
            <w:tcW w:w="261" w:type="pct"/>
          </w:tcPr>
          <w:p w14:paraId="7CA8B67F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F6E184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6DA541A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7D4FEA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413B5704" w14:textId="352569CC" w:rsidR="00225510" w:rsidRPr="000B7EE6" w:rsidRDefault="00225510" w:rsidP="00FE0423">
            <w:pPr>
              <w:ind w:left="-43" w:right="-81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C860D65" w14:textId="77777777" w:rsidR="00225510" w:rsidRPr="000B7EE6" w:rsidRDefault="00225510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03B57899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294B2E13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443358A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00DC0E81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525219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4C855BB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331C6EF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64DA8034" w14:textId="1BD48AEB" w:rsidR="00225510" w:rsidRPr="000B7EE6" w:rsidRDefault="00225510" w:rsidP="00FE0423">
            <w:pPr>
              <w:ind w:left="-43" w:right="-81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D752FBF" w14:textId="77777777" w:rsidR="00225510" w:rsidRPr="000B7EE6" w:rsidRDefault="00225510" w:rsidP="00FE0423">
            <w:pPr>
              <w:ind w:left="-61" w:right="-18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bookmarkStart w:id="3" w:name="_Toc384720979"/>
            <w:r w:rsidRPr="000B7EE6">
              <w:rPr>
                <w:rFonts w:ascii="Arial" w:eastAsia="Calibri" w:hAnsi="Arial" w:cs="Arial"/>
                <w:sz w:val="18"/>
                <w:szCs w:val="18"/>
              </w:rPr>
              <w:t>0</w:t>
            </w:r>
            <w:bookmarkEnd w:id="3"/>
          </w:p>
        </w:tc>
      </w:tr>
      <w:tr w:rsidR="00225510" w:rsidRPr="000B7EE6" w14:paraId="16FD5EE4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63E040A0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Butler M, et al., Effectiveness of Early Diagnosis, Prevention, and Treatment of </w:t>
            </w:r>
            <w:r w:rsidRPr="000B7EE6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Clostridium difficile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Infection. Comparative Effectiveness Review No. 31. (Prepared by the Minnesota Evidence-based Practice Center under Contract No. 290-02-0009.) AHRQ Publication No. 11(12)-EHC051-EF. Rockville, MD: Agency for Healthcare Research and Quality. December 2011.</w:t>
            </w:r>
          </w:p>
          <w:p w14:paraId="2D1C1910" w14:textId="6EDBEF5B" w:rsidR="00225510" w:rsidRPr="000B7EE6" w:rsidRDefault="00225510" w:rsidP="000B7E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Drekonja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DM, Butler M, MacDonald R, et al. Comparative effectiveness of Clostridium difficile treatments: a systematic review. Ann Intern Med. 2011 Dec 20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;155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(12):839-47. PMID 22184691.</w:t>
            </w:r>
          </w:p>
        </w:tc>
        <w:tc>
          <w:tcPr>
            <w:tcW w:w="476" w:type="pct"/>
          </w:tcPr>
          <w:p w14:paraId="29FA339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i/>
                <w:sz w:val="18"/>
                <w:szCs w:val="18"/>
              </w:rPr>
              <w:t>C. difficile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infection</w:t>
            </w:r>
          </w:p>
          <w:p w14:paraId="25623172" w14:textId="5C283DBA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[7/15/2013]</w:t>
            </w:r>
          </w:p>
        </w:tc>
        <w:tc>
          <w:tcPr>
            <w:tcW w:w="261" w:type="pct"/>
          </w:tcPr>
          <w:p w14:paraId="430F9A5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448" w:type="pct"/>
            <w:shd w:val="clear" w:color="auto" w:fill="auto"/>
          </w:tcPr>
          <w:p w14:paraId="489FB5D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C. difficile in Adults: clinical manifestation and diagnosis</w:t>
            </w:r>
          </w:p>
          <w:p w14:paraId="3210F87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5017C50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3AEE0C9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Clostridium difficile infection</w:t>
            </w:r>
          </w:p>
          <w:p w14:paraId="5966949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8/28/12</w:t>
            </w:r>
          </w:p>
        </w:tc>
        <w:tc>
          <w:tcPr>
            <w:tcW w:w="254" w:type="pct"/>
          </w:tcPr>
          <w:p w14:paraId="4F5E34A0" w14:textId="52D729B5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265" w:type="pct"/>
          </w:tcPr>
          <w:p w14:paraId="6C15AF92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1C81E32A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12E050E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2D84B4B7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5715A706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4B5632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C. difficile in Adults: Treatment</w:t>
            </w:r>
          </w:p>
          <w:p w14:paraId="6DA99E1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1F21D65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50" w:type="pct"/>
          </w:tcPr>
          <w:p w14:paraId="7029355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77F0A4CB" w14:textId="66C151A0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5EEFD8C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79FA5205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3DF48D09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69D376B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1" w:type="pct"/>
          </w:tcPr>
          <w:p w14:paraId="707F6D7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397D75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32CB50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5292BD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47832188" w14:textId="46B8FB89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CAA3D32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</w:tbl>
    <w:p w14:paraId="02E07865" w14:textId="77777777" w:rsidR="00225510" w:rsidRDefault="00225510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225510" w:rsidRPr="000B7EE6" w14:paraId="39B6B86A" w14:textId="77777777" w:rsidTr="00BC2089">
        <w:trPr>
          <w:cantSplit/>
          <w:trHeight w:val="26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607D15B5" w14:textId="0BCFF71E" w:rsidR="00225510" w:rsidRPr="000B7EE6" w:rsidRDefault="00225510" w:rsidP="00BC2089">
            <w:pPr>
              <w:ind w:left="-58" w:right="-14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225510" w:rsidRPr="000B7EE6" w14:paraId="30BC21B3" w14:textId="77777777" w:rsidTr="00225510">
        <w:trPr>
          <w:cantSplit/>
          <w:trHeight w:val="1659"/>
        </w:trPr>
        <w:tc>
          <w:tcPr>
            <w:tcW w:w="2585" w:type="pct"/>
          </w:tcPr>
          <w:p w14:paraId="2D532B4D" w14:textId="513FE429" w:rsidR="00225510" w:rsidRPr="000B7EE6" w:rsidRDefault="00225510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1B20D12A" w14:textId="77777777" w:rsidR="00225510" w:rsidRPr="000B7EE6" w:rsidRDefault="00225510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6AB10488" w14:textId="5504EAAF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2407D443" w14:textId="38AC1EC8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3E25A504" w14:textId="76D5BDEC" w:rsidR="00225510" w:rsidRPr="000B7EE6" w:rsidRDefault="00225510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5B66D5AC" w14:textId="4538536F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131FFE54" w14:textId="1CE5A005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3038995D" w14:textId="77777777" w:rsidR="00225510" w:rsidRPr="000B7EE6" w:rsidRDefault="00225510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4D6CA3FF" w14:textId="06604B72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5BDC526A" w14:textId="373B12E8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2E52921D" w14:textId="7051147D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225510" w:rsidRPr="000B7EE6" w14:paraId="26409995" w14:textId="77777777" w:rsidTr="00BC2089">
        <w:trPr>
          <w:cantSplit/>
          <w:trHeight w:val="1659"/>
        </w:trPr>
        <w:tc>
          <w:tcPr>
            <w:tcW w:w="2585" w:type="pct"/>
            <w:vMerge w:val="restart"/>
          </w:tcPr>
          <w:p w14:paraId="38C7F95B" w14:textId="268CCEA6" w:rsidR="00225510" w:rsidRPr="000B7EE6" w:rsidRDefault="00225510" w:rsidP="006229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Gartlehner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G, et al., Second-Generation Antidepressants in the Pharmacologic Treatment of Adult Depression: An Update of the 2007 Comparative Effectiveness Review. (Prepared by the RTI International–University of North Carolina Evidence-based Practice Center, Contract No. 290-2007-10056-I.) AHRQ Publication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No. 12-EHC012-EF. Rockville, MD: Agency for Healthcare Research and Quality. December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2011.</w:t>
            </w:r>
          </w:p>
          <w:p w14:paraId="6AB5F50B" w14:textId="2BD2B9E7" w:rsidR="00225510" w:rsidRPr="000B7EE6" w:rsidRDefault="00225510" w:rsidP="0062294C">
            <w:pPr>
              <w:ind w:left="247" w:hanging="247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Gartlehner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G, Hansen RA, Morgan LC, et al. Comparative benefits and harms of second-generation antidepressants for treating major depressive disorder: an updated meta-analysis. Ann Intern Med. 2011 Dec 6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;155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(11):772-85. PMID 22147715.</w:t>
            </w:r>
          </w:p>
          <w:p w14:paraId="618690CB" w14:textId="79034EE9" w:rsidR="00225510" w:rsidRPr="000B7EE6" w:rsidRDefault="00225510" w:rsidP="0062294C">
            <w:pPr>
              <w:ind w:left="247" w:hanging="247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b.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Thaler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KJ, Morgan LC, Van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Noord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M, et al. Comparative effectiveness of second-generation antidepressants for accompanying anxiety, insomnia, and pain in depressed patients. Depression and anxiety. 2012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;29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(6):495-505.</w:t>
            </w:r>
          </w:p>
          <w:p w14:paraId="026DA7DF" w14:textId="0B1D0212" w:rsidR="00225510" w:rsidRPr="000B7EE6" w:rsidRDefault="00225510" w:rsidP="0062294C">
            <w:pPr>
              <w:ind w:left="247" w:hanging="247"/>
              <w:rPr>
                <w:rFonts w:ascii="Plain Font" w:eastAsia="Calibri" w:hAnsi="Plain Font" w:cs="Plain Font"/>
                <w:sz w:val="18"/>
                <w:szCs w:val="18"/>
              </w:rPr>
            </w:pP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c. </w:t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ab/>
            </w: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Morgan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L,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Gartlehner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G. Comparative efficacy, effectiveness and harms of second-generation antidepressants in the pharmacologic treatment of adult depression. European Psychiatry. 2011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;26:1266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.</w:t>
            </w:r>
          </w:p>
          <w:p w14:paraId="43CDCD9C" w14:textId="0EF7359C" w:rsidR="00225510" w:rsidRPr="000B7EE6" w:rsidRDefault="00225510" w:rsidP="0062294C">
            <w:pPr>
              <w:ind w:left="247" w:hanging="247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d.</w:t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ab/>
            </w: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Morgan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L,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Gartlehner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G. Comparative benefits and harms of second-generation antidepressants in the pharmacologic treatment of depression in older adults and populations with comorbid conditions. European Psychiatry. 2012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;27:1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.</w:t>
            </w:r>
          </w:p>
        </w:tc>
        <w:tc>
          <w:tcPr>
            <w:tcW w:w="476" w:type="pct"/>
          </w:tcPr>
          <w:p w14:paraId="4955AAF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768CE00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57A867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Anti-depressant Medications in Adults: switching and discontinuing</w:t>
            </w:r>
          </w:p>
          <w:p w14:paraId="18865A7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7549D7D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50" w:type="pct"/>
          </w:tcPr>
          <w:p w14:paraId="2CE9D43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Depression in Adults</w:t>
            </w:r>
          </w:p>
          <w:p w14:paraId="217FAAC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[4/19/2012]</w:t>
            </w:r>
          </w:p>
        </w:tc>
        <w:tc>
          <w:tcPr>
            <w:tcW w:w="254" w:type="pct"/>
          </w:tcPr>
          <w:p w14:paraId="39C7A235" w14:textId="4B1C20FA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265" w:type="pct"/>
          </w:tcPr>
          <w:p w14:paraId="3AA6A624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5AAB5732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750AF31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0D5D97E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Antidepressant Efficacy in Depression</w:t>
            </w:r>
          </w:p>
          <w:p w14:paraId="4EC814EA" w14:textId="54C2C0EC" w:rsidR="00225510" w:rsidRPr="000B7EE6" w:rsidRDefault="00225510" w:rsidP="0062294C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[7/19/2013]</w:t>
            </w:r>
          </w:p>
        </w:tc>
        <w:tc>
          <w:tcPr>
            <w:tcW w:w="261" w:type="pct"/>
          </w:tcPr>
          <w:p w14:paraId="6CD729C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569954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Atypical Anti-depressants</w:t>
            </w:r>
          </w:p>
          <w:p w14:paraId="0E9169B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[7/16/2013]</w:t>
            </w:r>
          </w:p>
        </w:tc>
        <w:tc>
          <w:tcPr>
            <w:tcW w:w="261" w:type="pct"/>
            <w:shd w:val="clear" w:color="auto" w:fill="auto"/>
          </w:tcPr>
          <w:p w14:paraId="7B90600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50" w:type="pct"/>
          </w:tcPr>
          <w:p w14:paraId="6CC1A7C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5C4DEA56" w14:textId="1294C2F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423C0E1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0206CC69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7A3D02BC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119EE3E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Antidepressant Medication Overview</w:t>
            </w:r>
          </w:p>
          <w:p w14:paraId="1798F2B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[7/25/2013]</w:t>
            </w:r>
          </w:p>
        </w:tc>
        <w:tc>
          <w:tcPr>
            <w:tcW w:w="261" w:type="pct"/>
          </w:tcPr>
          <w:p w14:paraId="61A38D3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5A6CC50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Initial Treatment of Depression in Adults</w:t>
            </w:r>
          </w:p>
          <w:p w14:paraId="19CE8B4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23C233C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C49455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51F5F199" w14:textId="0509D34B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3425013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53BFBDF3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9DC9403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7E2715F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Depression</w:t>
            </w:r>
          </w:p>
          <w:p w14:paraId="3C81FA7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[7/19/2013]</w:t>
            </w:r>
          </w:p>
        </w:tc>
        <w:tc>
          <w:tcPr>
            <w:tcW w:w="261" w:type="pct"/>
          </w:tcPr>
          <w:p w14:paraId="6172BCB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9BE7A4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6B656EF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2D5F325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381B961D" w14:textId="21B6745E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55AB433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57903DAE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7DE700AB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2211A7D2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1A5FD4F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979F1F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0644F36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E3A089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33674FDC" w14:textId="25B7A381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D6F72B5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</w:tbl>
    <w:p w14:paraId="1E3C90DD" w14:textId="77777777" w:rsidR="00225510" w:rsidRDefault="00225510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225510" w:rsidRPr="000B7EE6" w14:paraId="1622BB4B" w14:textId="77777777" w:rsidTr="00BC2089">
        <w:trPr>
          <w:cantSplit/>
          <w:trHeight w:val="16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539BAC02" w14:textId="0E2972C6" w:rsidR="00225510" w:rsidRPr="000B7EE6" w:rsidRDefault="00225510" w:rsidP="00BC2089">
            <w:pPr>
              <w:ind w:left="-61" w:right="-18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225510" w:rsidRPr="000B7EE6" w14:paraId="0FA186D7" w14:textId="77777777" w:rsidTr="00225510">
        <w:trPr>
          <w:cantSplit/>
          <w:trHeight w:val="164"/>
        </w:trPr>
        <w:tc>
          <w:tcPr>
            <w:tcW w:w="2585" w:type="pct"/>
          </w:tcPr>
          <w:p w14:paraId="7BD62980" w14:textId="79D2149A" w:rsidR="00225510" w:rsidRPr="000B7EE6" w:rsidRDefault="00225510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0B6D4C2A" w14:textId="77777777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62031B1E" w14:textId="7B0F903E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2C344543" w14:textId="1F1D8214" w:rsidR="00225510" w:rsidRPr="000B7EE6" w:rsidRDefault="00225510" w:rsidP="00225510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4A13EDCA" w14:textId="00E3EB84" w:rsidR="00225510" w:rsidRPr="000B7EE6" w:rsidRDefault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6C51DC60" w14:textId="799644E2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1B804231" w14:textId="14DD7E87" w:rsidR="00225510" w:rsidRPr="000B7EE6" w:rsidRDefault="00225510" w:rsidP="00225510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104BAE3A" w14:textId="77777777" w:rsidR="00225510" w:rsidRPr="000B7EE6" w:rsidRDefault="00225510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22781A42" w14:textId="4267AEDA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74942240" w14:textId="1EABBB7C" w:rsidR="00225510" w:rsidRPr="000B7EE6" w:rsidRDefault="00225510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71F2EE01" w14:textId="3D44592A" w:rsidR="00225510" w:rsidRPr="000B7EE6" w:rsidRDefault="00225510" w:rsidP="00225510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225510" w:rsidRPr="000B7EE6" w14:paraId="1BD70D57" w14:textId="77777777" w:rsidTr="00BC2089">
        <w:trPr>
          <w:cantSplit/>
          <w:trHeight w:val="164"/>
        </w:trPr>
        <w:tc>
          <w:tcPr>
            <w:tcW w:w="2585" w:type="pct"/>
          </w:tcPr>
          <w:p w14:paraId="539B1154" w14:textId="718BE0D0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2011</w:t>
            </w:r>
          </w:p>
        </w:tc>
        <w:tc>
          <w:tcPr>
            <w:tcW w:w="476" w:type="pct"/>
          </w:tcPr>
          <w:p w14:paraId="7EF4AA8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0B3F66F9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A5E151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265B8A11" w14:textId="77777777" w:rsidR="00225510" w:rsidRPr="000B7EE6" w:rsidRDefault="00225510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20CC73F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5E8875C8" w14:textId="09B401C2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41B7151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08DA1393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24277F13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Seida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JC, et al. First- and Second-Generation Anti-psychotics for Children and Young Adults. Comparative Effectiveness Review No. 39. (Prepared by the University of Alberta Evidence-based Practice Center under Contract No. 290-2007-10021.) AHRQ Publication No. 11(12)-EHC077-EF. Rockville, MD. Agency for Healthcare Research and Quality. February 2012.</w:t>
            </w:r>
          </w:p>
          <w:p w14:paraId="1A42C5C9" w14:textId="4A3D8B58" w:rsidR="00225510" w:rsidRPr="000B7EE6" w:rsidRDefault="00225510" w:rsidP="006229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7" w:hanging="24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Seida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JC, Schouten JR,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Boylan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K, et al. Antipsychotics for children and young adults: a comparative effectiveness review. Pediatrics. 2012 Mar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;129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(3):e771-84. PMID 22351885.</w:t>
            </w:r>
          </w:p>
        </w:tc>
        <w:tc>
          <w:tcPr>
            <w:tcW w:w="476" w:type="pct"/>
          </w:tcPr>
          <w:p w14:paraId="0EAA673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Anti-psychotics</w:t>
            </w:r>
          </w:p>
          <w:p w14:paraId="3A478A5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[8/5/2013]</w:t>
            </w:r>
          </w:p>
        </w:tc>
        <w:tc>
          <w:tcPr>
            <w:tcW w:w="261" w:type="pct"/>
          </w:tcPr>
          <w:p w14:paraId="57D10F38" w14:textId="41720D2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A41B2D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Second Generation Antipsychotic medications</w:t>
            </w:r>
          </w:p>
          <w:p w14:paraId="157666E7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7A56775E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22E4DF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Schizophrenia </w:t>
            </w:r>
          </w:p>
          <w:p w14:paraId="2572613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[9/6/2007]</w:t>
            </w:r>
          </w:p>
        </w:tc>
        <w:tc>
          <w:tcPr>
            <w:tcW w:w="254" w:type="pct"/>
          </w:tcPr>
          <w:p w14:paraId="30074176" w14:textId="6D0A0F31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167093C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4BF33085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312D9A89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3D8E531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18163A4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7C57920" w14:textId="4188CC4D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First Generation Antipsychotic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medications</w:t>
            </w:r>
          </w:p>
          <w:p w14:paraId="5DC48C3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5844717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4C2181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Bipolar disorder</w:t>
            </w:r>
          </w:p>
          <w:p w14:paraId="3522B16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[2/5/2013]</w:t>
            </w:r>
          </w:p>
        </w:tc>
        <w:tc>
          <w:tcPr>
            <w:tcW w:w="254" w:type="pct"/>
          </w:tcPr>
          <w:p w14:paraId="0EFC72BF" w14:textId="2F96CCD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5CAB0F4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73644094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4B993AC7" w14:textId="77777777" w:rsidR="00225510" w:rsidRPr="000B7EE6" w:rsidRDefault="00225510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5070C3A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110FA67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0718B7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3F00B14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89D77C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6C08498E" w14:textId="0C97C273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4FAC500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225510" w:rsidRPr="000B7EE6" w14:paraId="3598A27D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680E54B7" w14:textId="4F6F756C" w:rsidR="00225510" w:rsidRPr="000B7EE6" w:rsidRDefault="00225510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Crandall CJ, et al. Treatment to Prevent Fractures in Men and Women with Low Bone Density or Osteoporosis: Update of a 2007 Report. Comparative Effectiveness Review No. 53. (Prepared by Southern California Evidence-based Practice Center under Contract No. -290-2007-10062-I.) Rockville, MD: Agency for Healthcare Research and Quality; March 2012.</w:t>
            </w:r>
          </w:p>
        </w:tc>
        <w:tc>
          <w:tcPr>
            <w:tcW w:w="476" w:type="pct"/>
          </w:tcPr>
          <w:p w14:paraId="08D4E05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Osteoporosis </w:t>
            </w:r>
          </w:p>
          <w:p w14:paraId="69AF9770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[7/29/2013]</w:t>
            </w:r>
          </w:p>
        </w:tc>
        <w:tc>
          <w:tcPr>
            <w:tcW w:w="261" w:type="pct"/>
          </w:tcPr>
          <w:p w14:paraId="10518D1D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39F5AD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Overview of Management of Osteoporosis in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Postmeno-pausal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Women</w:t>
            </w:r>
          </w:p>
        </w:tc>
        <w:tc>
          <w:tcPr>
            <w:tcW w:w="261" w:type="pct"/>
            <w:shd w:val="clear" w:color="auto" w:fill="auto"/>
          </w:tcPr>
          <w:p w14:paraId="336BD02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</w:t>
            </w:r>
          </w:p>
        </w:tc>
        <w:tc>
          <w:tcPr>
            <w:tcW w:w="450" w:type="pct"/>
          </w:tcPr>
          <w:p w14:paraId="4A1C516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Osteoporosis</w:t>
            </w:r>
          </w:p>
          <w:p w14:paraId="3B6C17A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[5/9/2013]</w:t>
            </w:r>
          </w:p>
        </w:tc>
        <w:tc>
          <w:tcPr>
            <w:tcW w:w="254" w:type="pct"/>
          </w:tcPr>
          <w:p w14:paraId="3CD4AB86" w14:textId="12309005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5C51A8E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5510" w:rsidRPr="000B7EE6" w14:paraId="557A659D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3B9E5447" w14:textId="77777777" w:rsidR="00225510" w:rsidRPr="000B7EE6" w:rsidRDefault="00225510" w:rsidP="000B7EE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76" w:type="pct"/>
          </w:tcPr>
          <w:p w14:paraId="4413EA7B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Bisphos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-phonates for Treatment and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Prev-ention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of Osteoporosis</w:t>
            </w:r>
          </w:p>
          <w:p w14:paraId="4B173D7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[4/6/2013]</w:t>
            </w:r>
          </w:p>
        </w:tc>
        <w:tc>
          <w:tcPr>
            <w:tcW w:w="261" w:type="pct"/>
          </w:tcPr>
          <w:p w14:paraId="559E9ED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4141051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Use of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Bisphospho-nates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in Postmenopausal Women </w:t>
            </w:r>
          </w:p>
        </w:tc>
        <w:tc>
          <w:tcPr>
            <w:tcW w:w="261" w:type="pct"/>
            <w:shd w:val="clear" w:color="auto" w:fill="auto"/>
          </w:tcPr>
          <w:p w14:paraId="766DDCE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</w:t>
            </w:r>
          </w:p>
        </w:tc>
        <w:tc>
          <w:tcPr>
            <w:tcW w:w="450" w:type="pct"/>
          </w:tcPr>
          <w:p w14:paraId="6FC1ADE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54" w:type="pct"/>
          </w:tcPr>
          <w:p w14:paraId="7438E169" w14:textId="030A6891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5" w:type="pct"/>
          </w:tcPr>
          <w:p w14:paraId="452C7467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225510" w:rsidRPr="000B7EE6" w14:paraId="4CAB3A8A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3991BD7" w14:textId="77777777" w:rsidR="00225510" w:rsidRPr="000B7EE6" w:rsidRDefault="00225510" w:rsidP="000B7EE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76" w:type="pct"/>
          </w:tcPr>
          <w:p w14:paraId="33CDDED9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1" w:type="pct"/>
          </w:tcPr>
          <w:p w14:paraId="7BEAF934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0673FF3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Treatment of Osteoporosis in</w:t>
            </w:r>
          </w:p>
          <w:p w14:paraId="140CEABA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Men</w:t>
            </w:r>
          </w:p>
        </w:tc>
        <w:tc>
          <w:tcPr>
            <w:tcW w:w="261" w:type="pct"/>
            <w:shd w:val="clear" w:color="auto" w:fill="auto"/>
          </w:tcPr>
          <w:p w14:paraId="4E95A3C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DBA13EC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54" w:type="pct"/>
          </w:tcPr>
          <w:p w14:paraId="469B1AFA" w14:textId="3A97A1F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5" w:type="pct"/>
          </w:tcPr>
          <w:p w14:paraId="4766C548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225510" w:rsidRPr="000B7EE6" w14:paraId="6FECB85E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FF1A2BD" w14:textId="77777777" w:rsidR="00225510" w:rsidRPr="000B7EE6" w:rsidRDefault="00225510" w:rsidP="000B7EE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76" w:type="pct"/>
          </w:tcPr>
          <w:p w14:paraId="53FD07FF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1" w:type="pct"/>
          </w:tcPr>
          <w:p w14:paraId="2D28AB96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C4B6D31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44A8A028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50" w:type="pct"/>
          </w:tcPr>
          <w:p w14:paraId="1414F095" w14:textId="77777777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54" w:type="pct"/>
          </w:tcPr>
          <w:p w14:paraId="025E33A3" w14:textId="769EF1B2" w:rsidR="00225510" w:rsidRPr="000B7EE6" w:rsidRDefault="00225510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5" w:type="pct"/>
          </w:tcPr>
          <w:p w14:paraId="72EFADD5" w14:textId="77777777" w:rsidR="00225510" w:rsidRPr="000B7EE6" w:rsidRDefault="00225510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4A1C6260" w14:textId="77777777" w:rsidR="005E3945" w:rsidRDefault="005E3945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5E3945" w:rsidRPr="000B7EE6" w14:paraId="565B537A" w14:textId="77777777" w:rsidTr="00BC2089">
        <w:trPr>
          <w:cantSplit/>
          <w:trHeight w:val="16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6DD9C4AF" w14:textId="538EF862" w:rsidR="005E3945" w:rsidRPr="000B7EE6" w:rsidRDefault="005E3945" w:rsidP="00BC2089">
            <w:pPr>
              <w:ind w:left="-61" w:right="-18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5E3945" w:rsidRPr="000B7EE6" w14:paraId="3D16C648" w14:textId="77777777" w:rsidTr="00225510">
        <w:trPr>
          <w:cantSplit/>
          <w:trHeight w:val="164"/>
        </w:trPr>
        <w:tc>
          <w:tcPr>
            <w:tcW w:w="2585" w:type="pct"/>
          </w:tcPr>
          <w:p w14:paraId="07132DDF" w14:textId="5F8F5DFB" w:rsidR="005E3945" w:rsidRPr="000B7EE6" w:rsidRDefault="005E3945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1A154545" w14:textId="77777777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05D38A60" w14:textId="3D0F2ECD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1F70277F" w14:textId="0A8333EF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666C19E9" w14:textId="42CEE645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2CA7E378" w14:textId="5C2AE16D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3FCE2C24" w14:textId="7416EE02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2EB5B3A5" w14:textId="77777777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638027BC" w14:textId="0BB99098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46813C26" w14:textId="68ECCDEA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66ED6A60" w14:textId="5FA47AC6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5E3945" w:rsidRPr="000B7EE6" w14:paraId="5EC3A586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6769E5CF" w14:textId="49151D93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Donahue KE, et al., Drug Therapy for Psoriatic Arthritis in Adults: Update of a 2007 Report. Comparative Effectiveness Review No. 54. (Prepared by RTI-UNC Evidence-based Practice Center under Contract No. 290-02-0016-I.) Rockville, MD: Agency for Healthcare Research and Quality; April 2012.</w:t>
            </w:r>
          </w:p>
        </w:tc>
        <w:tc>
          <w:tcPr>
            <w:tcW w:w="476" w:type="pct"/>
          </w:tcPr>
          <w:p w14:paraId="64A2132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Psoriatic arthritis</w:t>
            </w:r>
          </w:p>
        </w:tc>
        <w:tc>
          <w:tcPr>
            <w:tcW w:w="261" w:type="pct"/>
          </w:tcPr>
          <w:p w14:paraId="38C6DBE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3FEDE62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Treatment of for Psoriatic Arthritis</w:t>
            </w:r>
          </w:p>
          <w:p w14:paraId="24A2845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[7/1/2013]</w:t>
            </w:r>
          </w:p>
        </w:tc>
        <w:tc>
          <w:tcPr>
            <w:tcW w:w="261" w:type="pct"/>
            <w:shd w:val="clear" w:color="auto" w:fill="auto"/>
          </w:tcPr>
          <w:p w14:paraId="09BAC25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CBF205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Psoriatic Arthritis</w:t>
            </w:r>
          </w:p>
          <w:p w14:paraId="2B483FB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[1/8/2013]</w:t>
            </w:r>
          </w:p>
        </w:tc>
        <w:tc>
          <w:tcPr>
            <w:tcW w:w="254" w:type="pct"/>
          </w:tcPr>
          <w:p w14:paraId="0DC0F300" w14:textId="26FA1E43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E36FE39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2769372F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2B1F733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50651A1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51A7F2C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3318814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4E2425E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BCE259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0E841D0C" w14:textId="77D0716A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D5B0203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5E3945" w:rsidRPr="000B7EE6" w14:paraId="4C20D019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0A76D6ED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Donahue KE, et al., Drug Therapy for Rheumatoid Arthritis in Adults: An Update. Comparative Effectiveness Review No. 55. (Prepared by RTI-UNC Evidence-based Practice Center under Contract No. 290-02-0016-I.) Rockville, MD: Agency for Healthcare Research and Quality. April 2012.</w:t>
            </w:r>
          </w:p>
        </w:tc>
        <w:tc>
          <w:tcPr>
            <w:tcW w:w="476" w:type="pct"/>
          </w:tcPr>
          <w:p w14:paraId="0C1FF53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RA</w:t>
            </w:r>
          </w:p>
          <w:p w14:paraId="410E7AB9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[7/12/2013]</w:t>
            </w:r>
          </w:p>
        </w:tc>
        <w:tc>
          <w:tcPr>
            <w:tcW w:w="261" w:type="pct"/>
          </w:tcPr>
          <w:p w14:paraId="6386D2D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46534E75" w14:textId="6C4347AF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Overview: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Immuno</w:t>
            </w: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supressive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and disease-modifying drugs in RA</w:t>
            </w:r>
          </w:p>
          <w:p w14:paraId="04F5BBDE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6234F38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2470B2D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Rheumatoid Arthritis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</w:p>
          <w:p w14:paraId="12894ED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[7/29/2011]</w:t>
            </w:r>
          </w:p>
        </w:tc>
        <w:tc>
          <w:tcPr>
            <w:tcW w:w="254" w:type="pct"/>
          </w:tcPr>
          <w:p w14:paraId="38A2C0E3" w14:textId="7F9BF513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6CE8713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67E3DCBE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21DC3403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17C4244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Corticosteroids for RA</w:t>
            </w:r>
          </w:p>
          <w:p w14:paraId="5AB021F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[8/26/2012]</w:t>
            </w:r>
          </w:p>
        </w:tc>
        <w:tc>
          <w:tcPr>
            <w:tcW w:w="261" w:type="pct"/>
          </w:tcPr>
          <w:p w14:paraId="3214C638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2052DF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RA: General Principles of Mgmt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  <w:p w14:paraId="7BC1D5A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562DDE27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38B0557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5FCB5ACB" w14:textId="6B06A7FF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767102A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2B650EDA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2B985BC9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0F06040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NSAIDs for RA </w:t>
            </w:r>
          </w:p>
          <w:p w14:paraId="74D5BB3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[11/9/2012]</w:t>
            </w:r>
          </w:p>
        </w:tc>
        <w:tc>
          <w:tcPr>
            <w:tcW w:w="261" w:type="pct"/>
          </w:tcPr>
          <w:p w14:paraId="467B0C2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98F488E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Treatment of RA resistant to DMARD therapy in adults</w:t>
            </w:r>
          </w:p>
          <w:p w14:paraId="08DF557E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7ADF777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9F644D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27BC4360" w14:textId="2163E606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7C718E17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5ED08B7B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EF79CD5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5C4876D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Nonbiologic DMARDs</w:t>
            </w:r>
          </w:p>
          <w:p w14:paraId="6303D95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[6/19/2013] </w:t>
            </w:r>
          </w:p>
        </w:tc>
        <w:tc>
          <w:tcPr>
            <w:tcW w:w="261" w:type="pct"/>
          </w:tcPr>
          <w:p w14:paraId="25B4CFA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48EB0E7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11255E18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1977FD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0C0FE24D" w14:textId="097F81E0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869683B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3C5D1194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0183C4AE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371CF64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Biologic DMARDs</w:t>
            </w:r>
          </w:p>
          <w:p w14:paraId="6D206B3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[6/19/2013]</w:t>
            </w:r>
          </w:p>
        </w:tc>
        <w:tc>
          <w:tcPr>
            <w:tcW w:w="261" w:type="pct"/>
          </w:tcPr>
          <w:p w14:paraId="0FBEF4F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BC8F15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6E04EC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63A376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326B41FB" w14:textId="2EDDC056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7CF076F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2CD80D2C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97835F4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73BAADA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5BA4BB9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59BDFE5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68D3A2C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A179AB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1696EE5E" w14:textId="04A48AB9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743531B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</w:tbl>
    <w:p w14:paraId="57AFB9CB" w14:textId="77777777" w:rsidR="005E3945" w:rsidRDefault="005E3945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5E3945" w:rsidRPr="000B7EE6" w14:paraId="5A722144" w14:textId="77777777" w:rsidTr="00BC2089">
        <w:trPr>
          <w:cantSplit/>
          <w:trHeight w:val="16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13C728BA" w14:textId="57EA6831" w:rsidR="005E3945" w:rsidRPr="000B7EE6" w:rsidRDefault="005E3945" w:rsidP="00BC2089">
            <w:pPr>
              <w:ind w:left="-61" w:right="-18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5E3945" w:rsidRPr="000B7EE6" w14:paraId="6D0AB125" w14:textId="77777777" w:rsidTr="00225510">
        <w:trPr>
          <w:cantSplit/>
          <w:trHeight w:val="164"/>
        </w:trPr>
        <w:tc>
          <w:tcPr>
            <w:tcW w:w="2585" w:type="pct"/>
          </w:tcPr>
          <w:p w14:paraId="4C8EB463" w14:textId="6ACB0A9F" w:rsidR="005E3945" w:rsidRPr="000B7EE6" w:rsidRDefault="005E3945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0A635CF1" w14:textId="77777777" w:rsidR="005E3945" w:rsidRPr="000B7EE6" w:rsidRDefault="005E3945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19AB0B31" w14:textId="20F141AD" w:rsidR="005E3945" w:rsidRPr="00711543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51D90661" w14:textId="62713F32" w:rsidR="005E3945" w:rsidRPr="00711543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2D924798" w14:textId="1664AB34" w:rsidR="005E3945" w:rsidRPr="000B7EE6" w:rsidRDefault="005E3945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0DD69E31" w14:textId="5FD1514F" w:rsidR="005E3945" w:rsidRPr="00AC59A0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7D7F874D" w14:textId="7C291B49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5008CCAF" w14:textId="77777777" w:rsidR="005E3945" w:rsidRPr="000B7EE6" w:rsidRDefault="005E3945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20769C72" w14:textId="7CA13781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015C847B" w14:textId="4FDB3936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55530599" w14:textId="282EB54B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5E3945" w:rsidRPr="000B7EE6" w14:paraId="4EB6CCC2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777E2D11" w14:textId="4406E5EE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Seely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D, et al., Dietary Supplements in Adults Taking Cardiovascular Drugs. Comparative Effectiveness Review No. 51. (Prepared by the University of Ottawa Evidence-based Practice Center under Contract No.  290-2007-10059-I.) AHRQ Publication No. 12-EHC021-EF. Rockville, MD: Agency for Healthcare Research and Quality. April 2012.</w:t>
            </w:r>
          </w:p>
          <w:p w14:paraId="3E93EE72" w14:textId="4920A521" w:rsidR="005E3945" w:rsidRPr="000B7EE6" w:rsidRDefault="005E3945" w:rsidP="000B7EE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Kanji S,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Seely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D,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Yazdi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F, et al. Interactions of commonly used dietary supplements with cardiovascular drugs: a systematic review.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Syst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Rev. 2012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;1:26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. PMID 22651380.</w:t>
            </w:r>
          </w:p>
        </w:tc>
        <w:tc>
          <w:tcPr>
            <w:tcW w:w="476" w:type="pct"/>
          </w:tcPr>
          <w:p w14:paraId="10D97AAA" w14:textId="7991017B" w:rsidR="005E3945" w:rsidRDefault="005E3945" w:rsidP="0089466E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711543">
              <w:rPr>
                <w:rFonts w:ascii="Arial" w:eastAsia="Calibri" w:hAnsi="Arial" w:cs="Arial"/>
                <w:sz w:val="18"/>
                <w:szCs w:val="18"/>
              </w:rPr>
              <w:t>Dietary recommendations for cardiovascular disease prevention</w:t>
            </w:r>
          </w:p>
          <w:p w14:paraId="4FF34FCE" w14:textId="024393C5" w:rsidR="005E3945" w:rsidRPr="00711543" w:rsidRDefault="005E3945" w:rsidP="0089466E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[1/31/2014]</w:t>
            </w:r>
          </w:p>
        </w:tc>
        <w:tc>
          <w:tcPr>
            <w:tcW w:w="261" w:type="pct"/>
          </w:tcPr>
          <w:p w14:paraId="44496708" w14:textId="68098B6B" w:rsidR="005E3945" w:rsidRPr="00711543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9FE2B7D" w14:textId="5BDE5F2B" w:rsidR="005E3945" w:rsidRPr="000B7EE6" w:rsidRDefault="005E3945" w:rsidP="0089466E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59A0">
              <w:rPr>
                <w:rFonts w:ascii="Arial" w:eastAsia="Calibri" w:hAnsi="Arial" w:cs="Arial"/>
                <w:sz w:val="18"/>
                <w:szCs w:val="18"/>
              </w:rPr>
              <w:t>Lipid lowering with diet or dietary supplements [11/22/2013]</w:t>
            </w:r>
          </w:p>
        </w:tc>
        <w:tc>
          <w:tcPr>
            <w:tcW w:w="261" w:type="pct"/>
            <w:shd w:val="clear" w:color="auto" w:fill="auto"/>
          </w:tcPr>
          <w:p w14:paraId="16D71169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50" w:type="pct"/>
          </w:tcPr>
          <w:p w14:paraId="14397BF8" w14:textId="706289F2" w:rsidR="005E3945" w:rsidRPr="000B7EE6" w:rsidRDefault="005E3945" w:rsidP="0089466E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i/>
                <w:sz w:val="18"/>
                <w:szCs w:val="18"/>
              </w:rPr>
              <w:t>No relevan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t evidence summaries identified</w:t>
            </w:r>
          </w:p>
        </w:tc>
        <w:tc>
          <w:tcPr>
            <w:tcW w:w="254" w:type="pct"/>
          </w:tcPr>
          <w:p w14:paraId="7C55928F" w14:textId="0F385282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5" w:type="pct"/>
          </w:tcPr>
          <w:p w14:paraId="79E4845D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E3945" w:rsidRPr="000B7EE6" w14:paraId="7F9C29A1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5DA1ABF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76" w:type="pct"/>
          </w:tcPr>
          <w:p w14:paraId="75888F08" w14:textId="77777777" w:rsidR="005E3945" w:rsidRDefault="005E3945" w:rsidP="009D5CE9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711543">
              <w:rPr>
                <w:rFonts w:ascii="Arial" w:eastAsia="Calibri" w:hAnsi="Arial" w:cs="Arial"/>
                <w:sz w:val="18"/>
                <w:szCs w:val="18"/>
              </w:rPr>
              <w:t>Vitamin supplementation for cardiovascular disease prevention</w:t>
            </w:r>
          </w:p>
          <w:p w14:paraId="2B40FD49" w14:textId="12E41508" w:rsidR="005E3945" w:rsidRPr="00711543" w:rsidRDefault="005E3945" w:rsidP="009D5CE9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[3/4/2014]</w:t>
            </w:r>
          </w:p>
        </w:tc>
        <w:tc>
          <w:tcPr>
            <w:tcW w:w="261" w:type="pct"/>
          </w:tcPr>
          <w:p w14:paraId="7741A29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2C06BF10" w14:textId="6DFCA882" w:rsidR="005E3945" w:rsidRPr="00711543" w:rsidRDefault="005E3945" w:rsidP="00FE0423">
            <w:pPr>
              <w:ind w:left="-43" w:right="-81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711543">
              <w:rPr>
                <w:rFonts w:ascii="Arial" w:eastAsia="Calibri" w:hAnsi="Arial" w:cs="Arial"/>
                <w:sz w:val="18"/>
                <w:szCs w:val="18"/>
              </w:rPr>
              <w:t>Vitamin supplementation for disease prevention [1/13/2014]</w:t>
            </w:r>
          </w:p>
        </w:tc>
        <w:tc>
          <w:tcPr>
            <w:tcW w:w="261" w:type="pct"/>
            <w:shd w:val="clear" w:color="auto" w:fill="auto"/>
          </w:tcPr>
          <w:p w14:paraId="19DCA49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450" w:type="pct"/>
          </w:tcPr>
          <w:p w14:paraId="40A36EF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54" w:type="pct"/>
          </w:tcPr>
          <w:p w14:paraId="58E54E27" w14:textId="70F37421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5" w:type="pct"/>
          </w:tcPr>
          <w:p w14:paraId="6FF40622" w14:textId="77777777" w:rsidR="005E3945" w:rsidRPr="00252CAC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2CAC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5E3945" w:rsidRPr="000B7EE6" w14:paraId="04909458" w14:textId="77777777" w:rsidTr="00BC2089">
        <w:trPr>
          <w:cantSplit/>
          <w:trHeight w:val="164"/>
        </w:trPr>
        <w:tc>
          <w:tcPr>
            <w:tcW w:w="2585" w:type="pct"/>
          </w:tcPr>
          <w:p w14:paraId="24F5F941" w14:textId="046BCCDE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Shamliyan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T, et al., Non-surgical Treatments for Urinary Incontinence in Adult Women: Diagnosis and Comparative Effectiveness. Comparative Effectiveness Review No. 36. (Prepared by the University of Minnesota Evidence-based Practice Center under Contract No.  290-2007-10064-I.) AHRQ Publication No. 11(12)-EHC074- EF. Rockville, MD. Agency for Healthcare Research and Quality. April 2012.</w:t>
            </w:r>
          </w:p>
          <w:p w14:paraId="0B67FE85" w14:textId="016D0E3C" w:rsidR="005E3945" w:rsidRPr="000B7EE6" w:rsidRDefault="005E3945" w:rsidP="000B7EE6">
            <w:pPr>
              <w:autoSpaceDE w:val="0"/>
              <w:autoSpaceDN w:val="0"/>
              <w:adjustRightInd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a.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Shamliyan</w:t>
            </w:r>
            <w:proofErr w:type="spellEnd"/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T, Wyman JF,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Ramakrishnan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R, et al. Benefits and harms of pharmacologic treatment for urinary incontinence in women: a systematic review. Ann Intern Med. 2012 Jun 19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;156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(12):861-74, W301-10. PMID 22711079.</w:t>
            </w:r>
          </w:p>
          <w:p w14:paraId="2F9BE7DE" w14:textId="2843AF7A" w:rsidR="005E3945" w:rsidRPr="000B7EE6" w:rsidRDefault="005E3945" w:rsidP="000B7EE6">
            <w:pPr>
              <w:autoSpaceDE w:val="0"/>
              <w:autoSpaceDN w:val="0"/>
              <w:adjustRightInd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b.</w:t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Shamliyan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TA, Kane RL, Wyman J, et al. Results availability from clinical research of female urinary incontinence.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Neurourol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Urodyn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>. 2012 Jan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;31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(1):22-9. PMID 22038753.</w:t>
            </w:r>
          </w:p>
        </w:tc>
        <w:tc>
          <w:tcPr>
            <w:tcW w:w="476" w:type="pct"/>
          </w:tcPr>
          <w:p w14:paraId="0B1B084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Urinary Incontinence in Women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</w:p>
          <w:p w14:paraId="2719D427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[7/29/2013]</w:t>
            </w:r>
          </w:p>
        </w:tc>
        <w:tc>
          <w:tcPr>
            <w:tcW w:w="261" w:type="pct"/>
          </w:tcPr>
          <w:p w14:paraId="24ECAAC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</w:t>
            </w:r>
          </w:p>
        </w:tc>
        <w:tc>
          <w:tcPr>
            <w:tcW w:w="448" w:type="pct"/>
            <w:shd w:val="clear" w:color="auto" w:fill="auto"/>
          </w:tcPr>
          <w:p w14:paraId="26600FC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Treatment of for Urinary Incontinence in Women</w:t>
            </w:r>
          </w:p>
          <w:p w14:paraId="4E4AE2D8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29ED5B3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R, J(a)</w:t>
            </w:r>
          </w:p>
        </w:tc>
        <w:tc>
          <w:tcPr>
            <w:tcW w:w="450" w:type="pct"/>
          </w:tcPr>
          <w:p w14:paraId="11D182FC" w14:textId="53078655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Urinary Incontinence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</w:p>
          <w:p w14:paraId="2D9AB8E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[12/17/2010]</w:t>
            </w:r>
          </w:p>
          <w:p w14:paraId="23B3D74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4556671B" w14:textId="134C1C2C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1EBE4603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68813DC4" w14:textId="77777777" w:rsidTr="00BC2089">
        <w:trPr>
          <w:cantSplit/>
          <w:trHeight w:val="164"/>
        </w:trPr>
        <w:tc>
          <w:tcPr>
            <w:tcW w:w="2585" w:type="pct"/>
          </w:tcPr>
          <w:p w14:paraId="2BCF6E99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4FD2B31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612CFBC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15C2EDC3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722812B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06634EF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2AD890F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13E9259" w14:textId="412B7573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</w:tbl>
    <w:p w14:paraId="181A8617" w14:textId="77777777" w:rsidR="005E3945" w:rsidRDefault="005E3945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5E3945" w:rsidRPr="000B7EE6" w14:paraId="3AD05531" w14:textId="77777777" w:rsidTr="00BC2089">
        <w:trPr>
          <w:cantSplit/>
          <w:trHeight w:val="16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5A3EEB28" w14:textId="3B2A02B5" w:rsidR="005E3945" w:rsidRPr="000B7EE6" w:rsidRDefault="005E3945" w:rsidP="00BC2089">
            <w:pPr>
              <w:ind w:left="-61" w:right="-18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5E3945" w:rsidRPr="000B7EE6" w14:paraId="0C0B0662" w14:textId="77777777" w:rsidTr="00225510">
        <w:trPr>
          <w:cantSplit/>
          <w:trHeight w:val="164"/>
        </w:trPr>
        <w:tc>
          <w:tcPr>
            <w:tcW w:w="2585" w:type="pct"/>
          </w:tcPr>
          <w:p w14:paraId="08E4A615" w14:textId="5E45D8B8" w:rsidR="005E3945" w:rsidRPr="000B7EE6" w:rsidRDefault="005E3945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3897FBE9" w14:textId="77777777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46C4393D" w14:textId="39A7F728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70D4A92E" w14:textId="7BC18761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4A7389E0" w14:textId="2F08A96E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296B499E" w14:textId="4D7D36F5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13F3E846" w14:textId="57B23403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6A823D37" w14:textId="77777777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0F228FE9" w14:textId="217356ED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3BF7A640" w14:textId="60DA83CF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26B1BF77" w14:textId="39FF8181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5E3945" w:rsidRPr="000B7EE6" w14:paraId="75EFED6A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3997B0BC" w14:textId="22EDCE92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Golden SH, Brown T,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Yeh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HC,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Maruthur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N,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Ranasinghe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P, Berger Z,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Suh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Y, Wilson LM,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Haberl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EB, Bass EB. Methods for Insulin Delivery and Glucose Monitoring: Comparative Effectiveness. Comparative Effectiveness Review No. 57. (Prepared by Johns Hopkins University Evidence-based Practice Center under Contract No. 290-2007-10061-I.) AHRQ Publication No. 12-EHC036-EF. Rockville, MD: Agency for Healthcare Research and Quality. July 2012.</w:t>
            </w:r>
          </w:p>
          <w:p w14:paraId="0B64020E" w14:textId="677BDD10" w:rsidR="005E3945" w:rsidRPr="000B7EE6" w:rsidRDefault="005E3945" w:rsidP="000B7EE6">
            <w:pPr>
              <w:autoSpaceDE w:val="0"/>
              <w:autoSpaceDN w:val="0"/>
              <w:adjustRightInd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a.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Yeh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HC, Brown TT,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Maruthur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N, et al. Comparative effectiveness and safety of methods of insulin delivery and glucose monitoring for diabetes mellitus: a systematic review and meta-analysis. Ann Intern Med. 2012 Sep 4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;157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(5):336-47. PMID 22777524.</w:t>
            </w:r>
          </w:p>
          <w:p w14:paraId="16AF79D4" w14:textId="02081DC3" w:rsidR="005E3945" w:rsidRPr="000B7EE6" w:rsidRDefault="005E3945" w:rsidP="000B7EE6">
            <w:pPr>
              <w:autoSpaceDE w:val="0"/>
              <w:autoSpaceDN w:val="0"/>
              <w:adjustRightInd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b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Golden SH, Sapir T. Methods for insulin delivery and glucose monitoring in diabetes: summary of a comparative effectiveness review. J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Manag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Care Pharm. 2012 Aug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;18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(6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Suppl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>):S1-17. PMID 22984955.</w:t>
            </w:r>
          </w:p>
        </w:tc>
        <w:tc>
          <w:tcPr>
            <w:tcW w:w="476" w:type="pct"/>
          </w:tcPr>
          <w:p w14:paraId="64E169F8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Glucose monitoring</w:t>
            </w:r>
          </w:p>
          <w:p w14:paraId="6D54920C" w14:textId="6C21FD82" w:rsidR="005E3945" w:rsidRPr="0062294C" w:rsidRDefault="005E3945" w:rsidP="0062294C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[5/20/2013]</w:t>
            </w:r>
          </w:p>
        </w:tc>
        <w:tc>
          <w:tcPr>
            <w:tcW w:w="261" w:type="pct"/>
          </w:tcPr>
          <w:p w14:paraId="6073D24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56574B5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Blood Glucose Self-monitoring in the Manage-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ment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of Adults with</w:t>
            </w: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Diabetes mellitus</w:t>
            </w:r>
          </w:p>
          <w:p w14:paraId="6DF2C02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14C310D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 (a)</w:t>
            </w:r>
          </w:p>
        </w:tc>
        <w:tc>
          <w:tcPr>
            <w:tcW w:w="450" w:type="pct"/>
          </w:tcPr>
          <w:p w14:paraId="1A6A764E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Diabetes overview</w:t>
            </w:r>
          </w:p>
          <w:p w14:paraId="0149528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[7/30/2013]</w:t>
            </w:r>
          </w:p>
        </w:tc>
        <w:tc>
          <w:tcPr>
            <w:tcW w:w="254" w:type="pct"/>
          </w:tcPr>
          <w:p w14:paraId="74EF9D64" w14:textId="080FEE4C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77606CF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4E1F0810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07400E2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4D529DD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Insulin management</w:t>
            </w:r>
          </w:p>
          <w:p w14:paraId="757F173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[7/26/2013]</w:t>
            </w:r>
          </w:p>
        </w:tc>
        <w:tc>
          <w:tcPr>
            <w:tcW w:w="261" w:type="pct"/>
          </w:tcPr>
          <w:p w14:paraId="27AAF42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</w:t>
            </w:r>
          </w:p>
        </w:tc>
        <w:tc>
          <w:tcPr>
            <w:tcW w:w="448" w:type="pct"/>
            <w:shd w:val="clear" w:color="auto" w:fill="auto"/>
          </w:tcPr>
          <w:p w14:paraId="646514D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14DC8CE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C16B19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Diabetes Mellitus Type 1 in Adults</w:t>
            </w:r>
          </w:p>
          <w:p w14:paraId="3DA6E93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[12/28/2011]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" w:type="pct"/>
          </w:tcPr>
          <w:p w14:paraId="474E694E" w14:textId="2CF15381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262AAC41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537E9F9B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7852E79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6B54979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27479E0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186FC5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328A6D9E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039C171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Diabetes Mellitus type 2 in Adults</w:t>
            </w:r>
          </w:p>
          <w:p w14:paraId="162EF11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[5/11/2012]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" w:type="pct"/>
          </w:tcPr>
          <w:p w14:paraId="21E4AB42" w14:textId="1D1A4FD1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C8ACA45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54414D15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3BBDDA12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7D63B96E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75CDA97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DEA573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2220E3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7F871C7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7D5C7ABD" w14:textId="3A6B723C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FDD9F9E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E3945" w:rsidRPr="000B7EE6" w14:paraId="51B5542F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683712EA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Hartling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L, et al., Screening and Diagnosing Gestational Diabetes Mellitus. Evidence Report/Technology Assessment No. 210. (Prepared by the University of Alberta Evidence-based Practice Center under Contract No. 290-2007-10021-I.) AHRQ Publication No. 12(13)-E021-EF. Rockville, MD: Agency for Healthcare Research and Quality. October 2012.</w:t>
            </w:r>
          </w:p>
          <w:p w14:paraId="23DD979E" w14:textId="0548FFCF" w:rsidR="005E3945" w:rsidRPr="000B7EE6" w:rsidRDefault="005E3945" w:rsidP="000B7EE6">
            <w:pPr>
              <w:autoSpaceDE w:val="0"/>
              <w:autoSpaceDN w:val="0"/>
              <w:adjustRightInd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a.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Hartling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L, Dryden DM, Guthrie A, et al. Benefits and Harms of Treating Gestational Diabetes Mellitus: A Systematic Review and Meta-analysis for the U.S. Preventive Services Task Force and the National Institutes of Health Office of Medical Applications of Research. Ann Intern Med. 2013 Jul 16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;159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(2):123-9. PMID 23712381.</w:t>
            </w:r>
          </w:p>
          <w:p w14:paraId="070E3E80" w14:textId="3B2697A4" w:rsidR="005E3945" w:rsidRPr="000B7EE6" w:rsidRDefault="005E3945" w:rsidP="000B7EE6">
            <w:pPr>
              <w:autoSpaceDE w:val="0"/>
              <w:autoSpaceDN w:val="0"/>
              <w:adjustRightInd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b.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>Donovan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L,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Hartling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L,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Muise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M, et al. Screening tests for gestational diabetes: a systematic review for the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u.s.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Preventive services task force. Ann Intern Med. 2013 Jul 16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;159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(2):115-22. PMID 23712349.</w:t>
            </w:r>
          </w:p>
        </w:tc>
        <w:tc>
          <w:tcPr>
            <w:tcW w:w="476" w:type="pct"/>
          </w:tcPr>
          <w:p w14:paraId="48806D8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333333"/>
                <w:sz w:val="18"/>
                <w:szCs w:val="18"/>
              </w:rPr>
              <w:t>Gestational diabetes mellitus (GDM)</w:t>
            </w:r>
          </w:p>
          <w:p w14:paraId="654A5E12" w14:textId="0F52F5A3" w:rsidR="005E3945" w:rsidRPr="0089466E" w:rsidRDefault="005E3945" w:rsidP="0089466E">
            <w:pPr>
              <w:ind w:left="-43" w:right="-81"/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333333"/>
                <w:sz w:val="18"/>
                <w:szCs w:val="18"/>
              </w:rPr>
              <w:t>[7/22/2013]</w:t>
            </w:r>
          </w:p>
        </w:tc>
        <w:tc>
          <w:tcPr>
            <w:tcW w:w="261" w:type="pct"/>
          </w:tcPr>
          <w:p w14:paraId="51BD201B" w14:textId="7CA63744" w:rsidR="005E3945" w:rsidRPr="000B7EE6" w:rsidRDefault="005E3945" w:rsidP="0089466E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 (a)</w:t>
            </w:r>
          </w:p>
        </w:tc>
        <w:tc>
          <w:tcPr>
            <w:tcW w:w="448" w:type="pct"/>
            <w:shd w:val="clear" w:color="auto" w:fill="auto"/>
          </w:tcPr>
          <w:p w14:paraId="5F859ED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Screening and Diagnosis of Diabetes Mellitus during Pregnancy</w:t>
            </w:r>
          </w:p>
          <w:p w14:paraId="242AD78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1A9B057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R, J (b)</w:t>
            </w:r>
          </w:p>
        </w:tc>
        <w:tc>
          <w:tcPr>
            <w:tcW w:w="450" w:type="pct"/>
          </w:tcPr>
          <w:p w14:paraId="482DCBF9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Gestational Diabetes</w:t>
            </w:r>
          </w:p>
          <w:p w14:paraId="1FF6E13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[9/5/2012]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" w:type="pct"/>
          </w:tcPr>
          <w:p w14:paraId="5D2A683F" w14:textId="7136E85B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3EEE295B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7B1286FA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346B7DE5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1AC98679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61" w:type="pct"/>
          </w:tcPr>
          <w:p w14:paraId="40387FF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5292D0F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6566AB0E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2EBD1B7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27D29259" w14:textId="6C042A66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4452112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552E71D4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10D1240D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4260CA88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61" w:type="pct"/>
          </w:tcPr>
          <w:p w14:paraId="1646AC0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3041921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5E8E02C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090E3DC7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0264C3D4" w14:textId="5E29E3EE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EB948E5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</w:tbl>
    <w:p w14:paraId="2518E600" w14:textId="77777777" w:rsidR="005E3945" w:rsidRDefault="005E3945">
      <w:r>
        <w:br w:type="page"/>
      </w:r>
    </w:p>
    <w:tbl>
      <w:tblPr>
        <w:tblStyle w:val="TableGrid12"/>
        <w:tblW w:w="1344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950"/>
        <w:gridCol w:w="1279"/>
        <w:gridCol w:w="702"/>
        <w:gridCol w:w="1205"/>
        <w:gridCol w:w="702"/>
        <w:gridCol w:w="1210"/>
        <w:gridCol w:w="683"/>
        <w:gridCol w:w="713"/>
      </w:tblGrid>
      <w:tr w:rsidR="005E3945" w:rsidRPr="000B7EE6" w14:paraId="4FDD343A" w14:textId="77777777" w:rsidTr="00BC2089">
        <w:trPr>
          <w:cantSplit/>
          <w:trHeight w:val="16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9AD7E90" w14:textId="45B6361E" w:rsidR="005E3945" w:rsidRPr="000B7EE6" w:rsidRDefault="005E3945" w:rsidP="00BC2089">
            <w:pPr>
              <w:ind w:left="-61" w:right="-18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B1. Review of point-of-care tool evidence summaries for EPC CER citations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5E3945" w:rsidRPr="000B7EE6" w14:paraId="75A750B0" w14:textId="77777777" w:rsidTr="00225510">
        <w:trPr>
          <w:cantSplit/>
          <w:trHeight w:val="164"/>
        </w:trPr>
        <w:tc>
          <w:tcPr>
            <w:tcW w:w="2585" w:type="pct"/>
          </w:tcPr>
          <w:p w14:paraId="25D58723" w14:textId="66285383" w:rsidR="005E3945" w:rsidRPr="000B7EE6" w:rsidRDefault="005E3945" w:rsidP="00BC20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CER Report and Associated Journal Article(s)</w:t>
            </w:r>
          </w:p>
        </w:tc>
        <w:tc>
          <w:tcPr>
            <w:tcW w:w="476" w:type="pct"/>
          </w:tcPr>
          <w:p w14:paraId="3418A5F4" w14:textId="77777777" w:rsidR="005E3945" w:rsidRPr="000B7EE6" w:rsidRDefault="005E3945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DynaMed Relevant Evidence Summary</w:t>
            </w:r>
          </w:p>
          <w:p w14:paraId="0BAE1432" w14:textId="30A3418E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</w:tcPr>
          <w:p w14:paraId="30498AC5" w14:textId="0216BC1B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48" w:type="pct"/>
            <w:shd w:val="clear" w:color="auto" w:fill="auto"/>
          </w:tcPr>
          <w:p w14:paraId="3D3B1147" w14:textId="7A58BBFF" w:rsidR="005E3945" w:rsidRPr="000B7EE6" w:rsidRDefault="005E3945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</w:t>
            </w:r>
            <w:r w:rsidR="00CF5B6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oDate</w:t>
            </w:r>
            <w:proofErr w:type="spellEnd"/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Relevant Evidence Summary</w:t>
            </w:r>
          </w:p>
          <w:p w14:paraId="105D81C9" w14:textId="1E12B6DA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61" w:type="pct"/>
            <w:shd w:val="clear" w:color="auto" w:fill="auto"/>
          </w:tcPr>
          <w:p w14:paraId="6E48A3CE" w14:textId="4EFD7C72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450" w:type="pct"/>
          </w:tcPr>
          <w:p w14:paraId="6D9C048B" w14:textId="77777777" w:rsidR="005E3945" w:rsidRPr="000B7EE6" w:rsidRDefault="005E3945" w:rsidP="00CE0247">
            <w:pPr>
              <w:ind w:left="-61" w:right="-1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First Consult Relevant Evidence Summary</w:t>
            </w:r>
          </w:p>
          <w:p w14:paraId="73C100FB" w14:textId="15672E40" w:rsidR="005E3945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[Date]</w:t>
            </w:r>
          </w:p>
        </w:tc>
        <w:tc>
          <w:tcPr>
            <w:tcW w:w="254" w:type="pct"/>
          </w:tcPr>
          <w:p w14:paraId="4E4F93A5" w14:textId="32661A5A" w:rsidR="005E3945" w:rsidRPr="000B7EE6" w:rsidRDefault="005E3945" w:rsidP="00BC2089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Cited</w:t>
            </w:r>
          </w:p>
        </w:tc>
        <w:tc>
          <w:tcPr>
            <w:tcW w:w="265" w:type="pct"/>
          </w:tcPr>
          <w:p w14:paraId="5DE00186" w14:textId="120DC504" w:rsidR="005E3945" w:rsidRPr="000B7EE6" w:rsidRDefault="005E3945" w:rsidP="005E3945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POCs Citing</w:t>
            </w:r>
          </w:p>
        </w:tc>
      </w:tr>
      <w:tr w:rsidR="005E3945" w:rsidRPr="000B7EE6" w14:paraId="5FAB585D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71D1AD5A" w14:textId="1A17FB85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Shamliyan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TA, Wang S-Y, Olson-Kellogg B, Kane RL. Physical Therapy Interventions for Knee Pain Secondary to Osteoarthritis. Comparative Effectiveness Review No.77. (Prepared by the Minnesota Evidence-based Practice Center under Contract No. 290-2007-10064-I.) AHRQ Publication No. 12(13)-EHC115-EF. Rockville, MD: Agency for Healthcare Research and Quality; November 2012.</w:t>
            </w:r>
          </w:p>
          <w:p w14:paraId="13F43FA6" w14:textId="47214EED" w:rsidR="005E3945" w:rsidRPr="000B7EE6" w:rsidRDefault="005E3945" w:rsidP="000B7EE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Wang SY, Olson-Kellogg B,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Shamliyan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TA, et al. Physical therapy interventions for knee pain secondary to osteoarthritis: a systematic review. Ann Intern Med. 2012 Nov 6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;157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(9):632-44. PMID 23128863.</w:t>
            </w:r>
          </w:p>
        </w:tc>
        <w:tc>
          <w:tcPr>
            <w:tcW w:w="476" w:type="pct"/>
          </w:tcPr>
          <w:p w14:paraId="1C3A70A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Degenerative Joint Disease of the Knee</w:t>
            </w:r>
          </w:p>
          <w:p w14:paraId="08FFF2F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[5/7/2013]</w:t>
            </w:r>
          </w:p>
        </w:tc>
        <w:tc>
          <w:tcPr>
            <w:tcW w:w="261" w:type="pct"/>
          </w:tcPr>
          <w:p w14:paraId="5E178CD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48841CE1" w14:textId="0FA32FBB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Nonpharma</w:t>
            </w: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cologic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Therapy for OA</w:t>
            </w:r>
          </w:p>
          <w:p w14:paraId="0F54C3BA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41E55DD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74D951D" w14:textId="56812632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E2E2E"/>
                <w:sz w:val="18"/>
                <w:szCs w:val="18"/>
              </w:rPr>
              <w:t>Osteo</w:t>
            </w: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arthritis</w:t>
            </w:r>
          </w:p>
          <w:p w14:paraId="165E401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[12/11/2010]</w:t>
            </w:r>
          </w:p>
        </w:tc>
        <w:tc>
          <w:tcPr>
            <w:tcW w:w="254" w:type="pct"/>
          </w:tcPr>
          <w:p w14:paraId="38CE9CC9" w14:textId="67578FD1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69619559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215D0E13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4B69CA3E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348079E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3FD244E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0AB0B0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3CD381C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925C46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58EB4E19" w14:textId="038DC3FF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561FE9E6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5E3945" w:rsidRPr="000B7EE6" w14:paraId="65B4D662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09F1A980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Wilt TJ, et al., Treatment for Restless Legs Syndrome. Comparative Effectiveness Review No. 86. (Prepared by the Minnesota Evidence-based Practice Center under Contract No. 290-2007-10064-I.) AHRQ Publication No. 12(13)-EHC147-EF. Rockville, MD: Agency for Healthcare Research and Quality. November 2012.</w:t>
            </w:r>
          </w:p>
          <w:p w14:paraId="170048A1" w14:textId="3EB8D655" w:rsidR="005E3945" w:rsidRPr="000B7EE6" w:rsidRDefault="005E3945" w:rsidP="000B7E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>Wilt TJ, MacDonald R, Ouellette J, et al. Pharmacologic therapy for primary restless legs syndrome: a systematic review and meta-analysis. JAMA Intern Med. 2013 Apr 8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;173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(7):496-505. PMID 23460396.</w:t>
            </w:r>
          </w:p>
        </w:tc>
        <w:tc>
          <w:tcPr>
            <w:tcW w:w="476" w:type="pct"/>
          </w:tcPr>
          <w:p w14:paraId="00EEF3A7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Restless Legs Syndrome</w:t>
            </w:r>
          </w:p>
          <w:p w14:paraId="6A05F2C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[3/7/2013]</w:t>
            </w:r>
          </w:p>
        </w:tc>
        <w:tc>
          <w:tcPr>
            <w:tcW w:w="261" w:type="pct"/>
          </w:tcPr>
          <w:p w14:paraId="013ED2F3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22F646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Treatment of Restless Legs Syndrome in Adults</w:t>
            </w:r>
          </w:p>
          <w:p w14:paraId="4F2ACE9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[7/23/2013]</w:t>
            </w:r>
          </w:p>
        </w:tc>
        <w:tc>
          <w:tcPr>
            <w:tcW w:w="261" w:type="pct"/>
            <w:shd w:val="clear" w:color="auto" w:fill="auto"/>
          </w:tcPr>
          <w:p w14:paraId="3844EEC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</w:t>
            </w:r>
          </w:p>
        </w:tc>
        <w:tc>
          <w:tcPr>
            <w:tcW w:w="450" w:type="pct"/>
          </w:tcPr>
          <w:p w14:paraId="4789BD7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Restless Legs Syndrome</w:t>
            </w:r>
          </w:p>
          <w:p w14:paraId="0A3617E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[7/31/2011]</w:t>
            </w:r>
          </w:p>
        </w:tc>
        <w:tc>
          <w:tcPr>
            <w:tcW w:w="254" w:type="pct"/>
          </w:tcPr>
          <w:p w14:paraId="5840EAEA" w14:textId="7D51B30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D80EA99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2F29FCA8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65914F88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12A4FDC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5EA7BDC9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428BEB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0A28F4C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60444E83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4" w:type="pct"/>
          </w:tcPr>
          <w:p w14:paraId="3784E2F7" w14:textId="49B1489D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003DC60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5E3945" w:rsidRPr="000B7EE6" w14:paraId="02C70716" w14:textId="77777777" w:rsidTr="00BC2089">
        <w:trPr>
          <w:cantSplit/>
          <w:trHeight w:val="164"/>
        </w:trPr>
        <w:tc>
          <w:tcPr>
            <w:tcW w:w="2585" w:type="pct"/>
          </w:tcPr>
          <w:p w14:paraId="78CE9232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2013</w:t>
            </w:r>
          </w:p>
        </w:tc>
        <w:tc>
          <w:tcPr>
            <w:tcW w:w="476" w:type="pct"/>
          </w:tcPr>
          <w:p w14:paraId="27CB75A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436E2020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72D340E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2D6D5FCB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800B70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2E7B526D" w14:textId="5599D88D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C15FE3B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389F766E" w14:textId="77777777" w:rsidTr="00BC2089">
        <w:trPr>
          <w:cantSplit/>
          <w:trHeight w:val="164"/>
        </w:trPr>
        <w:tc>
          <w:tcPr>
            <w:tcW w:w="2585" w:type="pct"/>
            <w:vMerge w:val="restart"/>
          </w:tcPr>
          <w:p w14:paraId="28678ED1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Lin SY et al., Allergen-Specific Immunotherapy for the Treatment of Allergic Rhino-conjunctivitis and/or Asthma: Comparative Effectiveness Review. Comparative Effectiveness Review No. 111. (Prepared by the Johns Hopkins University Evidence-based Practice Center under Contract No. 290-2007-10061-I.) AHRQ Publication No. 13-EHC061-EF. Rockville, MD: Agency for</w:t>
            </w:r>
          </w:p>
          <w:p w14:paraId="27DEA7C5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Healthcare Research and Quality. March 2013. Errata added May and August 2013.</w:t>
            </w:r>
          </w:p>
          <w:p w14:paraId="23D6F1C2" w14:textId="014A209F" w:rsidR="005E3945" w:rsidRPr="000B7EE6" w:rsidRDefault="005E3945" w:rsidP="000B7EE6">
            <w:pPr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Erekosima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N, Suarez-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Cuervo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C,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Ramanathan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M, et al. Effectiveness of subcutaneous immunotherapy for allergic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rhinoconjunctivitis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and asthma: A Systematic Review. Laryngoscope. 2013 Jul 6PMID 23832632.</w:t>
            </w:r>
          </w:p>
          <w:p w14:paraId="08055401" w14:textId="3E36F145" w:rsidR="005E3945" w:rsidRPr="000B7EE6" w:rsidRDefault="005E3945" w:rsidP="000B7EE6">
            <w:pPr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>Kim JM, Lin SY, Suarez-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Cuervo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C, et al. Allergen-specific immunotherapy for pediatric asthma and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rhinoconjunctivitis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>: a systematic review. Pediatrics. 2013 Jun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;131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(6):1155-67. PMID 23650298.</w:t>
            </w:r>
          </w:p>
          <w:p w14:paraId="4F746A80" w14:textId="2E1D70F0" w:rsidR="005E3945" w:rsidRPr="000B7EE6" w:rsidRDefault="005E3945" w:rsidP="000B7EE6">
            <w:pPr>
              <w:autoSpaceDE w:val="0"/>
              <w:autoSpaceDN w:val="0"/>
              <w:adjustRightInd w:val="0"/>
              <w:ind w:left="180" w:hanging="180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c. </w:t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Lin SY,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Erekosima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N, Kim JM, et al. Sublingual immunotherapy for the treatment of allergic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rhinoconjunctivitis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and asthma: a systematic review. JAMA. 2013 Mar 27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;309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(12):1278-88. PMID 23532243.</w:t>
            </w:r>
          </w:p>
        </w:tc>
        <w:tc>
          <w:tcPr>
            <w:tcW w:w="476" w:type="pct"/>
          </w:tcPr>
          <w:p w14:paraId="40269CE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Allergic rhinitis</w:t>
            </w:r>
            <w:r w:rsidRPr="000B7EE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[7/24/2013]</w:t>
            </w:r>
          </w:p>
        </w:tc>
        <w:tc>
          <w:tcPr>
            <w:tcW w:w="261" w:type="pct"/>
          </w:tcPr>
          <w:p w14:paraId="245EDD35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6658FB11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Immuno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>-therapy Treatment for Allergic Rhinitis</w:t>
            </w:r>
          </w:p>
          <w:p w14:paraId="7EA49995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0BA4E43D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4FD4BC6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 xml:space="preserve">Allergen </w:t>
            </w:r>
            <w:proofErr w:type="spellStart"/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immuno</w:t>
            </w:r>
            <w:proofErr w:type="spellEnd"/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-therapy</w:t>
            </w:r>
          </w:p>
          <w:p w14:paraId="2F4D40E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[3/7/2013]</w:t>
            </w:r>
          </w:p>
        </w:tc>
        <w:tc>
          <w:tcPr>
            <w:tcW w:w="254" w:type="pct"/>
          </w:tcPr>
          <w:p w14:paraId="41C04E5D" w14:textId="7786B4F8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98B1B35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16102DE1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588F19F3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04E35DC4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Asthma in adults and adolescents [7/8/2013]</w:t>
            </w:r>
          </w:p>
        </w:tc>
        <w:tc>
          <w:tcPr>
            <w:tcW w:w="261" w:type="pct"/>
          </w:tcPr>
          <w:p w14:paraId="2190DD8E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4D9050A6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Asthma Overview</w:t>
            </w:r>
          </w:p>
          <w:p w14:paraId="3472D5C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[7/2013]</w:t>
            </w:r>
          </w:p>
        </w:tc>
        <w:tc>
          <w:tcPr>
            <w:tcW w:w="261" w:type="pct"/>
            <w:shd w:val="clear" w:color="auto" w:fill="auto"/>
          </w:tcPr>
          <w:p w14:paraId="347F4B12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126FB1FB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Allergic rhinitis</w:t>
            </w:r>
          </w:p>
          <w:p w14:paraId="620BA5C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[7/16/2013]</w:t>
            </w:r>
          </w:p>
        </w:tc>
        <w:tc>
          <w:tcPr>
            <w:tcW w:w="254" w:type="pct"/>
          </w:tcPr>
          <w:p w14:paraId="73E2A019" w14:textId="035D8C28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J(b)</w:t>
            </w:r>
          </w:p>
        </w:tc>
        <w:tc>
          <w:tcPr>
            <w:tcW w:w="265" w:type="pct"/>
          </w:tcPr>
          <w:p w14:paraId="5824C7C1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67BD3F14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05BCC066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352DAA40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Asthma in Children</w:t>
            </w:r>
          </w:p>
          <w:p w14:paraId="33E91EA2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Cs/>
                <w:color w:val="333333"/>
                <w:sz w:val="18"/>
                <w:szCs w:val="18"/>
              </w:rPr>
              <w:t>[6/10/2013]</w:t>
            </w:r>
          </w:p>
        </w:tc>
        <w:tc>
          <w:tcPr>
            <w:tcW w:w="261" w:type="pct"/>
          </w:tcPr>
          <w:p w14:paraId="11490E56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3AB7B8C8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3538ABB2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5A1F99BD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Asthma in adults</w:t>
            </w:r>
          </w:p>
          <w:p w14:paraId="0959CBD8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2E2E2E"/>
                <w:sz w:val="18"/>
                <w:szCs w:val="18"/>
              </w:rPr>
              <w:t>[12/15/2009]</w:t>
            </w:r>
          </w:p>
        </w:tc>
        <w:tc>
          <w:tcPr>
            <w:tcW w:w="254" w:type="pct"/>
          </w:tcPr>
          <w:p w14:paraId="54EDCB53" w14:textId="5D5DF391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419E0F49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E3945" w:rsidRPr="000B7EE6" w14:paraId="4553F654" w14:textId="77777777" w:rsidTr="00BC2089">
        <w:trPr>
          <w:cantSplit/>
          <w:trHeight w:val="164"/>
        </w:trPr>
        <w:tc>
          <w:tcPr>
            <w:tcW w:w="2585" w:type="pct"/>
            <w:vMerge/>
          </w:tcPr>
          <w:p w14:paraId="6229E11E" w14:textId="77777777" w:rsidR="005E3945" w:rsidRPr="000B7EE6" w:rsidRDefault="005E3945" w:rsidP="000B7E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6" w:type="pct"/>
          </w:tcPr>
          <w:p w14:paraId="7BAE2997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637E830F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pct"/>
            <w:shd w:val="clear" w:color="auto" w:fill="auto"/>
          </w:tcPr>
          <w:p w14:paraId="0776C45F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725835E4" w14:textId="77777777" w:rsidR="005E3945" w:rsidRPr="000B7EE6" w:rsidRDefault="005E3945" w:rsidP="00FE0423">
            <w:pPr>
              <w:ind w:left="-43" w:right="-8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0" w:type="pct"/>
          </w:tcPr>
          <w:p w14:paraId="3D1873AC" w14:textId="7777777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color w:val="2E2E2E"/>
                <w:sz w:val="18"/>
                <w:szCs w:val="18"/>
              </w:rPr>
            </w:pPr>
          </w:p>
        </w:tc>
        <w:tc>
          <w:tcPr>
            <w:tcW w:w="254" w:type="pct"/>
          </w:tcPr>
          <w:p w14:paraId="6E1A7376" w14:textId="101E10C7" w:rsidR="005E3945" w:rsidRPr="000B7EE6" w:rsidRDefault="005E3945" w:rsidP="00FE0423">
            <w:pPr>
              <w:ind w:left="-43" w:right="-8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14:paraId="07CC57E1" w14:textId="77777777" w:rsidR="005E3945" w:rsidRPr="000B7EE6" w:rsidRDefault="005E3945" w:rsidP="00FE0423">
            <w:pPr>
              <w:ind w:left="-61" w:right="-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411DD912" w14:textId="77777777" w:rsidR="000B7EE6" w:rsidRPr="000B7EE6" w:rsidRDefault="000B7EE6" w:rsidP="000B7EE6">
      <w:pPr>
        <w:rPr>
          <w:rFonts w:ascii="Times New Roman" w:eastAsia="Calibri" w:hAnsi="Times New Roman"/>
          <w:bCs/>
          <w:sz w:val="18"/>
          <w:szCs w:val="24"/>
        </w:rPr>
      </w:pPr>
      <w:r w:rsidRPr="000B7EE6">
        <w:rPr>
          <w:rFonts w:ascii="Times New Roman" w:eastAsia="Calibri" w:hAnsi="Times New Roman"/>
          <w:bCs/>
          <w:sz w:val="18"/>
          <w:szCs w:val="24"/>
        </w:rPr>
        <w:t>R=cited CER report; J=cited journal article; OA=osteoarthritis; DM=diabetes mellitus</w:t>
      </w:r>
    </w:p>
    <w:p w14:paraId="311D583D" w14:textId="77777777" w:rsidR="000B7EE6" w:rsidRPr="000B7EE6" w:rsidRDefault="000B7EE6" w:rsidP="000B7EE6">
      <w:pPr>
        <w:rPr>
          <w:rFonts w:ascii="Times New Roman" w:eastAsia="Calibri" w:hAnsi="Times New Roman"/>
          <w:bCs/>
          <w:sz w:val="18"/>
          <w:szCs w:val="24"/>
        </w:rPr>
      </w:pPr>
      <w:r w:rsidRPr="000B7EE6">
        <w:rPr>
          <w:rFonts w:ascii="Times New Roman" w:eastAsia="Calibri" w:hAnsi="Times New Roman"/>
          <w:bCs/>
          <w:sz w:val="18"/>
          <w:szCs w:val="24"/>
          <w:vertAlign w:val="superscript"/>
        </w:rPr>
        <w:t>1</w:t>
      </w:r>
      <w:r w:rsidRPr="000B7EE6">
        <w:rPr>
          <w:rFonts w:ascii="Times New Roman" w:eastAsia="Calibri" w:hAnsi="Times New Roman"/>
          <w:bCs/>
          <w:sz w:val="18"/>
          <w:szCs w:val="24"/>
        </w:rPr>
        <w:t xml:space="preserve"> Did not cite selected report, but cited previous version of CER.</w:t>
      </w:r>
    </w:p>
    <w:p w14:paraId="4DCEE7B0" w14:textId="77777777" w:rsidR="000B7EE6" w:rsidRPr="000B7EE6" w:rsidRDefault="000B7EE6" w:rsidP="000B7EE6">
      <w:pPr>
        <w:rPr>
          <w:rFonts w:ascii="Times New Roman" w:eastAsia="Calibri" w:hAnsi="Times New Roman"/>
          <w:bCs/>
          <w:sz w:val="18"/>
          <w:szCs w:val="24"/>
        </w:rPr>
      </w:pPr>
      <w:r w:rsidRPr="000B7EE6">
        <w:rPr>
          <w:rFonts w:ascii="Times New Roman" w:eastAsia="Calibri" w:hAnsi="Times New Roman"/>
          <w:bCs/>
          <w:sz w:val="18"/>
          <w:szCs w:val="24"/>
          <w:vertAlign w:val="superscript"/>
        </w:rPr>
        <w:t>2</w:t>
      </w:r>
      <w:r w:rsidRPr="000B7EE6">
        <w:rPr>
          <w:rFonts w:ascii="Times New Roman" w:eastAsia="Calibri" w:hAnsi="Times New Roman"/>
          <w:bCs/>
          <w:sz w:val="18"/>
          <w:szCs w:val="24"/>
        </w:rPr>
        <w:t xml:space="preserve"> Evidence </w:t>
      </w:r>
      <w:proofErr w:type="gramStart"/>
      <w:r w:rsidRPr="000B7EE6">
        <w:rPr>
          <w:rFonts w:ascii="Times New Roman" w:eastAsia="Calibri" w:hAnsi="Times New Roman"/>
          <w:bCs/>
          <w:sz w:val="18"/>
          <w:szCs w:val="24"/>
        </w:rPr>
        <w:t>summary</w:t>
      </w:r>
      <w:proofErr w:type="gramEnd"/>
      <w:r w:rsidRPr="000B7EE6">
        <w:rPr>
          <w:rFonts w:ascii="Times New Roman" w:eastAsia="Calibri" w:hAnsi="Times New Roman"/>
          <w:bCs/>
          <w:sz w:val="18"/>
          <w:szCs w:val="24"/>
        </w:rPr>
        <w:t xml:space="preserve"> not updated since CER availability.</w:t>
      </w:r>
    </w:p>
    <w:p w14:paraId="159B2860" w14:textId="77777777" w:rsidR="000B7EE6" w:rsidRPr="000B7EE6" w:rsidRDefault="000B7EE6" w:rsidP="000B7EE6"/>
    <w:sectPr w:rsidR="000B7EE6" w:rsidRPr="000B7EE6" w:rsidSect="0089466E">
      <w:footerReference w:type="default" r:id="rId9"/>
      <w:pgSz w:w="15840" w:h="12240" w:orient="landscape" w:code="1"/>
      <w:pgMar w:top="1440" w:right="1440" w:bottom="135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AD1E0F" w15:done="0"/>
  <w15:commentEx w15:paraId="0FFF9C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F79D8" w14:textId="77777777" w:rsidR="001B13F8" w:rsidRDefault="001B13F8">
      <w:r>
        <w:separator/>
      </w:r>
    </w:p>
  </w:endnote>
  <w:endnote w:type="continuationSeparator" w:id="0">
    <w:p w14:paraId="63426607" w14:textId="77777777" w:rsidR="001B13F8" w:rsidRDefault="001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lain 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3BB7D" w14:textId="77777777" w:rsidR="00E068E0" w:rsidRDefault="00E068E0">
    <w:pPr>
      <w:pStyle w:val="PageNumber"/>
    </w:pPr>
    <w:r>
      <w:t>B-</w:t>
    </w:r>
    <w:r>
      <w:fldChar w:fldCharType="begin"/>
    </w:r>
    <w:r>
      <w:instrText xml:space="preserve"> PAGE   \* MERGEFORMAT </w:instrText>
    </w:r>
    <w:r>
      <w:fldChar w:fldCharType="separate"/>
    </w:r>
    <w:r w:rsidR="00AC3D8F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20989" w14:textId="77777777" w:rsidR="001B13F8" w:rsidRDefault="001B13F8">
      <w:r>
        <w:separator/>
      </w:r>
    </w:p>
  </w:footnote>
  <w:footnote w:type="continuationSeparator" w:id="0">
    <w:p w14:paraId="33C66DB9" w14:textId="77777777" w:rsidR="001B13F8" w:rsidRDefault="001B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DE1"/>
    <w:multiLevelType w:val="hybridMultilevel"/>
    <w:tmpl w:val="FEE05C9A"/>
    <w:lvl w:ilvl="0" w:tplc="0142B57C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D00"/>
    <w:multiLevelType w:val="hybridMultilevel"/>
    <w:tmpl w:val="C5E8D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093B"/>
    <w:multiLevelType w:val="hybridMultilevel"/>
    <w:tmpl w:val="F74C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7462"/>
    <w:multiLevelType w:val="hybridMultilevel"/>
    <w:tmpl w:val="2BF8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A24"/>
    <w:multiLevelType w:val="hybridMultilevel"/>
    <w:tmpl w:val="5F3AA83A"/>
    <w:lvl w:ilvl="0" w:tplc="70B8BA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314FE"/>
    <w:multiLevelType w:val="hybridMultilevel"/>
    <w:tmpl w:val="0E5E8FC6"/>
    <w:lvl w:ilvl="0" w:tplc="D5328EBA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B7B2B"/>
    <w:multiLevelType w:val="hybridMultilevel"/>
    <w:tmpl w:val="EA3CC470"/>
    <w:lvl w:ilvl="0" w:tplc="64A0A6A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B66DA"/>
    <w:multiLevelType w:val="hybridMultilevel"/>
    <w:tmpl w:val="938AB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314DE"/>
    <w:multiLevelType w:val="hybridMultilevel"/>
    <w:tmpl w:val="19BEF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D7C52"/>
    <w:multiLevelType w:val="hybridMultilevel"/>
    <w:tmpl w:val="EFECCC16"/>
    <w:lvl w:ilvl="0" w:tplc="C7186F9A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96EE4"/>
    <w:multiLevelType w:val="hybridMultilevel"/>
    <w:tmpl w:val="9094F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34EC4"/>
    <w:multiLevelType w:val="hybridMultilevel"/>
    <w:tmpl w:val="26A28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8073B"/>
    <w:multiLevelType w:val="hybridMultilevel"/>
    <w:tmpl w:val="20EC3F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168C2"/>
    <w:multiLevelType w:val="hybridMultilevel"/>
    <w:tmpl w:val="EA2E6C28"/>
    <w:lvl w:ilvl="0" w:tplc="43E2837E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14"/>
  </w:num>
  <w:num w:numId="17">
    <w:abstractNumId w:val="0"/>
  </w:num>
  <w:num w:numId="18">
    <w:abstractNumId w:val="19"/>
  </w:num>
  <w:num w:numId="19">
    <w:abstractNumId w:val="7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5wvr0e2n5tvzlevz01xrts1wavatf9farrt&quot;&gt;CER POC Utilization&lt;record-ids&gt;&lt;item&gt;71&lt;/item&gt;&lt;item&gt;72&lt;/item&gt;&lt;item&gt;135&lt;/item&gt;&lt;/record-ids&gt;&lt;/item&gt;&lt;/Libraries&gt;"/>
  </w:docVars>
  <w:rsids>
    <w:rsidRoot w:val="006F5130"/>
    <w:rsid w:val="00003CDD"/>
    <w:rsid w:val="00011CC8"/>
    <w:rsid w:val="000171EB"/>
    <w:rsid w:val="000416F1"/>
    <w:rsid w:val="00043EF2"/>
    <w:rsid w:val="0006017D"/>
    <w:rsid w:val="000658F0"/>
    <w:rsid w:val="00075F59"/>
    <w:rsid w:val="00080D51"/>
    <w:rsid w:val="00081848"/>
    <w:rsid w:val="00082D85"/>
    <w:rsid w:val="00082D90"/>
    <w:rsid w:val="000844D9"/>
    <w:rsid w:val="000850F6"/>
    <w:rsid w:val="0009453F"/>
    <w:rsid w:val="00096941"/>
    <w:rsid w:val="000B7EE6"/>
    <w:rsid w:val="000D54CA"/>
    <w:rsid w:val="00101E27"/>
    <w:rsid w:val="00120920"/>
    <w:rsid w:val="00132B29"/>
    <w:rsid w:val="00160147"/>
    <w:rsid w:val="0016619E"/>
    <w:rsid w:val="00167198"/>
    <w:rsid w:val="001745C4"/>
    <w:rsid w:val="00175BD9"/>
    <w:rsid w:val="0017667A"/>
    <w:rsid w:val="00183AAE"/>
    <w:rsid w:val="001B13F8"/>
    <w:rsid w:val="001C07DF"/>
    <w:rsid w:val="001C0861"/>
    <w:rsid w:val="001C4886"/>
    <w:rsid w:val="001D3EA4"/>
    <w:rsid w:val="001E6D3A"/>
    <w:rsid w:val="001F00D7"/>
    <w:rsid w:val="001F2734"/>
    <w:rsid w:val="001F5D30"/>
    <w:rsid w:val="00201F4B"/>
    <w:rsid w:val="002058EF"/>
    <w:rsid w:val="00205EF3"/>
    <w:rsid w:val="00206787"/>
    <w:rsid w:val="00213A30"/>
    <w:rsid w:val="00217B4E"/>
    <w:rsid w:val="002217BC"/>
    <w:rsid w:val="00225510"/>
    <w:rsid w:val="00225E93"/>
    <w:rsid w:val="002333F7"/>
    <w:rsid w:val="00234F65"/>
    <w:rsid w:val="0024184D"/>
    <w:rsid w:val="0024378C"/>
    <w:rsid w:val="002437B1"/>
    <w:rsid w:val="00252CAC"/>
    <w:rsid w:val="00263CC8"/>
    <w:rsid w:val="00275260"/>
    <w:rsid w:val="00283678"/>
    <w:rsid w:val="002844D3"/>
    <w:rsid w:val="002930EC"/>
    <w:rsid w:val="002965E1"/>
    <w:rsid w:val="002A09F0"/>
    <w:rsid w:val="002A7892"/>
    <w:rsid w:val="002A7A3B"/>
    <w:rsid w:val="002B718E"/>
    <w:rsid w:val="002C79D3"/>
    <w:rsid w:val="002D0310"/>
    <w:rsid w:val="002D339E"/>
    <w:rsid w:val="002D6C6C"/>
    <w:rsid w:val="002D7383"/>
    <w:rsid w:val="002E24D3"/>
    <w:rsid w:val="00314727"/>
    <w:rsid w:val="00314E8E"/>
    <w:rsid w:val="003319F4"/>
    <w:rsid w:val="00334953"/>
    <w:rsid w:val="0034558B"/>
    <w:rsid w:val="00345626"/>
    <w:rsid w:val="00345E7F"/>
    <w:rsid w:val="003662AB"/>
    <w:rsid w:val="00370668"/>
    <w:rsid w:val="00396601"/>
    <w:rsid w:val="003A111B"/>
    <w:rsid w:val="003F21BA"/>
    <w:rsid w:val="003F4F95"/>
    <w:rsid w:val="003F7E36"/>
    <w:rsid w:val="004006F5"/>
    <w:rsid w:val="0040239E"/>
    <w:rsid w:val="004041A8"/>
    <w:rsid w:val="00407ECC"/>
    <w:rsid w:val="00423E10"/>
    <w:rsid w:val="00433195"/>
    <w:rsid w:val="00443C7F"/>
    <w:rsid w:val="00444DBB"/>
    <w:rsid w:val="004511B7"/>
    <w:rsid w:val="004704E1"/>
    <w:rsid w:val="00480A2C"/>
    <w:rsid w:val="004903B0"/>
    <w:rsid w:val="004C587E"/>
    <w:rsid w:val="004D2F9B"/>
    <w:rsid w:val="004D4969"/>
    <w:rsid w:val="004D50AB"/>
    <w:rsid w:val="004E3C7A"/>
    <w:rsid w:val="004E47FB"/>
    <w:rsid w:val="004F032C"/>
    <w:rsid w:val="004F7A2B"/>
    <w:rsid w:val="00506905"/>
    <w:rsid w:val="00512E9C"/>
    <w:rsid w:val="00524262"/>
    <w:rsid w:val="00524C81"/>
    <w:rsid w:val="00525267"/>
    <w:rsid w:val="005437DE"/>
    <w:rsid w:val="0054535E"/>
    <w:rsid w:val="00554B49"/>
    <w:rsid w:val="00561296"/>
    <w:rsid w:val="005709C8"/>
    <w:rsid w:val="00571D14"/>
    <w:rsid w:val="005957E5"/>
    <w:rsid w:val="005A2319"/>
    <w:rsid w:val="005A4688"/>
    <w:rsid w:val="005A5A18"/>
    <w:rsid w:val="005A602C"/>
    <w:rsid w:val="005B3F29"/>
    <w:rsid w:val="005E3945"/>
    <w:rsid w:val="005E6717"/>
    <w:rsid w:val="005F5FB4"/>
    <w:rsid w:val="005F6688"/>
    <w:rsid w:val="00621A5F"/>
    <w:rsid w:val="00622558"/>
    <w:rsid w:val="0062294C"/>
    <w:rsid w:val="00644A62"/>
    <w:rsid w:val="006500EF"/>
    <w:rsid w:val="00680D98"/>
    <w:rsid w:val="00693BD6"/>
    <w:rsid w:val="00693E74"/>
    <w:rsid w:val="00694886"/>
    <w:rsid w:val="0069564B"/>
    <w:rsid w:val="006B4BFC"/>
    <w:rsid w:val="006C2A1D"/>
    <w:rsid w:val="006D3E3F"/>
    <w:rsid w:val="006D7C96"/>
    <w:rsid w:val="006E30CC"/>
    <w:rsid w:val="006E4D5E"/>
    <w:rsid w:val="006E5BAE"/>
    <w:rsid w:val="006F2C15"/>
    <w:rsid w:val="006F5130"/>
    <w:rsid w:val="0070083A"/>
    <w:rsid w:val="00711543"/>
    <w:rsid w:val="00731DC6"/>
    <w:rsid w:val="00736817"/>
    <w:rsid w:val="00736D03"/>
    <w:rsid w:val="00746B2B"/>
    <w:rsid w:val="007507DD"/>
    <w:rsid w:val="007517D0"/>
    <w:rsid w:val="00764CCB"/>
    <w:rsid w:val="00780602"/>
    <w:rsid w:val="0078079D"/>
    <w:rsid w:val="00790F13"/>
    <w:rsid w:val="007A616B"/>
    <w:rsid w:val="007C150E"/>
    <w:rsid w:val="007C24F5"/>
    <w:rsid w:val="007C538F"/>
    <w:rsid w:val="007D5D14"/>
    <w:rsid w:val="007D636F"/>
    <w:rsid w:val="007E31F3"/>
    <w:rsid w:val="007E3462"/>
    <w:rsid w:val="007F2512"/>
    <w:rsid w:val="0080457C"/>
    <w:rsid w:val="00805B40"/>
    <w:rsid w:val="0082352D"/>
    <w:rsid w:val="00832E69"/>
    <w:rsid w:val="008633D2"/>
    <w:rsid w:val="0087420D"/>
    <w:rsid w:val="00886127"/>
    <w:rsid w:val="0089466E"/>
    <w:rsid w:val="00895F5A"/>
    <w:rsid w:val="008A07F1"/>
    <w:rsid w:val="008A11C3"/>
    <w:rsid w:val="008F0C3C"/>
    <w:rsid w:val="008F0E65"/>
    <w:rsid w:val="008F2E49"/>
    <w:rsid w:val="008F5D0C"/>
    <w:rsid w:val="0090034C"/>
    <w:rsid w:val="00910027"/>
    <w:rsid w:val="00922827"/>
    <w:rsid w:val="009262E9"/>
    <w:rsid w:val="0092648D"/>
    <w:rsid w:val="00933864"/>
    <w:rsid w:val="00952C57"/>
    <w:rsid w:val="009619F9"/>
    <w:rsid w:val="00971952"/>
    <w:rsid w:val="0098219C"/>
    <w:rsid w:val="00984473"/>
    <w:rsid w:val="00984B55"/>
    <w:rsid w:val="0099129F"/>
    <w:rsid w:val="0099482F"/>
    <w:rsid w:val="009A22F6"/>
    <w:rsid w:val="009B2562"/>
    <w:rsid w:val="009B5F1B"/>
    <w:rsid w:val="009C39D5"/>
    <w:rsid w:val="009D23F1"/>
    <w:rsid w:val="009D5CE9"/>
    <w:rsid w:val="009E5CD4"/>
    <w:rsid w:val="00A03EF2"/>
    <w:rsid w:val="00A04E17"/>
    <w:rsid w:val="00A433AE"/>
    <w:rsid w:val="00A525BD"/>
    <w:rsid w:val="00A548C3"/>
    <w:rsid w:val="00A62EDB"/>
    <w:rsid w:val="00A646B0"/>
    <w:rsid w:val="00A64CD3"/>
    <w:rsid w:val="00A7193F"/>
    <w:rsid w:val="00A77361"/>
    <w:rsid w:val="00A77D78"/>
    <w:rsid w:val="00A961D1"/>
    <w:rsid w:val="00AB2381"/>
    <w:rsid w:val="00AC3D8F"/>
    <w:rsid w:val="00AD2396"/>
    <w:rsid w:val="00AD4DF6"/>
    <w:rsid w:val="00AE1F07"/>
    <w:rsid w:val="00AE2B5F"/>
    <w:rsid w:val="00AE5A5B"/>
    <w:rsid w:val="00AF62B5"/>
    <w:rsid w:val="00B01493"/>
    <w:rsid w:val="00B038D0"/>
    <w:rsid w:val="00B0687F"/>
    <w:rsid w:val="00B078F5"/>
    <w:rsid w:val="00B10D3D"/>
    <w:rsid w:val="00B1317C"/>
    <w:rsid w:val="00B1503A"/>
    <w:rsid w:val="00B166BC"/>
    <w:rsid w:val="00B17797"/>
    <w:rsid w:val="00B23899"/>
    <w:rsid w:val="00B45348"/>
    <w:rsid w:val="00B54EF9"/>
    <w:rsid w:val="00B96477"/>
    <w:rsid w:val="00BA2B23"/>
    <w:rsid w:val="00BA48E1"/>
    <w:rsid w:val="00BA55F2"/>
    <w:rsid w:val="00BA6EAD"/>
    <w:rsid w:val="00BB2D1D"/>
    <w:rsid w:val="00BB6E86"/>
    <w:rsid w:val="00BC2089"/>
    <w:rsid w:val="00BC64D2"/>
    <w:rsid w:val="00BC6F26"/>
    <w:rsid w:val="00BD14E9"/>
    <w:rsid w:val="00BD45A9"/>
    <w:rsid w:val="00BD5CDE"/>
    <w:rsid w:val="00BE3B51"/>
    <w:rsid w:val="00BF1F11"/>
    <w:rsid w:val="00BF5F0F"/>
    <w:rsid w:val="00C046C6"/>
    <w:rsid w:val="00C253BD"/>
    <w:rsid w:val="00C262CF"/>
    <w:rsid w:val="00C538A7"/>
    <w:rsid w:val="00C620E0"/>
    <w:rsid w:val="00C66765"/>
    <w:rsid w:val="00C67B72"/>
    <w:rsid w:val="00C70C62"/>
    <w:rsid w:val="00C75AD6"/>
    <w:rsid w:val="00C829C0"/>
    <w:rsid w:val="00C86AC8"/>
    <w:rsid w:val="00C97E24"/>
    <w:rsid w:val="00C97F61"/>
    <w:rsid w:val="00CA0EDB"/>
    <w:rsid w:val="00CA742B"/>
    <w:rsid w:val="00CB0F8A"/>
    <w:rsid w:val="00CB48D5"/>
    <w:rsid w:val="00CC39F0"/>
    <w:rsid w:val="00CC486E"/>
    <w:rsid w:val="00CD4325"/>
    <w:rsid w:val="00CD68AD"/>
    <w:rsid w:val="00CE23E3"/>
    <w:rsid w:val="00CF43DC"/>
    <w:rsid w:val="00CF5250"/>
    <w:rsid w:val="00CF5B6E"/>
    <w:rsid w:val="00D10A6F"/>
    <w:rsid w:val="00D32579"/>
    <w:rsid w:val="00D4375A"/>
    <w:rsid w:val="00D47C4A"/>
    <w:rsid w:val="00D50DBC"/>
    <w:rsid w:val="00D521C4"/>
    <w:rsid w:val="00D710F4"/>
    <w:rsid w:val="00D77314"/>
    <w:rsid w:val="00D853F1"/>
    <w:rsid w:val="00D86A99"/>
    <w:rsid w:val="00D90B24"/>
    <w:rsid w:val="00D93203"/>
    <w:rsid w:val="00D97328"/>
    <w:rsid w:val="00DA0B96"/>
    <w:rsid w:val="00DC086C"/>
    <w:rsid w:val="00DC2450"/>
    <w:rsid w:val="00DC7245"/>
    <w:rsid w:val="00DD3873"/>
    <w:rsid w:val="00DE43B7"/>
    <w:rsid w:val="00DF1D50"/>
    <w:rsid w:val="00E0163A"/>
    <w:rsid w:val="00E0376C"/>
    <w:rsid w:val="00E068E0"/>
    <w:rsid w:val="00E07F17"/>
    <w:rsid w:val="00E1616F"/>
    <w:rsid w:val="00E16A95"/>
    <w:rsid w:val="00E222F4"/>
    <w:rsid w:val="00E25178"/>
    <w:rsid w:val="00E40C38"/>
    <w:rsid w:val="00E41880"/>
    <w:rsid w:val="00E442E3"/>
    <w:rsid w:val="00E525A6"/>
    <w:rsid w:val="00E54004"/>
    <w:rsid w:val="00EA488E"/>
    <w:rsid w:val="00EB5922"/>
    <w:rsid w:val="00ED7750"/>
    <w:rsid w:val="00EE1018"/>
    <w:rsid w:val="00EE4ACC"/>
    <w:rsid w:val="00EF754B"/>
    <w:rsid w:val="00F21304"/>
    <w:rsid w:val="00F22542"/>
    <w:rsid w:val="00F37CC3"/>
    <w:rsid w:val="00F46B31"/>
    <w:rsid w:val="00F50C61"/>
    <w:rsid w:val="00F56A6C"/>
    <w:rsid w:val="00F6437E"/>
    <w:rsid w:val="00F671D3"/>
    <w:rsid w:val="00F9258E"/>
    <w:rsid w:val="00F936C9"/>
    <w:rsid w:val="00FA1D6F"/>
    <w:rsid w:val="00FA20DA"/>
    <w:rsid w:val="00FA63F7"/>
    <w:rsid w:val="00FA789D"/>
    <w:rsid w:val="00FC520A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A7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table" w:customStyle="1" w:styleId="TableGrid10">
    <w:name w:val="Table Grid10"/>
    <w:basedOn w:val="TableNormal"/>
    <w:next w:val="TableGrid"/>
    <w:uiPriority w:val="59"/>
    <w:rsid w:val="00D50DB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455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76C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RQBODYTEXT">
    <w:name w:val="AHRQ BODY TEXT"/>
    <w:basedOn w:val="Normal"/>
    <w:link w:val="AHRQBODYTEXTChar"/>
    <w:rsid w:val="00314E8E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14E8E"/>
    <w:rPr>
      <w:rFonts w:ascii="Times" w:eastAsia="Times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068E0"/>
    <w:pPr>
      <w:tabs>
        <w:tab w:val="right" w:leader="dot" w:pos="9350"/>
      </w:tabs>
      <w:ind w:left="475"/>
    </w:pPr>
  </w:style>
  <w:style w:type="paragraph" w:styleId="Revision">
    <w:name w:val="Revision"/>
    <w:hidden/>
    <w:uiPriority w:val="99"/>
    <w:semiHidden/>
    <w:rsid w:val="005A602C"/>
    <w:rPr>
      <w:rFonts w:ascii="Times" w:eastAsia="Times New Roman" w:hAnsi="Times"/>
      <w:sz w:val="24"/>
    </w:rPr>
  </w:style>
  <w:style w:type="character" w:styleId="Emphasis">
    <w:name w:val="Emphasis"/>
    <w:basedOn w:val="DefaultParagraphFont"/>
    <w:uiPriority w:val="20"/>
    <w:qFormat/>
    <w:rsid w:val="00AD2396"/>
    <w:rPr>
      <w:i/>
      <w:iCs/>
    </w:rPr>
  </w:style>
  <w:style w:type="character" w:customStyle="1" w:styleId="apple-converted-space">
    <w:name w:val="apple-converted-space"/>
    <w:basedOn w:val="DefaultParagraphFont"/>
    <w:rsid w:val="00AD2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table" w:customStyle="1" w:styleId="TableGrid10">
    <w:name w:val="Table Grid10"/>
    <w:basedOn w:val="TableNormal"/>
    <w:next w:val="TableGrid"/>
    <w:uiPriority w:val="59"/>
    <w:rsid w:val="00D50DB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455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76C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RQBODYTEXT">
    <w:name w:val="AHRQ BODY TEXT"/>
    <w:basedOn w:val="Normal"/>
    <w:link w:val="AHRQBODYTEXTChar"/>
    <w:rsid w:val="00314E8E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14E8E"/>
    <w:rPr>
      <w:rFonts w:ascii="Times" w:eastAsia="Times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068E0"/>
    <w:pPr>
      <w:tabs>
        <w:tab w:val="right" w:leader="dot" w:pos="9350"/>
      </w:tabs>
      <w:ind w:left="475"/>
    </w:pPr>
  </w:style>
  <w:style w:type="paragraph" w:styleId="Revision">
    <w:name w:val="Revision"/>
    <w:hidden/>
    <w:uiPriority w:val="99"/>
    <w:semiHidden/>
    <w:rsid w:val="005A602C"/>
    <w:rPr>
      <w:rFonts w:ascii="Times" w:eastAsia="Times New Roman" w:hAnsi="Times"/>
      <w:sz w:val="24"/>
    </w:rPr>
  </w:style>
  <w:style w:type="character" w:styleId="Emphasis">
    <w:name w:val="Emphasis"/>
    <w:basedOn w:val="DefaultParagraphFont"/>
    <w:uiPriority w:val="20"/>
    <w:qFormat/>
    <w:rsid w:val="00AD2396"/>
    <w:rPr>
      <w:i/>
      <w:iCs/>
    </w:rPr>
  </w:style>
  <w:style w:type="character" w:customStyle="1" w:styleId="apple-converted-space">
    <w:name w:val="apple-converted-space"/>
    <w:basedOn w:val="DefaultParagraphFont"/>
    <w:rsid w:val="00AD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0E02-E587-47F6-BF55-8F9671ED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21795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Priyanka Pawar</cp:lastModifiedBy>
  <cp:revision>2</cp:revision>
  <cp:lastPrinted>2014-04-25T15:06:00Z</cp:lastPrinted>
  <dcterms:created xsi:type="dcterms:W3CDTF">2014-05-31T07:09:00Z</dcterms:created>
  <dcterms:modified xsi:type="dcterms:W3CDTF">2014-05-31T07:09:00Z</dcterms:modified>
</cp:coreProperties>
</file>