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4754C" w14:textId="686D760C" w:rsidR="000B7EE6" w:rsidRDefault="0089466E" w:rsidP="00571D14">
      <w:pPr>
        <w:pStyle w:val="ChapterHeading"/>
      </w:pPr>
      <w:bookmarkStart w:id="0" w:name="_Toc384720976"/>
      <w:bookmarkStart w:id="1" w:name="_GoBack"/>
      <w:bookmarkEnd w:id="1"/>
      <w:r w:rsidRPr="000171EB">
        <w:t>Appendix A. CER Report and Journal Articles</w:t>
      </w:r>
      <w:bookmarkEnd w:id="0"/>
    </w:p>
    <w:p w14:paraId="4684F52E" w14:textId="77777777" w:rsidR="000B7EE6" w:rsidRPr="000B7EE6" w:rsidRDefault="000B7EE6" w:rsidP="000B7EE6">
      <w:pPr>
        <w:keepNext/>
        <w:spacing w:before="240"/>
        <w:rPr>
          <w:rFonts w:ascii="Arial" w:eastAsia="Calibri" w:hAnsi="Arial"/>
          <w:b/>
          <w:color w:val="000000"/>
          <w:sz w:val="20"/>
          <w:szCs w:val="24"/>
        </w:rPr>
      </w:pPr>
      <w:r w:rsidRPr="000B7EE6">
        <w:rPr>
          <w:rFonts w:ascii="Arial" w:eastAsia="Calibri" w:hAnsi="Arial"/>
          <w:b/>
          <w:color w:val="000000"/>
          <w:sz w:val="20"/>
          <w:szCs w:val="24"/>
        </w:rPr>
        <w:t>Table A1. Comparative Effectiveness Reviews selected for utilization monitoring</w:t>
      </w:r>
    </w:p>
    <w:tbl>
      <w:tblPr>
        <w:tblStyle w:val="TableGrid11"/>
        <w:tblW w:w="12960" w:type="dxa"/>
        <w:tblLayout w:type="fixed"/>
        <w:tblLook w:val="04A0" w:firstRow="1" w:lastRow="0" w:firstColumn="1" w:lastColumn="0" w:noHBand="0" w:noVBand="1"/>
      </w:tblPr>
      <w:tblGrid>
        <w:gridCol w:w="6176"/>
        <w:gridCol w:w="1037"/>
        <w:gridCol w:w="5747"/>
      </w:tblGrid>
      <w:tr w:rsidR="000B7EE6" w:rsidRPr="000B7EE6" w14:paraId="7F459612" w14:textId="77777777" w:rsidTr="000B7EE6">
        <w:trPr>
          <w:cantSplit/>
          <w:tblHeader/>
        </w:trPr>
        <w:tc>
          <w:tcPr>
            <w:tcW w:w="6176" w:type="dxa"/>
          </w:tcPr>
          <w:p w14:paraId="75BED307" w14:textId="77777777" w:rsidR="000B7EE6" w:rsidRPr="000B7EE6" w:rsidRDefault="000B7EE6" w:rsidP="000B7EE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Report Citation</w:t>
            </w:r>
          </w:p>
        </w:tc>
        <w:tc>
          <w:tcPr>
            <w:tcW w:w="1037" w:type="dxa"/>
          </w:tcPr>
          <w:p w14:paraId="34B2B445" w14:textId="77777777" w:rsidR="000B7EE6" w:rsidRPr="000B7EE6" w:rsidRDefault="000B7EE6" w:rsidP="000B7EE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Selection Reason</w:t>
            </w:r>
          </w:p>
        </w:tc>
        <w:tc>
          <w:tcPr>
            <w:tcW w:w="5747" w:type="dxa"/>
          </w:tcPr>
          <w:p w14:paraId="46BA9727" w14:textId="1D18FB95" w:rsidR="000B7EE6" w:rsidRPr="000B7EE6" w:rsidRDefault="000B7EE6" w:rsidP="0090034C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Journal </w:t>
            </w:r>
            <w:r w:rsidR="0090034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rticle(s); </w:t>
            </w:r>
            <w:r w:rsidR="0090034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omments</w:t>
            </w:r>
          </w:p>
        </w:tc>
      </w:tr>
      <w:tr w:rsidR="000B7EE6" w:rsidRPr="000B7EE6" w14:paraId="656470DE" w14:textId="77777777" w:rsidTr="000B7EE6">
        <w:tc>
          <w:tcPr>
            <w:tcW w:w="6176" w:type="dxa"/>
          </w:tcPr>
          <w:p w14:paraId="2B9B27C0" w14:textId="77777777" w:rsidR="000B7EE6" w:rsidRPr="000B7EE6" w:rsidRDefault="000B7EE6" w:rsidP="000B7EE6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sz w:val="18"/>
                <w:szCs w:val="18"/>
              </w:rPr>
              <w:t>Year (number selected)</w:t>
            </w:r>
          </w:p>
        </w:tc>
        <w:tc>
          <w:tcPr>
            <w:tcW w:w="1037" w:type="dxa"/>
          </w:tcPr>
          <w:p w14:paraId="7A50CA49" w14:textId="77777777" w:rsidR="000B7EE6" w:rsidRPr="000B7EE6" w:rsidRDefault="000B7EE6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47" w:type="dxa"/>
          </w:tcPr>
          <w:p w14:paraId="086D550C" w14:textId="77777777" w:rsidR="000B7EE6" w:rsidRPr="000B7EE6" w:rsidRDefault="000B7EE6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B7EE6" w:rsidRPr="000B7EE6" w14:paraId="6A71805F" w14:textId="77777777" w:rsidTr="000B7EE6">
        <w:tc>
          <w:tcPr>
            <w:tcW w:w="6176" w:type="dxa"/>
          </w:tcPr>
          <w:p w14:paraId="594AE7BD" w14:textId="77777777" w:rsidR="000B7EE6" w:rsidRPr="000B7EE6" w:rsidRDefault="000B7EE6" w:rsidP="000B7EE6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sz w:val="18"/>
                <w:szCs w:val="18"/>
              </w:rPr>
              <w:t>2009 (3)</w:t>
            </w:r>
          </w:p>
        </w:tc>
        <w:tc>
          <w:tcPr>
            <w:tcW w:w="1037" w:type="dxa"/>
          </w:tcPr>
          <w:p w14:paraId="29A91780" w14:textId="77777777" w:rsidR="000B7EE6" w:rsidRPr="000B7EE6" w:rsidRDefault="000B7EE6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47" w:type="dxa"/>
          </w:tcPr>
          <w:p w14:paraId="56F75B2C" w14:textId="77777777" w:rsidR="000B7EE6" w:rsidRPr="000B7EE6" w:rsidRDefault="000B7EE6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B7EE6" w:rsidRPr="000B7EE6" w14:paraId="78B68BEC" w14:textId="77777777" w:rsidTr="00252CAC">
        <w:trPr>
          <w:cantSplit/>
        </w:trPr>
        <w:tc>
          <w:tcPr>
            <w:tcW w:w="6176" w:type="dxa"/>
          </w:tcPr>
          <w:p w14:paraId="1F56B11A" w14:textId="77777777" w:rsidR="000B7EE6" w:rsidRPr="000B7EE6" w:rsidRDefault="000B7EE6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Hartmann KE,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McPheeters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ML, Biller DH, Ward RM,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McKoy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JN, Jerome RN,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Micucci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SR,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Meints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L, Fisher JA, Scott TA, Slaughter JC,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Blume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JD. Treatment of Overactive Bladder in Women. Evidence Report/Technology Assessment No. 187 (Prepared by the Vanderbilt Evidence-based Practice Center under Contract No. 290-2007-10065-I). AHRQ Publication No. 09-E017. Rockville, MD: Agency for Healthcare Research and Quality. August 2009.</w:t>
            </w:r>
          </w:p>
        </w:tc>
        <w:tc>
          <w:tcPr>
            <w:tcW w:w="1037" w:type="dxa"/>
          </w:tcPr>
          <w:p w14:paraId="5BD4FE32" w14:textId="77777777" w:rsidR="000B7EE6" w:rsidRPr="000B7EE6" w:rsidRDefault="000B7EE6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All EPC CERs</w:t>
            </w:r>
          </w:p>
        </w:tc>
        <w:tc>
          <w:tcPr>
            <w:tcW w:w="5747" w:type="dxa"/>
          </w:tcPr>
          <w:p w14:paraId="1528B682" w14:textId="77777777" w:rsidR="000B7EE6" w:rsidRPr="000B7EE6" w:rsidRDefault="000B7EE6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None identified;</w:t>
            </w:r>
          </w:p>
          <w:p w14:paraId="55EE53BF" w14:textId="77777777" w:rsidR="000B7EE6" w:rsidRPr="000B7EE6" w:rsidRDefault="000B7EE6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Cited as the primary source in AUA/SUFA Guideline: </w:t>
            </w:r>
          </w:p>
          <w:p w14:paraId="330F9AE8" w14:textId="14F50196" w:rsidR="000B7EE6" w:rsidRPr="000B7EE6" w:rsidRDefault="000B7EE6" w:rsidP="000B7EE6">
            <w:pPr>
              <w:autoSpaceDE w:val="0"/>
              <w:autoSpaceDN w:val="0"/>
              <w:adjustRightInd w:val="0"/>
              <w:ind w:left="-13" w:firstLine="13"/>
            </w:pPr>
            <w:proofErr w:type="spell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Gormley</w:t>
            </w:r>
            <w:proofErr w:type="spell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E, </w:t>
            </w:r>
            <w:proofErr w:type="spell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Lightner</w:t>
            </w:r>
            <w:proofErr w:type="spell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DJ, </w:t>
            </w:r>
            <w:proofErr w:type="spell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Burgio</w:t>
            </w:r>
            <w:proofErr w:type="spell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KL, et al. Diagnosis and treatment of overactive bladder (non-neurogenic) in adults: AUA/SUFU guideline. The Journal of </w:t>
            </w:r>
            <w:r w:rsidR="000171EB" w:rsidRPr="000B7EE6">
              <w:rPr>
                <w:rFonts w:ascii="Plain Font" w:eastAsia="Calibri" w:hAnsi="Plain Font" w:cs="Plain Font"/>
                <w:sz w:val="18"/>
                <w:szCs w:val="18"/>
              </w:rPr>
              <w:t>U</w:t>
            </w:r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rology. 2012.</w:t>
            </w:r>
          </w:p>
        </w:tc>
      </w:tr>
      <w:tr w:rsidR="000B7EE6" w:rsidRPr="000B7EE6" w14:paraId="2DE982F2" w14:textId="77777777" w:rsidTr="00252CAC">
        <w:trPr>
          <w:cantSplit/>
        </w:trPr>
        <w:tc>
          <w:tcPr>
            <w:tcW w:w="6176" w:type="dxa"/>
          </w:tcPr>
          <w:p w14:paraId="0E22CE2E" w14:textId="77777777" w:rsidR="000B7EE6" w:rsidRPr="000B7EE6" w:rsidRDefault="000B7EE6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Sharma M, Ansari MT,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Soares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-Weiser K,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Abou-setta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AM,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Ooi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TC, Sears M,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Yazdi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F,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Tsertsvadze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A,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Moher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D. Comparative Effectiveness of Lipid-Modifying Agents. Comparative Effectiveness Review No. 16. (Prepared by the University of Ottawa Evidence-based Practice Center under contract No. 290-02-0021.) Rockville, MD: Agency for Healthcare Research and Quality. September 2009.</w:t>
            </w:r>
          </w:p>
        </w:tc>
        <w:tc>
          <w:tcPr>
            <w:tcW w:w="1037" w:type="dxa"/>
          </w:tcPr>
          <w:p w14:paraId="684C6E56" w14:textId="77777777" w:rsidR="000B7EE6" w:rsidRPr="000B7EE6" w:rsidRDefault="000B7EE6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Web Utilization Project</w:t>
            </w:r>
          </w:p>
        </w:tc>
        <w:tc>
          <w:tcPr>
            <w:tcW w:w="5747" w:type="dxa"/>
          </w:tcPr>
          <w:p w14:paraId="5731B8D9" w14:textId="77777777" w:rsidR="000B7EE6" w:rsidRPr="000B7EE6" w:rsidRDefault="000B7EE6" w:rsidP="000B7EE6">
            <w:pPr>
              <w:rPr>
                <w:rFonts w:ascii="Plain Font" w:eastAsia="Calibri" w:hAnsi="Plain Font" w:cs="Plain Font"/>
                <w:sz w:val="18"/>
                <w:szCs w:val="18"/>
              </w:rPr>
            </w:pPr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Sharma M, Ansari MT, </w:t>
            </w:r>
            <w:proofErr w:type="spell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Abou-Setta</w:t>
            </w:r>
            <w:proofErr w:type="spell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AM, et al. Systematic review: comparative effectiveness and harms of combination therapy and monotherapy for dyslipidemia. Ann Intern Med. 2009 Nov 3</w:t>
            </w:r>
            <w:proofErr w:type="gram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;151</w:t>
            </w:r>
            <w:proofErr w:type="gram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(9):622-30. PMID 19884623.</w:t>
            </w:r>
          </w:p>
          <w:p w14:paraId="298D5458" w14:textId="3ADED272" w:rsidR="000B7EE6" w:rsidRPr="000B7EE6" w:rsidRDefault="003F7E36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Plain Font" w:eastAsia="Calibri" w:hAnsi="Plain Font" w:cs="Plain Font"/>
                <w:sz w:val="18"/>
                <w:szCs w:val="18"/>
              </w:rPr>
              <w:t>Sharma M. Combination therapy for dyslipidemia. Current opinion in cardiology. 2011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;26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(5):420-3.</w:t>
            </w:r>
          </w:p>
        </w:tc>
      </w:tr>
      <w:tr w:rsidR="000B7EE6" w:rsidRPr="000B7EE6" w14:paraId="5C556130" w14:textId="77777777" w:rsidTr="00252CAC">
        <w:trPr>
          <w:cantSplit/>
        </w:trPr>
        <w:tc>
          <w:tcPr>
            <w:tcW w:w="6176" w:type="dxa"/>
          </w:tcPr>
          <w:p w14:paraId="7251429F" w14:textId="77777777" w:rsidR="000B7EE6" w:rsidRPr="000B7EE6" w:rsidRDefault="000B7EE6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Bruening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W,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Schoelles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K, Treadwell J, Launders J,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Fontanarosa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J, Tipton K. Comparative Effectiveness of Core-Needle and Open Surgical Biopsy for the Diagnosis of Breast Lesions. Comparative Effectiveness Review No. 19. (Prepared by ECRI Institute Evidence-based Practice Center under Contract No. 290-02-0019.) Rockville, MD: Agency for Healthcare Research and Quality. December 2009.</w:t>
            </w:r>
          </w:p>
        </w:tc>
        <w:tc>
          <w:tcPr>
            <w:tcW w:w="1037" w:type="dxa"/>
          </w:tcPr>
          <w:p w14:paraId="3275BD42" w14:textId="77777777" w:rsidR="000B7EE6" w:rsidRPr="000B7EE6" w:rsidRDefault="000B7EE6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Web Utilization Project</w:t>
            </w:r>
          </w:p>
        </w:tc>
        <w:tc>
          <w:tcPr>
            <w:tcW w:w="5747" w:type="dxa"/>
          </w:tcPr>
          <w:p w14:paraId="69EA4B3D" w14:textId="4B316988" w:rsidR="000B7EE6" w:rsidRPr="000B7EE6" w:rsidRDefault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Bruening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, W., et al. "Systematic review: comparative effectiveness of core-needle and open surgical biopsy to diagnose breast lesions." Ann Intern Med </w:t>
            </w:r>
            <w:r w:rsidR="00952C57">
              <w:rPr>
                <w:rFonts w:ascii="Arial" w:eastAsia="Calibri" w:hAnsi="Arial" w:cs="Arial"/>
                <w:sz w:val="18"/>
                <w:szCs w:val="18"/>
              </w:rPr>
              <w:t>2010</w:t>
            </w:r>
            <w:proofErr w:type="gramStart"/>
            <w:r w:rsidR="00952C57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0B7EE6">
              <w:rPr>
                <w:rFonts w:ascii="Arial" w:eastAsia="Calibri" w:hAnsi="Arial" w:cs="Arial"/>
                <w:sz w:val="18"/>
                <w:szCs w:val="18"/>
              </w:rPr>
              <w:t>152</w:t>
            </w:r>
            <w:proofErr w:type="gramEnd"/>
            <w:r w:rsidRPr="000B7EE6">
              <w:rPr>
                <w:rFonts w:ascii="Arial" w:eastAsia="Calibri" w:hAnsi="Arial" w:cs="Arial"/>
                <w:sz w:val="18"/>
                <w:szCs w:val="18"/>
              </w:rPr>
              <w:t>(4): 238-246.</w:t>
            </w:r>
          </w:p>
        </w:tc>
      </w:tr>
    </w:tbl>
    <w:p w14:paraId="4BAD618A" w14:textId="77777777" w:rsidR="009B2562" w:rsidRDefault="009B2562">
      <w:r>
        <w:br w:type="page"/>
      </w:r>
    </w:p>
    <w:tbl>
      <w:tblPr>
        <w:tblStyle w:val="TableGrid11"/>
        <w:tblW w:w="12960" w:type="dxa"/>
        <w:tblLayout w:type="fixed"/>
        <w:tblLook w:val="04A0" w:firstRow="1" w:lastRow="0" w:firstColumn="1" w:lastColumn="0" w:noHBand="0" w:noVBand="1"/>
      </w:tblPr>
      <w:tblGrid>
        <w:gridCol w:w="6176"/>
        <w:gridCol w:w="1037"/>
        <w:gridCol w:w="5747"/>
      </w:tblGrid>
      <w:tr w:rsidR="009B2562" w:rsidRPr="000B7EE6" w14:paraId="53EC3F41" w14:textId="77777777" w:rsidTr="00BC2089">
        <w:trPr>
          <w:cantSplit/>
          <w:tblHeader/>
        </w:trPr>
        <w:tc>
          <w:tcPr>
            <w:tcW w:w="12960" w:type="dxa"/>
            <w:gridSpan w:val="3"/>
            <w:tcBorders>
              <w:top w:val="nil"/>
              <w:left w:val="nil"/>
              <w:right w:val="nil"/>
            </w:tcBorders>
          </w:tcPr>
          <w:p w14:paraId="5C08AD46" w14:textId="0C899D87" w:rsidR="009B2562" w:rsidRPr="00BC2089" w:rsidRDefault="009B2562" w:rsidP="00BC2089">
            <w:pPr>
              <w:keepNext/>
              <w:spacing w:before="240"/>
              <w:rPr>
                <w:rFonts w:ascii="Arial" w:eastAsia="Calibri" w:hAnsi="Arial"/>
                <w:b/>
                <w:color w:val="000000"/>
                <w:sz w:val="20"/>
                <w:szCs w:val="24"/>
              </w:rPr>
            </w:pPr>
            <w:r w:rsidRPr="000B7EE6"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lastRenderedPageBreak/>
              <w:t>Table A1. Comparative Effectiveness Reviews sele</w:t>
            </w:r>
            <w:r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t>cted for utilization monitoring (continued)</w:t>
            </w:r>
          </w:p>
        </w:tc>
      </w:tr>
      <w:tr w:rsidR="009B2562" w:rsidRPr="000B7EE6" w14:paraId="1B50FA4F" w14:textId="77777777" w:rsidTr="00BC2089">
        <w:trPr>
          <w:cantSplit/>
          <w:tblHeader/>
        </w:trPr>
        <w:tc>
          <w:tcPr>
            <w:tcW w:w="6176" w:type="dxa"/>
          </w:tcPr>
          <w:p w14:paraId="483059FE" w14:textId="25334D75" w:rsidR="009B2562" w:rsidRPr="000B7EE6" w:rsidRDefault="009B2562" w:rsidP="00BC208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Report Citation</w:t>
            </w:r>
          </w:p>
        </w:tc>
        <w:tc>
          <w:tcPr>
            <w:tcW w:w="1037" w:type="dxa"/>
          </w:tcPr>
          <w:p w14:paraId="01F94842" w14:textId="3C2F48E9" w:rsidR="009B2562" w:rsidRPr="000B7EE6" w:rsidRDefault="009B2562" w:rsidP="00BC208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Selection Reason</w:t>
            </w:r>
          </w:p>
        </w:tc>
        <w:tc>
          <w:tcPr>
            <w:tcW w:w="5747" w:type="dxa"/>
          </w:tcPr>
          <w:p w14:paraId="5355BD6E" w14:textId="7D0CF074" w:rsidR="009B2562" w:rsidRPr="000B7EE6" w:rsidRDefault="009B2562" w:rsidP="00BC208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Journal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rticle(s);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omments</w:t>
            </w:r>
          </w:p>
        </w:tc>
      </w:tr>
      <w:tr w:rsidR="009B2562" w:rsidRPr="000B7EE6" w14:paraId="6EEC72EC" w14:textId="77777777" w:rsidTr="00252CAC">
        <w:trPr>
          <w:cantSplit/>
        </w:trPr>
        <w:tc>
          <w:tcPr>
            <w:tcW w:w="6176" w:type="dxa"/>
          </w:tcPr>
          <w:p w14:paraId="527E5C35" w14:textId="0B1BFC5E" w:rsidR="009B2562" w:rsidRPr="000B7EE6" w:rsidRDefault="009B2562" w:rsidP="000B7EE6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sz w:val="18"/>
                <w:szCs w:val="18"/>
              </w:rPr>
              <w:t>2010 (3)</w:t>
            </w:r>
          </w:p>
        </w:tc>
        <w:tc>
          <w:tcPr>
            <w:tcW w:w="1037" w:type="dxa"/>
          </w:tcPr>
          <w:p w14:paraId="54A43B10" w14:textId="77777777" w:rsidR="009B2562" w:rsidRPr="000B7EE6" w:rsidRDefault="009B25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47" w:type="dxa"/>
          </w:tcPr>
          <w:p w14:paraId="3B7ABE89" w14:textId="77777777" w:rsidR="009B2562" w:rsidRPr="000B7EE6" w:rsidRDefault="009B25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B2562" w:rsidRPr="000B7EE6" w14:paraId="6C07FF93" w14:textId="77777777" w:rsidTr="00252CAC">
        <w:trPr>
          <w:cantSplit/>
        </w:trPr>
        <w:tc>
          <w:tcPr>
            <w:tcW w:w="6176" w:type="dxa"/>
          </w:tcPr>
          <w:p w14:paraId="0001A9D2" w14:textId="41AA5D66" w:rsidR="009B2562" w:rsidRPr="000B7EE6" w:rsidRDefault="009B25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Whitlock EP, O’Connor EA, Williams SB,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Beil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TL, Lutz KW. Effectiveness of Primary Care Interventions for Weight Management in Children and Adolescents: An Updated, Targeted Systematic Review for the USPSTF. Evidence Synthesis No. 76. AHRQ Publication No. 10-05144-EF-1. </w:t>
            </w:r>
            <w:r>
              <w:rPr>
                <w:rFonts w:ascii="Arial" w:eastAsia="Calibri" w:hAnsi="Arial" w:cs="Arial"/>
                <w:sz w:val="18"/>
                <w:szCs w:val="18"/>
              </w:rPr>
              <w:t>Rockville, MD:</w:t>
            </w: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Agency for Healthcare Research and Quality, January 2010.</w:t>
            </w:r>
          </w:p>
        </w:tc>
        <w:tc>
          <w:tcPr>
            <w:tcW w:w="1037" w:type="dxa"/>
          </w:tcPr>
          <w:p w14:paraId="5ADC87EC" w14:textId="77777777" w:rsidR="009B2562" w:rsidRPr="000B7EE6" w:rsidRDefault="009B25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Web Utilization Project</w:t>
            </w:r>
          </w:p>
        </w:tc>
        <w:tc>
          <w:tcPr>
            <w:tcW w:w="5747" w:type="dxa"/>
          </w:tcPr>
          <w:p w14:paraId="05AA2988" w14:textId="044B6D21" w:rsidR="009B2562" w:rsidRPr="000B7EE6" w:rsidRDefault="009B25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Plain Font" w:eastAsia="Calibri" w:hAnsi="Plain Font" w:cs="Plain Font"/>
                <w:sz w:val="18"/>
                <w:szCs w:val="18"/>
              </w:rPr>
              <w:t>Whitlock EP, O'Connor EA, Williams SB, et al. Effectiveness of weight management interventions in children: a targeted systematic review for the USPSTF. Pediatrics. 2010 Feb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;125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(2):e396-418. PMID 20083531.</w:t>
            </w:r>
          </w:p>
        </w:tc>
      </w:tr>
      <w:tr w:rsidR="009B2562" w:rsidRPr="000B7EE6" w14:paraId="130EB411" w14:textId="77777777" w:rsidTr="00252CAC">
        <w:trPr>
          <w:cantSplit/>
        </w:trPr>
        <w:tc>
          <w:tcPr>
            <w:tcW w:w="6176" w:type="dxa"/>
          </w:tcPr>
          <w:p w14:paraId="09E49AF3" w14:textId="77777777" w:rsidR="009B2562" w:rsidRPr="000B7EE6" w:rsidRDefault="009B25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Dryden DM, Spooner CH, </w:t>
            </w:r>
            <w:proofErr w:type="spellStart"/>
            <w:r w:rsidRPr="000B7EE6">
              <w:rPr>
                <w:rFonts w:ascii="Arial" w:eastAsia="Calibri" w:hAnsi="Arial" w:cs="Arial"/>
                <w:color w:val="000000"/>
                <w:sz w:val="18"/>
                <w:szCs w:val="18"/>
              </w:rPr>
              <w:t>Stickland</w:t>
            </w:r>
            <w:proofErr w:type="spellEnd"/>
            <w:r w:rsidRPr="000B7EE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MK, </w:t>
            </w:r>
            <w:proofErr w:type="spellStart"/>
            <w:r w:rsidRPr="000B7EE6">
              <w:rPr>
                <w:rFonts w:ascii="Arial" w:eastAsia="Calibri" w:hAnsi="Arial" w:cs="Arial"/>
                <w:color w:val="000000"/>
                <w:sz w:val="18"/>
                <w:szCs w:val="18"/>
              </w:rPr>
              <w:t>Vandermeer</w:t>
            </w:r>
            <w:proofErr w:type="spellEnd"/>
            <w:r w:rsidRPr="000B7EE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B, </w:t>
            </w:r>
            <w:proofErr w:type="spellStart"/>
            <w:r w:rsidRPr="000B7EE6">
              <w:rPr>
                <w:rFonts w:ascii="Arial" w:eastAsia="Calibri" w:hAnsi="Arial" w:cs="Arial"/>
                <w:color w:val="000000"/>
                <w:sz w:val="18"/>
                <w:szCs w:val="18"/>
              </w:rPr>
              <w:t>Tjosvold</w:t>
            </w:r>
            <w:proofErr w:type="spellEnd"/>
            <w:r w:rsidRPr="000B7EE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L, Bialy L, Wong K, Rowe BH. Exercise-Induced Bronchoconstriction and Asthma. Evidence Report/Technology Assessment No. 189 (Prepared by the University of Alberta Evidence-based Practice Center under Contract No. 290-2007-10021-I) AHRQ Publication No. 10-E001. Rockville, MD: Agency for Healthcare Research and Quality. January 2010 (Web site posting); revised March 2010.</w:t>
            </w:r>
          </w:p>
        </w:tc>
        <w:tc>
          <w:tcPr>
            <w:tcW w:w="1037" w:type="dxa"/>
          </w:tcPr>
          <w:p w14:paraId="22190903" w14:textId="77777777" w:rsidR="009B2562" w:rsidRPr="000B7EE6" w:rsidRDefault="009B25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All EPC CERs</w:t>
            </w:r>
          </w:p>
        </w:tc>
        <w:tc>
          <w:tcPr>
            <w:tcW w:w="5747" w:type="dxa"/>
          </w:tcPr>
          <w:p w14:paraId="357B7C6D" w14:textId="77777777" w:rsidR="009B2562" w:rsidRPr="000B7EE6" w:rsidRDefault="009B25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Stickland</w:t>
            </w:r>
            <w:proofErr w:type="spell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MK, Rowe BH, Spooner CH, et al. Accuracy of </w:t>
            </w:r>
            <w:proofErr w:type="spell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eucapnic</w:t>
            </w:r>
            <w:proofErr w:type="spell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</w:t>
            </w:r>
            <w:proofErr w:type="spell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hyperpnea</w:t>
            </w:r>
            <w:proofErr w:type="spell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or </w:t>
            </w:r>
            <w:proofErr w:type="spell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mannitol</w:t>
            </w:r>
            <w:proofErr w:type="spell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to diagnose exercise-induced bronchoconstriction: a systematic review. Annals of Allergy, Asthma &amp; Immunology. 2011</w:t>
            </w:r>
            <w:proofErr w:type="gram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;107</w:t>
            </w:r>
            <w:proofErr w:type="gram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(3):229-34. e8.</w:t>
            </w: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D612E3F" w14:textId="77777777" w:rsidR="009B2562" w:rsidRPr="000B7EE6" w:rsidRDefault="009B25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438201E" w14:textId="77777777" w:rsidR="009B2562" w:rsidRPr="000B7EE6" w:rsidRDefault="009B25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Stickland</w:t>
            </w:r>
            <w:proofErr w:type="spell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MK, Rowe BH, Spooner CH, et al. Effect of warm-up exercise on exercise-induced bronchoconstriction. Med </w:t>
            </w:r>
            <w:proofErr w:type="spell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Sci</w:t>
            </w:r>
            <w:proofErr w:type="spell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Sports </w:t>
            </w:r>
            <w:proofErr w:type="spell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Exerc</w:t>
            </w:r>
            <w:proofErr w:type="spell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. 2012</w:t>
            </w:r>
            <w:proofErr w:type="gram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;44</w:t>
            </w:r>
            <w:proofErr w:type="gram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(3):383-91.</w:t>
            </w:r>
          </w:p>
          <w:p w14:paraId="28351B0E" w14:textId="77777777" w:rsidR="009B2562" w:rsidRPr="000B7EE6" w:rsidRDefault="009B25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185BC12E" w14:textId="5CA6431C" w:rsidR="009B2562" w:rsidRPr="000B7EE6" w:rsidRDefault="009B25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Stickland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MK, Spooner CH, Dryden DM, et al. The need for standardization in exercise challenge testing for exercise-induced asthma/bronchoconstriction. J Allergy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Clin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Immunol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>. 2010 Oct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;126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(4):878-80 e6. PMID 20920779.</w:t>
            </w:r>
          </w:p>
        </w:tc>
      </w:tr>
      <w:tr w:rsidR="009B2562" w:rsidRPr="000B7EE6" w14:paraId="74CFEC59" w14:textId="77777777" w:rsidTr="00252CAC">
        <w:trPr>
          <w:cantSplit/>
        </w:trPr>
        <w:tc>
          <w:tcPr>
            <w:tcW w:w="6176" w:type="dxa"/>
          </w:tcPr>
          <w:p w14:paraId="361EA60D" w14:textId="77777777" w:rsidR="009B2562" w:rsidRPr="000B7EE6" w:rsidRDefault="009B25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Seida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J, Schouten J,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Mousavi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S,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Tjosvold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L,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Vandermeer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B, Milne A, Bond K,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Hartling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L, LeBlanc C,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Sheps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D. Comparative Effectiveness of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Nonoperative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and Operative Treatment for Rotator Cuff Tears. Comparative Effectiveness Review No. 22. (Prepared by the University of Alberta Evidence-based Practice Center under Contract No. 290-02-0023.) AHRQ Publication No. 10-EHC050. Rockville, MD: Agency for Healthcare Research and Quality. July 2010.</w:t>
            </w:r>
          </w:p>
        </w:tc>
        <w:tc>
          <w:tcPr>
            <w:tcW w:w="1037" w:type="dxa"/>
          </w:tcPr>
          <w:p w14:paraId="50D50B33" w14:textId="77777777" w:rsidR="009B2562" w:rsidRPr="000B7EE6" w:rsidRDefault="009B25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All EPC CERs</w:t>
            </w:r>
          </w:p>
        </w:tc>
        <w:tc>
          <w:tcPr>
            <w:tcW w:w="5747" w:type="dxa"/>
          </w:tcPr>
          <w:p w14:paraId="181B9280" w14:textId="716964E2" w:rsidR="009B2562" w:rsidRPr="000B7EE6" w:rsidRDefault="009B25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Seida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JC, LeBlanc C, Schouten JR, et al. Systematic review: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nonoperative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and operative treatments for rotator cuff tears. Ann Intern Med. 2010 Aug 17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;153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(4):246-55. PMID 20621893.</w:t>
            </w:r>
          </w:p>
        </w:tc>
      </w:tr>
    </w:tbl>
    <w:p w14:paraId="40A9B283" w14:textId="77777777" w:rsidR="009B2562" w:rsidRDefault="009B2562">
      <w:r>
        <w:br w:type="page"/>
      </w:r>
    </w:p>
    <w:tbl>
      <w:tblPr>
        <w:tblStyle w:val="TableGrid11"/>
        <w:tblW w:w="12960" w:type="dxa"/>
        <w:tblLayout w:type="fixed"/>
        <w:tblLook w:val="04A0" w:firstRow="1" w:lastRow="0" w:firstColumn="1" w:lastColumn="0" w:noHBand="0" w:noVBand="1"/>
      </w:tblPr>
      <w:tblGrid>
        <w:gridCol w:w="6176"/>
        <w:gridCol w:w="1037"/>
        <w:gridCol w:w="5747"/>
      </w:tblGrid>
      <w:tr w:rsidR="009B2562" w:rsidRPr="000B7EE6" w14:paraId="5433BE19" w14:textId="77777777" w:rsidTr="00BC2089">
        <w:trPr>
          <w:cantSplit/>
          <w:tblHeader/>
        </w:trPr>
        <w:tc>
          <w:tcPr>
            <w:tcW w:w="12960" w:type="dxa"/>
            <w:gridSpan w:val="3"/>
            <w:tcBorders>
              <w:top w:val="nil"/>
              <w:left w:val="nil"/>
              <w:right w:val="nil"/>
            </w:tcBorders>
          </w:tcPr>
          <w:p w14:paraId="13663CB6" w14:textId="3A8CCB37" w:rsidR="009B25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lastRenderedPageBreak/>
              <w:t>Table A1. Comparative Effectiveness Reviews sele</w:t>
            </w:r>
            <w:r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t>cted for utilization monitoring (continued)</w:t>
            </w:r>
          </w:p>
        </w:tc>
      </w:tr>
      <w:tr w:rsidR="007E3462" w:rsidRPr="000B7EE6" w14:paraId="3ED12F7F" w14:textId="77777777" w:rsidTr="00BC2089">
        <w:trPr>
          <w:cantSplit/>
          <w:tblHeader/>
        </w:trPr>
        <w:tc>
          <w:tcPr>
            <w:tcW w:w="6176" w:type="dxa"/>
          </w:tcPr>
          <w:p w14:paraId="13DFD01E" w14:textId="50E365AE" w:rsidR="007E3462" w:rsidRPr="000B7EE6" w:rsidRDefault="007E3462" w:rsidP="00BC208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Report Citation</w:t>
            </w:r>
          </w:p>
        </w:tc>
        <w:tc>
          <w:tcPr>
            <w:tcW w:w="1037" w:type="dxa"/>
          </w:tcPr>
          <w:p w14:paraId="0C3FBEC8" w14:textId="3EC0A7CB" w:rsidR="007E3462" w:rsidRPr="000B7EE6" w:rsidRDefault="007E3462" w:rsidP="00BC208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Selection Reason</w:t>
            </w:r>
          </w:p>
        </w:tc>
        <w:tc>
          <w:tcPr>
            <w:tcW w:w="5747" w:type="dxa"/>
          </w:tcPr>
          <w:p w14:paraId="0486B4C2" w14:textId="7FF1D994" w:rsidR="007E3462" w:rsidRPr="000B7EE6" w:rsidRDefault="007E3462" w:rsidP="00BC208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Journal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rticle(s);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omments</w:t>
            </w:r>
          </w:p>
        </w:tc>
      </w:tr>
      <w:tr w:rsidR="007E3462" w:rsidRPr="000B7EE6" w14:paraId="21B02A8A" w14:textId="77777777" w:rsidTr="00252CAC">
        <w:trPr>
          <w:cantSplit/>
        </w:trPr>
        <w:tc>
          <w:tcPr>
            <w:tcW w:w="6176" w:type="dxa"/>
          </w:tcPr>
          <w:p w14:paraId="67AB06D8" w14:textId="74717BDD" w:rsidR="007E3462" w:rsidRPr="000B7EE6" w:rsidRDefault="007E3462" w:rsidP="000B7EE6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sz w:val="18"/>
                <w:szCs w:val="18"/>
              </w:rPr>
              <w:t>2011 (6)</w:t>
            </w:r>
          </w:p>
        </w:tc>
        <w:tc>
          <w:tcPr>
            <w:tcW w:w="1037" w:type="dxa"/>
          </w:tcPr>
          <w:p w14:paraId="273277B1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47" w:type="dxa"/>
          </w:tcPr>
          <w:p w14:paraId="5626985E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E3462" w:rsidRPr="000B7EE6" w14:paraId="61A012EF" w14:textId="77777777" w:rsidTr="00252CAC">
        <w:trPr>
          <w:cantSplit/>
        </w:trPr>
        <w:tc>
          <w:tcPr>
            <w:tcW w:w="6176" w:type="dxa"/>
          </w:tcPr>
          <w:p w14:paraId="7E5CA22E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Bennett WL, Wilson LM, Bolen S,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Maruthur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N, Singh, S, Chatterjee R,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Marinopoulos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SS,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Puhan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MA,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Ranasinghe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P, Nicholson WK, Block L,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Odelola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O,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Dalal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DS,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Ogbeche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GE, Chandrasekhar A,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Hutfless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S, Bass EB, Segal JB. Oral Diabetes Medications for Adults With Type 2 Diabetes: An Update. Comparative Effectiveness Review No. 27. (Prepared by Johns Hopkins University Evidence-based Practice Center under Contract No. 290-02-0018.) AHRQ Publication No. 11-EHC038-EF. Rockville, MD: Agency for Healthcare Research and Quality. March 2011.</w:t>
            </w:r>
          </w:p>
        </w:tc>
        <w:tc>
          <w:tcPr>
            <w:tcW w:w="1037" w:type="dxa"/>
          </w:tcPr>
          <w:p w14:paraId="42C6CBCD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Web Utilization Project</w:t>
            </w:r>
          </w:p>
        </w:tc>
        <w:tc>
          <w:tcPr>
            <w:tcW w:w="5747" w:type="dxa"/>
          </w:tcPr>
          <w:p w14:paraId="18BB39AB" w14:textId="748637AC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Bennett WL,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Maruthur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NM, Singh S, et al. Comparative effectiveness and safety of medications for type 2 diabetes: an update including new drugs and 2-drug combinations. Ann Intern Med. 2011 May 3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;154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(9):602-13. PMID 21403054.</w:t>
            </w:r>
          </w:p>
        </w:tc>
      </w:tr>
      <w:tr w:rsidR="007E3462" w:rsidRPr="000B7EE6" w14:paraId="781CC480" w14:textId="77777777" w:rsidTr="00252CAC">
        <w:trPr>
          <w:cantSplit/>
        </w:trPr>
        <w:tc>
          <w:tcPr>
            <w:tcW w:w="6176" w:type="dxa"/>
          </w:tcPr>
          <w:p w14:paraId="55035568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Sanders GD,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Coeytaux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R, Dolor RJ, Hasselblad V, Patel UD, Powers B,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Yancy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Jr WS, Gray RN, Irvine RJ, Kendrick A. Angiotensin-Converting Enzyme Inhibitors (ACEIs), Angiotensin II Receptor Antagonists (ARBs), and Direct Renin Inhibitors for Treating Essential Hypertension: An Update. Comparative Effectiveness Review No. 34. (Prepared by the Duke Evidence-based Practice Center under Contract No. 290-02-0025.) AHRQ Publication No. 11-EHC063-EF. Rockville, MD: Agency for Healthcare Research and Quality. June 2011.</w:t>
            </w:r>
          </w:p>
        </w:tc>
        <w:tc>
          <w:tcPr>
            <w:tcW w:w="1037" w:type="dxa"/>
          </w:tcPr>
          <w:p w14:paraId="7BF056E9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Web Utilization Project</w:t>
            </w:r>
          </w:p>
        </w:tc>
        <w:tc>
          <w:tcPr>
            <w:tcW w:w="5747" w:type="dxa"/>
          </w:tcPr>
          <w:p w14:paraId="01C4FB89" w14:textId="533C1589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Powers BJ,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Coeytaux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RR, Dolor RJ, et al. Updated report on comparative effectiveness of ACE inhibitors, ARBs, and direct renin inhibitors for patients with essential hypertension: much more data, little new information. J Gen Intern Med. 2012 Jun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;27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(6):716-29. PMID 22147122.</w:t>
            </w:r>
          </w:p>
          <w:p w14:paraId="7CF257BC" w14:textId="5CDD96F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Powers B, Greene L, Balfe LM. Updates on the treatment of essential hypertension: a summary of AHRQ’s comparative effectiveness review of angiotensin-converting enzyme inhibitors, angiotensin ii receptor blockers, and direct renin inhibitors. Journal of Managed Care Pharmacy. 2011</w:t>
            </w:r>
            <w:proofErr w:type="gram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;17</w:t>
            </w:r>
            <w:proofErr w:type="gram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(8).</w:t>
            </w:r>
          </w:p>
        </w:tc>
      </w:tr>
      <w:tr w:rsidR="007E3462" w:rsidRPr="000B7EE6" w14:paraId="4DC0B693" w14:textId="77777777" w:rsidTr="00252CAC">
        <w:trPr>
          <w:cantSplit/>
        </w:trPr>
        <w:tc>
          <w:tcPr>
            <w:tcW w:w="6176" w:type="dxa"/>
          </w:tcPr>
          <w:p w14:paraId="02AB675A" w14:textId="43130EF9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Ip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S, Chung M,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Moorthy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D, Yu WW, Lee J, Chan JA,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Bonis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PA, Lau J. Comparative Effectiveness of Management Strategies for Gastroesophageal Reflux Disease: Update. Comparative Effectiveness Review No. 29. (Prepared by Tufts Medical Center Evidence-based Practice Center under Contract No.  290-2007-10055-I.) AHRQ Publication No. 11-EHC049-EF. Rockville, MD: Agency for Healthcare Research and Quality. September 2011.</w:t>
            </w:r>
          </w:p>
        </w:tc>
        <w:tc>
          <w:tcPr>
            <w:tcW w:w="1037" w:type="dxa"/>
          </w:tcPr>
          <w:p w14:paraId="04A89D20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Web Utilization Project</w:t>
            </w:r>
          </w:p>
        </w:tc>
        <w:tc>
          <w:tcPr>
            <w:tcW w:w="5747" w:type="dxa"/>
          </w:tcPr>
          <w:p w14:paraId="53A0754C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None identified</w:t>
            </w:r>
          </w:p>
        </w:tc>
      </w:tr>
      <w:tr w:rsidR="007E3462" w:rsidRPr="000B7EE6" w14:paraId="562F5D57" w14:textId="77777777" w:rsidTr="00252CAC">
        <w:trPr>
          <w:cantSplit/>
        </w:trPr>
        <w:tc>
          <w:tcPr>
            <w:tcW w:w="6176" w:type="dxa"/>
          </w:tcPr>
          <w:p w14:paraId="75291305" w14:textId="4D323701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Chou R,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McDonagh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MS,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Nakamoto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E, Griffin J. Analgesics for Osteoarthritis: An Update of the 2006 Comparative Effectiveness Review. Comparative Effectiveness Review No. 38. (Prepared by the Oregon Evidence-based Practice Center under Contract No.  290 2007 10057 I) AHRQ Publication No. 11(12)-EHC076-EF. Rockville, MD: Agency for Healthcare Research and Quality. October 2011.</w:t>
            </w:r>
          </w:p>
        </w:tc>
        <w:tc>
          <w:tcPr>
            <w:tcW w:w="1037" w:type="dxa"/>
          </w:tcPr>
          <w:p w14:paraId="43CB9D0E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Web Utilization Project</w:t>
            </w:r>
          </w:p>
        </w:tc>
        <w:tc>
          <w:tcPr>
            <w:tcW w:w="5747" w:type="dxa"/>
          </w:tcPr>
          <w:p w14:paraId="7554EDB0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None identified</w:t>
            </w:r>
          </w:p>
        </w:tc>
      </w:tr>
    </w:tbl>
    <w:p w14:paraId="18E2344B" w14:textId="77777777" w:rsidR="007E3462" w:rsidRDefault="007E3462">
      <w:r>
        <w:br w:type="page"/>
      </w:r>
    </w:p>
    <w:tbl>
      <w:tblPr>
        <w:tblStyle w:val="TableGrid11"/>
        <w:tblW w:w="12960" w:type="dxa"/>
        <w:tblLayout w:type="fixed"/>
        <w:tblLook w:val="04A0" w:firstRow="1" w:lastRow="0" w:firstColumn="1" w:lastColumn="0" w:noHBand="0" w:noVBand="1"/>
      </w:tblPr>
      <w:tblGrid>
        <w:gridCol w:w="6176"/>
        <w:gridCol w:w="1037"/>
        <w:gridCol w:w="5747"/>
      </w:tblGrid>
      <w:tr w:rsidR="007E3462" w:rsidRPr="000B7EE6" w14:paraId="79A6D42C" w14:textId="77777777" w:rsidTr="00BC2089">
        <w:trPr>
          <w:cantSplit/>
          <w:tblHeader/>
        </w:trPr>
        <w:tc>
          <w:tcPr>
            <w:tcW w:w="12960" w:type="dxa"/>
            <w:gridSpan w:val="3"/>
            <w:tcBorders>
              <w:top w:val="nil"/>
              <w:left w:val="nil"/>
              <w:right w:val="nil"/>
            </w:tcBorders>
          </w:tcPr>
          <w:p w14:paraId="2F696725" w14:textId="2D42830B" w:rsidR="007E3462" w:rsidRDefault="007E3462" w:rsidP="000B7EE6">
            <w:pPr>
              <w:rPr>
                <w:rFonts w:ascii="Plain Font" w:eastAsia="Calibri" w:hAnsi="Plain Font" w:cs="Plain Font"/>
                <w:sz w:val="18"/>
                <w:szCs w:val="18"/>
              </w:rPr>
            </w:pPr>
            <w:r w:rsidRPr="000B7EE6"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lastRenderedPageBreak/>
              <w:t>Table A1. Comparative Effectiveness Reviews sele</w:t>
            </w:r>
            <w:r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t>cted for utilization monitoring (continued)</w:t>
            </w:r>
          </w:p>
        </w:tc>
      </w:tr>
      <w:tr w:rsidR="007E3462" w:rsidRPr="000B7EE6" w14:paraId="409A150B" w14:textId="77777777" w:rsidTr="00252CAC">
        <w:trPr>
          <w:cantSplit/>
        </w:trPr>
        <w:tc>
          <w:tcPr>
            <w:tcW w:w="6176" w:type="dxa"/>
          </w:tcPr>
          <w:p w14:paraId="33E61F0C" w14:textId="6EE40526" w:rsidR="007E3462" w:rsidRPr="000B7EE6" w:rsidRDefault="007E3462" w:rsidP="00BC208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Report Citation</w:t>
            </w:r>
          </w:p>
        </w:tc>
        <w:tc>
          <w:tcPr>
            <w:tcW w:w="1037" w:type="dxa"/>
          </w:tcPr>
          <w:p w14:paraId="1E41EE98" w14:textId="3CA66257" w:rsidR="007E3462" w:rsidRPr="000B7EE6" w:rsidRDefault="007E3462" w:rsidP="00BC208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Selection Reason</w:t>
            </w:r>
          </w:p>
        </w:tc>
        <w:tc>
          <w:tcPr>
            <w:tcW w:w="5747" w:type="dxa"/>
          </w:tcPr>
          <w:p w14:paraId="626B11E3" w14:textId="56176DDC" w:rsidR="007E3462" w:rsidRDefault="007E3462" w:rsidP="00BC2089">
            <w:pPr>
              <w:jc w:val="center"/>
              <w:rPr>
                <w:rFonts w:ascii="Plain Font" w:eastAsia="Calibri" w:hAnsi="Plain Font" w:cs="Plain Font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Journal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rticle(s);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omments</w:t>
            </w:r>
          </w:p>
        </w:tc>
      </w:tr>
      <w:tr w:rsidR="007E3462" w:rsidRPr="000B7EE6" w14:paraId="123B9332" w14:textId="77777777" w:rsidTr="00252CAC">
        <w:trPr>
          <w:cantSplit/>
        </w:trPr>
        <w:tc>
          <w:tcPr>
            <w:tcW w:w="6176" w:type="dxa"/>
          </w:tcPr>
          <w:p w14:paraId="721CBBBA" w14:textId="7C3503DD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Butler M, Bliss D,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Drekonja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D,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Filice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G, Rector T, MacDonald R, Wilt T. Effectiveness of Early Diagnosis, Prevention, and Treatment of </w:t>
            </w:r>
            <w:r w:rsidRPr="000B7EE6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Clostridium difficile </w:t>
            </w:r>
            <w:r w:rsidRPr="000B7EE6">
              <w:rPr>
                <w:rFonts w:ascii="Arial" w:eastAsia="Calibri" w:hAnsi="Arial" w:cs="Arial"/>
                <w:sz w:val="18"/>
                <w:szCs w:val="18"/>
              </w:rPr>
              <w:t>Infection. Comparative Effectiveness Review No. 31. (Prepared by the Minnesota Evidence-based Practice Center under Contract No. 290-02-0009.) AHRQ Publication No. 11(12)-EHC051-EF. Rockville, MD: Agency for Healthcare Research and Quality. December 2011.</w:t>
            </w:r>
          </w:p>
        </w:tc>
        <w:tc>
          <w:tcPr>
            <w:tcW w:w="1037" w:type="dxa"/>
          </w:tcPr>
          <w:p w14:paraId="535AC8B4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Web Utilization Project</w:t>
            </w:r>
          </w:p>
        </w:tc>
        <w:tc>
          <w:tcPr>
            <w:tcW w:w="5747" w:type="dxa"/>
          </w:tcPr>
          <w:p w14:paraId="5CD27E13" w14:textId="1A750552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Drekonja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DM, Butler M, MacDonald R, et al. Comparative effectiveness of Clostridium difficile treatments: a systematic review. Ann Intern Med. 2011 Dec 20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;155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(12):839-47. PMID 22184691.</w:t>
            </w:r>
          </w:p>
        </w:tc>
      </w:tr>
      <w:tr w:rsidR="007E3462" w:rsidRPr="000B7EE6" w14:paraId="5B41F16F" w14:textId="77777777" w:rsidTr="00252CAC">
        <w:trPr>
          <w:cantSplit/>
        </w:trPr>
        <w:tc>
          <w:tcPr>
            <w:tcW w:w="6176" w:type="dxa"/>
          </w:tcPr>
          <w:p w14:paraId="128A950C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Gartlehner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G, Hansen RA, Morgan LC,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Thaler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K, Lux LJ, Van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Noord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M,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Mager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U,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Gaynes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BN,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Thieda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P,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Strobelberger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M, Lloyd S,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Reichenpfader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U,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Lohr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KN. Second-Generation Antidepressants in the Pharmacologic Treatment of Adult Depression: An Update of the 2007 Comparative Effectiveness Review. (Prepared by the RTI International–University of North Carolina Evidence-based Practice Center, Contract No. 290-2007-10056-I.) AHRQ Publication No. 12-EHC012-EF. Rockville, MD: Agency for Healthcare Research and Quality. December 2011.</w:t>
            </w:r>
          </w:p>
        </w:tc>
        <w:tc>
          <w:tcPr>
            <w:tcW w:w="1037" w:type="dxa"/>
          </w:tcPr>
          <w:p w14:paraId="6984A375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Web Utilization Project</w:t>
            </w:r>
          </w:p>
        </w:tc>
        <w:tc>
          <w:tcPr>
            <w:tcW w:w="5747" w:type="dxa"/>
          </w:tcPr>
          <w:p w14:paraId="207F9EE4" w14:textId="1659DA1B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Gartlehner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G, Hansen RA, Morgan LC, et al. Comparative benefits and harms of second-generation antidepressants for treating major depressive disorder: an updated meta-analysis. Ann Intern Med. 2011 Dec 6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;155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(11):772-85. PMID 22147715.</w:t>
            </w:r>
          </w:p>
          <w:p w14:paraId="5AFF4D12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F3C86E1" w14:textId="77777777" w:rsidR="007E3462" w:rsidRPr="000B7EE6" w:rsidRDefault="007E3462" w:rsidP="000B7EE6">
            <w:pPr>
              <w:rPr>
                <w:rFonts w:ascii="Plain Font" w:eastAsia="Calibri" w:hAnsi="Plain Font" w:cs="Plain Font"/>
                <w:sz w:val="18"/>
                <w:szCs w:val="18"/>
              </w:rPr>
            </w:pPr>
            <w:proofErr w:type="spell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Thaler</w:t>
            </w:r>
            <w:proofErr w:type="spell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KJ, Morgan LC, Van </w:t>
            </w:r>
            <w:proofErr w:type="spell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Noord</w:t>
            </w:r>
            <w:proofErr w:type="spell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M, et al. Comparative effectiveness of second-generation antidepressants for accompanying anxiety, insomnia, and pain in depressed patients. Depression and anxiety. 2012</w:t>
            </w:r>
            <w:proofErr w:type="gram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;29</w:t>
            </w:r>
            <w:proofErr w:type="gram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(6):495-505.</w:t>
            </w:r>
          </w:p>
          <w:p w14:paraId="200F2953" w14:textId="77777777" w:rsidR="007E3462" w:rsidRPr="000B7EE6" w:rsidRDefault="007E3462" w:rsidP="000B7EE6">
            <w:pPr>
              <w:rPr>
                <w:rFonts w:ascii="Plain Font" w:eastAsia="Calibri" w:hAnsi="Plain Font" w:cs="Plain Font"/>
                <w:sz w:val="18"/>
                <w:szCs w:val="18"/>
              </w:rPr>
            </w:pPr>
          </w:p>
          <w:p w14:paraId="00B128DA" w14:textId="77777777" w:rsidR="007E3462" w:rsidRPr="000B7EE6" w:rsidRDefault="007E3462" w:rsidP="000B7EE6">
            <w:pPr>
              <w:rPr>
                <w:rFonts w:ascii="Plain Font" w:eastAsia="Calibri" w:hAnsi="Plain Font" w:cs="Plain Font"/>
                <w:sz w:val="18"/>
                <w:szCs w:val="18"/>
              </w:rPr>
            </w:pPr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Morgan L, </w:t>
            </w:r>
            <w:proofErr w:type="spell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Gartlehner</w:t>
            </w:r>
            <w:proofErr w:type="spell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G. Comparative efficacy, effectiveness and harms of second-generation antidepressants in the pharmacologic treatment of adult depression. European Psychiatry. 2011</w:t>
            </w:r>
            <w:proofErr w:type="gram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;26:1266</w:t>
            </w:r>
            <w:proofErr w:type="gram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.</w:t>
            </w:r>
          </w:p>
          <w:p w14:paraId="2778E28D" w14:textId="77777777" w:rsidR="007E3462" w:rsidRPr="000B7EE6" w:rsidRDefault="007E3462" w:rsidP="000B7EE6">
            <w:pPr>
              <w:rPr>
                <w:rFonts w:ascii="Plain Font" w:eastAsia="Calibri" w:hAnsi="Plain Font" w:cs="Plain Font"/>
                <w:sz w:val="18"/>
                <w:szCs w:val="18"/>
              </w:rPr>
            </w:pPr>
          </w:p>
          <w:p w14:paraId="63980D45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Morgan L, </w:t>
            </w:r>
            <w:proofErr w:type="spell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Gartlehner</w:t>
            </w:r>
            <w:proofErr w:type="spell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G. Comparative benefits and harms of second-generation antidepressants in the pharmacologic treatment of depression in older adults and populations with comorbid conditions. European Psychiatry. 2012</w:t>
            </w:r>
            <w:proofErr w:type="gram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;27:1</w:t>
            </w:r>
            <w:proofErr w:type="gram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.</w:t>
            </w:r>
          </w:p>
        </w:tc>
      </w:tr>
    </w:tbl>
    <w:p w14:paraId="63AAF8FD" w14:textId="77777777" w:rsidR="007E3462" w:rsidRDefault="007E3462">
      <w:r>
        <w:br w:type="page"/>
      </w:r>
    </w:p>
    <w:tbl>
      <w:tblPr>
        <w:tblStyle w:val="TableGrid11"/>
        <w:tblW w:w="12960" w:type="dxa"/>
        <w:tblLayout w:type="fixed"/>
        <w:tblLook w:val="04A0" w:firstRow="1" w:lastRow="0" w:firstColumn="1" w:lastColumn="0" w:noHBand="0" w:noVBand="1"/>
      </w:tblPr>
      <w:tblGrid>
        <w:gridCol w:w="6176"/>
        <w:gridCol w:w="1037"/>
        <w:gridCol w:w="5747"/>
      </w:tblGrid>
      <w:tr w:rsidR="007E3462" w:rsidRPr="000B7EE6" w14:paraId="100F014C" w14:textId="77777777" w:rsidTr="00BC2089">
        <w:trPr>
          <w:cantSplit/>
        </w:trPr>
        <w:tc>
          <w:tcPr>
            <w:tcW w:w="12960" w:type="dxa"/>
            <w:gridSpan w:val="3"/>
            <w:tcBorders>
              <w:top w:val="nil"/>
              <w:left w:val="nil"/>
              <w:right w:val="nil"/>
            </w:tcBorders>
          </w:tcPr>
          <w:p w14:paraId="10866CF7" w14:textId="473D3D7A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lastRenderedPageBreak/>
              <w:t>Table A1. Comparative Effectiveness Reviews sele</w:t>
            </w:r>
            <w:r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t>cted for utilization monitoring (continued)</w:t>
            </w:r>
          </w:p>
        </w:tc>
      </w:tr>
      <w:tr w:rsidR="007E3462" w:rsidRPr="000B7EE6" w14:paraId="1F59C82C" w14:textId="77777777" w:rsidTr="00252CAC">
        <w:trPr>
          <w:cantSplit/>
        </w:trPr>
        <w:tc>
          <w:tcPr>
            <w:tcW w:w="6176" w:type="dxa"/>
          </w:tcPr>
          <w:p w14:paraId="380300BB" w14:textId="47136240" w:rsidR="007E3462" w:rsidRPr="000B7EE6" w:rsidRDefault="007E3462" w:rsidP="00BC208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Report Citation</w:t>
            </w:r>
          </w:p>
        </w:tc>
        <w:tc>
          <w:tcPr>
            <w:tcW w:w="1037" w:type="dxa"/>
          </w:tcPr>
          <w:p w14:paraId="663FCAA4" w14:textId="4DACFAFB" w:rsidR="007E3462" w:rsidRPr="000B7EE6" w:rsidRDefault="007E3462" w:rsidP="00BC208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Selection Reason</w:t>
            </w:r>
          </w:p>
        </w:tc>
        <w:tc>
          <w:tcPr>
            <w:tcW w:w="5747" w:type="dxa"/>
          </w:tcPr>
          <w:p w14:paraId="384DE512" w14:textId="00253ED6" w:rsidR="007E3462" w:rsidRPr="000B7EE6" w:rsidRDefault="007E3462" w:rsidP="00BC208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Journal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rticle(s);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omments</w:t>
            </w:r>
          </w:p>
        </w:tc>
      </w:tr>
      <w:tr w:rsidR="007E3462" w:rsidRPr="000B7EE6" w14:paraId="730B51DD" w14:textId="77777777" w:rsidTr="00252CAC">
        <w:trPr>
          <w:cantSplit/>
        </w:trPr>
        <w:tc>
          <w:tcPr>
            <w:tcW w:w="6176" w:type="dxa"/>
          </w:tcPr>
          <w:p w14:paraId="0BD81DFF" w14:textId="60B6E639" w:rsidR="007E3462" w:rsidRPr="000B7EE6" w:rsidRDefault="007E3462" w:rsidP="000B7EE6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sz w:val="18"/>
                <w:szCs w:val="18"/>
              </w:rPr>
              <w:t>2012 (9)</w:t>
            </w:r>
          </w:p>
        </w:tc>
        <w:tc>
          <w:tcPr>
            <w:tcW w:w="1037" w:type="dxa"/>
          </w:tcPr>
          <w:p w14:paraId="7D037DF9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47" w:type="dxa"/>
          </w:tcPr>
          <w:p w14:paraId="0A04BE75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E3462" w:rsidRPr="000B7EE6" w14:paraId="562383D8" w14:textId="77777777" w:rsidTr="00252CAC">
        <w:trPr>
          <w:cantSplit/>
        </w:trPr>
        <w:tc>
          <w:tcPr>
            <w:tcW w:w="6176" w:type="dxa"/>
          </w:tcPr>
          <w:p w14:paraId="14507071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Seida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JC, Schouten JR,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Mousavi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SS, Hamm M,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Beaith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A,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Vandermeer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B, Dryden DM,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Boylan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K, Newton AS, Carrey N. First- and Second-Generation Antipsychotics for Children and Young Adults. Comparative Effectiveness Review No. 39. (Prepared by the University of Alberta Evidence-based Practice Center under Contract No. 290-2007-10021.)  AHRQ Publication No. 11(12)-EHC077-EF. Rockville, MD. Agency for Healthcare Research and Quality. February 2012.</w:t>
            </w:r>
          </w:p>
        </w:tc>
        <w:tc>
          <w:tcPr>
            <w:tcW w:w="1037" w:type="dxa"/>
          </w:tcPr>
          <w:p w14:paraId="6CF65AC4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Web Utilization Project</w:t>
            </w:r>
          </w:p>
        </w:tc>
        <w:tc>
          <w:tcPr>
            <w:tcW w:w="5747" w:type="dxa"/>
          </w:tcPr>
          <w:p w14:paraId="4205087D" w14:textId="77D10EFC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Seida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JC, Schouten JR,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Boylan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K, et al. Antipsychotics for children and young adults: a comparative effectiveness review. Pediatrics. 2012 Mar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;129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(3):e771-84. PMID 22351885.</w:t>
            </w:r>
          </w:p>
        </w:tc>
      </w:tr>
      <w:tr w:rsidR="007E3462" w:rsidRPr="000B7EE6" w14:paraId="49FC586B" w14:textId="77777777" w:rsidTr="00252CAC">
        <w:trPr>
          <w:cantSplit/>
        </w:trPr>
        <w:tc>
          <w:tcPr>
            <w:tcW w:w="6176" w:type="dxa"/>
          </w:tcPr>
          <w:p w14:paraId="2B85C68B" w14:textId="2A38E2F8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Crandall CJ, Newberry SJ,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Gellad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WG,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Diamant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A, Lim YW,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Suttorp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M,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Motala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A, Ewing B, Roth B,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Timmer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M,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Shanman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R, Shekelle PG. Treatment to Prevent Fractures in Men and Women with Low Bone Density or Osteoporosis: Update of a 2007 Report. Comparative Effectiveness Review No. 53. (Prepared by Southern California Evidence-based Practice Center under Contract No. -290-2007-10062-I.) Rockville, MD: Agency for Healthcare Research and Quality; March 2012.</w:t>
            </w:r>
          </w:p>
        </w:tc>
        <w:tc>
          <w:tcPr>
            <w:tcW w:w="1037" w:type="dxa"/>
          </w:tcPr>
          <w:p w14:paraId="461E8A81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All EPC CERs</w:t>
            </w:r>
          </w:p>
        </w:tc>
        <w:tc>
          <w:tcPr>
            <w:tcW w:w="5747" w:type="dxa"/>
          </w:tcPr>
          <w:p w14:paraId="1CB43FB2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None identified</w:t>
            </w:r>
          </w:p>
        </w:tc>
      </w:tr>
      <w:tr w:rsidR="007E3462" w:rsidRPr="000B7EE6" w14:paraId="665E78E3" w14:textId="77777777" w:rsidTr="00252CAC">
        <w:trPr>
          <w:cantSplit/>
        </w:trPr>
        <w:tc>
          <w:tcPr>
            <w:tcW w:w="6176" w:type="dxa"/>
          </w:tcPr>
          <w:p w14:paraId="70D8E905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Donahue KE, Jonas DE, Hansen RA,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Roubey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R, Jonas B, Lux LJ,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Gartlehner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G, Harden E, Wilkins T,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Peravali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V,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Bangdiwala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SI, Yuen A,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Thieda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P, Morgan LC,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Crotty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K, Desai R, Van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Noord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M. Drug Therapy for Rheumatoid Arthritis in Adults: An Update. Comparative Effectiveness Review No. 55. (Prepared by RTI-UNC Evidence-based Practice Center under Contract No. 290-02-0016-I.) Rockville, MD: Agency for Healthcare Research and Quality. April 2012.</w:t>
            </w:r>
          </w:p>
        </w:tc>
        <w:tc>
          <w:tcPr>
            <w:tcW w:w="1037" w:type="dxa"/>
          </w:tcPr>
          <w:p w14:paraId="4C705116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Web Utilization Project</w:t>
            </w:r>
          </w:p>
        </w:tc>
        <w:tc>
          <w:tcPr>
            <w:tcW w:w="5747" w:type="dxa"/>
          </w:tcPr>
          <w:p w14:paraId="0BE3A4F8" w14:textId="77777777" w:rsidR="007E3462" w:rsidRPr="000B7EE6" w:rsidRDefault="007E3462" w:rsidP="000B7EE6">
            <w:pPr>
              <w:rPr>
                <w:rFonts w:ascii="Plain Font" w:eastAsia="Calibri" w:hAnsi="Plain Font" w:cs="Plain Font"/>
                <w:sz w:val="18"/>
                <w:szCs w:val="18"/>
              </w:rPr>
            </w:pPr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Desai RJ, Hansen RA, Rao JK, et al. Mixed treatment comparison of the treatment discontinuations of biologic disease-modifying antirheumatic drugs in adults with rheumatoid arthritis. The Annals of pharmacotherapy. 2012</w:t>
            </w:r>
            <w:proofErr w:type="gram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;46</w:t>
            </w:r>
            <w:proofErr w:type="gram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(11):1491-505.</w:t>
            </w:r>
          </w:p>
          <w:p w14:paraId="373C67C1" w14:textId="77777777" w:rsidR="007E3462" w:rsidRPr="000B7EE6" w:rsidRDefault="007E3462" w:rsidP="000B7EE6">
            <w:pPr>
              <w:rPr>
                <w:rFonts w:ascii="Plain Font" w:eastAsia="Calibri" w:hAnsi="Plain Font" w:cs="Plain Font"/>
                <w:sz w:val="18"/>
                <w:szCs w:val="18"/>
              </w:rPr>
            </w:pPr>
          </w:p>
          <w:p w14:paraId="7C0852D4" w14:textId="307CBFC0" w:rsidR="007E3462" w:rsidRPr="008A11C3" w:rsidRDefault="007E3462" w:rsidP="008A11C3">
            <w:pPr>
              <w:autoSpaceDE w:val="0"/>
              <w:autoSpaceDN w:val="0"/>
              <w:adjustRightInd w:val="0"/>
              <w:rPr>
                <w:rFonts w:ascii="Plain Font" w:eastAsia="Calibri" w:hAnsi="Plain Font" w:cs="Plain Font"/>
                <w:sz w:val="18"/>
                <w:szCs w:val="18"/>
              </w:rPr>
            </w:pPr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Donahue KE, Jonas DE, Hansen RA, et al. Clinical and Self-Reported Scales and Instruments Commonly Used in Studies of Drug Therapy for Rheumatoid Arthritis and Psoriatic Arthritis. </w:t>
            </w:r>
            <w:r>
              <w:rPr>
                <w:rFonts w:ascii="Plain Font" w:eastAsia="Calibri" w:hAnsi="Plain Font" w:cs="Plain Font"/>
                <w:sz w:val="18"/>
                <w:szCs w:val="18"/>
              </w:rPr>
              <w:t>2012.</w:t>
            </w:r>
          </w:p>
        </w:tc>
      </w:tr>
      <w:tr w:rsidR="007E3462" w:rsidRPr="000B7EE6" w14:paraId="4E385FA8" w14:textId="77777777" w:rsidTr="00252CAC">
        <w:trPr>
          <w:cantSplit/>
        </w:trPr>
        <w:tc>
          <w:tcPr>
            <w:tcW w:w="6176" w:type="dxa"/>
          </w:tcPr>
          <w:p w14:paraId="51508FA1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Donahue KE, et al., Drug Therapy for Rheumatoid Arthritis in Adults: An Update. Comparative Effectiveness Review No. 55. (Prepared by RTI-UNC Evidence-based Practice Center under Contract No. 290-02-0016-I.) Rockville, MD: Agency for Healthcare Research and Quality. April 2012.</w:t>
            </w:r>
          </w:p>
        </w:tc>
        <w:tc>
          <w:tcPr>
            <w:tcW w:w="1037" w:type="dxa"/>
          </w:tcPr>
          <w:p w14:paraId="1AA2F44C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All EPC CERs</w:t>
            </w:r>
          </w:p>
        </w:tc>
        <w:tc>
          <w:tcPr>
            <w:tcW w:w="5747" w:type="dxa"/>
          </w:tcPr>
          <w:p w14:paraId="7882D528" w14:textId="77777777" w:rsidR="007E3462" w:rsidRPr="000B7EE6" w:rsidRDefault="007E3462" w:rsidP="000B7EE6">
            <w:pPr>
              <w:rPr>
                <w:rFonts w:ascii="Plain Font" w:eastAsia="Calibri" w:hAnsi="Plain Font" w:cs="Plain Font"/>
                <w:sz w:val="18"/>
                <w:szCs w:val="18"/>
              </w:rPr>
            </w:pPr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None identified.</w:t>
            </w:r>
          </w:p>
        </w:tc>
      </w:tr>
      <w:tr w:rsidR="007E3462" w:rsidRPr="000B7EE6" w14:paraId="333C6325" w14:textId="77777777" w:rsidTr="00252CAC">
        <w:trPr>
          <w:cantSplit/>
        </w:trPr>
        <w:tc>
          <w:tcPr>
            <w:tcW w:w="6176" w:type="dxa"/>
          </w:tcPr>
          <w:p w14:paraId="63BAA119" w14:textId="6367FC83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Seely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D, Kanji S,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Yazdi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F,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Tetzlaff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J, Singh K,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Tsertsvadze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A, Sears ME,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Tricco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A,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Ooi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TC,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Turek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M,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Tsouros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S, Skidmore B, Daniel R, Ansari MT. Dietary Supplements in Adults Taking Cardiovascular Drugs. Comparative Effectiveness Review No. 51. (Prepared by the University of Ottawa Evidence-based Practice Center under Contract No.  290-2007-10059-I.) AHRQ Publication No. 12-EHC021-EF. Rockville, MD: Agency for Healthcare Research and Quality. April 2012</w:t>
            </w:r>
          </w:p>
        </w:tc>
        <w:tc>
          <w:tcPr>
            <w:tcW w:w="1037" w:type="dxa"/>
          </w:tcPr>
          <w:p w14:paraId="09C31999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All EPC CERs</w:t>
            </w:r>
          </w:p>
        </w:tc>
        <w:tc>
          <w:tcPr>
            <w:tcW w:w="5747" w:type="dxa"/>
          </w:tcPr>
          <w:p w14:paraId="19BE43D1" w14:textId="3FA1CED6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Kanji S,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Seely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D,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Yazdi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F, et al. Interactions of commonly used dietary supplements with cardiovascular drugs: a systematic review.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Syst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Rev. 2012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;1:26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. PMID 22651380.</w:t>
            </w:r>
          </w:p>
        </w:tc>
      </w:tr>
    </w:tbl>
    <w:p w14:paraId="7E160F74" w14:textId="77777777" w:rsidR="007E3462" w:rsidRDefault="007E3462">
      <w:r>
        <w:br w:type="page"/>
      </w:r>
    </w:p>
    <w:tbl>
      <w:tblPr>
        <w:tblStyle w:val="TableGrid11"/>
        <w:tblW w:w="12960" w:type="dxa"/>
        <w:tblLayout w:type="fixed"/>
        <w:tblLook w:val="04A0" w:firstRow="1" w:lastRow="0" w:firstColumn="1" w:lastColumn="0" w:noHBand="0" w:noVBand="1"/>
      </w:tblPr>
      <w:tblGrid>
        <w:gridCol w:w="6176"/>
        <w:gridCol w:w="1037"/>
        <w:gridCol w:w="5747"/>
      </w:tblGrid>
      <w:tr w:rsidR="007E3462" w:rsidRPr="000B7EE6" w14:paraId="091DD950" w14:textId="77777777" w:rsidTr="00BC2089">
        <w:trPr>
          <w:cantSplit/>
        </w:trPr>
        <w:tc>
          <w:tcPr>
            <w:tcW w:w="12960" w:type="dxa"/>
            <w:gridSpan w:val="3"/>
            <w:tcBorders>
              <w:top w:val="nil"/>
              <w:left w:val="nil"/>
              <w:right w:val="nil"/>
            </w:tcBorders>
          </w:tcPr>
          <w:p w14:paraId="11EB40B3" w14:textId="5B61A19C" w:rsidR="007E3462" w:rsidRDefault="007E3462" w:rsidP="000B7EE6">
            <w:pPr>
              <w:rPr>
                <w:rFonts w:ascii="Plain Font" w:eastAsia="Calibri" w:hAnsi="Plain Font" w:cs="Plain Font"/>
                <w:sz w:val="18"/>
                <w:szCs w:val="18"/>
              </w:rPr>
            </w:pPr>
            <w:r w:rsidRPr="000B7EE6"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lastRenderedPageBreak/>
              <w:t>Table A1. Comparative Effectiveness Reviews sele</w:t>
            </w:r>
            <w:r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t>cted for utilization monitoring (continued)</w:t>
            </w:r>
          </w:p>
        </w:tc>
      </w:tr>
      <w:tr w:rsidR="007E3462" w:rsidRPr="000B7EE6" w14:paraId="643C09AE" w14:textId="77777777" w:rsidTr="00252CAC">
        <w:trPr>
          <w:cantSplit/>
        </w:trPr>
        <w:tc>
          <w:tcPr>
            <w:tcW w:w="6176" w:type="dxa"/>
          </w:tcPr>
          <w:p w14:paraId="49201BC2" w14:textId="0435BAA3" w:rsidR="007E3462" w:rsidRPr="000B7EE6" w:rsidRDefault="007E3462" w:rsidP="00BC208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Report Citation</w:t>
            </w:r>
          </w:p>
        </w:tc>
        <w:tc>
          <w:tcPr>
            <w:tcW w:w="1037" w:type="dxa"/>
          </w:tcPr>
          <w:p w14:paraId="6FD5AE33" w14:textId="1C45A85A" w:rsidR="007E3462" w:rsidRPr="000B7EE6" w:rsidRDefault="007E3462" w:rsidP="00BC208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Selection Reason</w:t>
            </w:r>
          </w:p>
        </w:tc>
        <w:tc>
          <w:tcPr>
            <w:tcW w:w="5747" w:type="dxa"/>
          </w:tcPr>
          <w:p w14:paraId="7388DABA" w14:textId="375853D2" w:rsidR="007E3462" w:rsidRDefault="007E3462" w:rsidP="00BC2089">
            <w:pPr>
              <w:jc w:val="center"/>
              <w:rPr>
                <w:rFonts w:ascii="Plain Font" w:eastAsia="Calibri" w:hAnsi="Plain Font" w:cs="Plain Font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Journal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rticle(s);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omments</w:t>
            </w:r>
          </w:p>
        </w:tc>
      </w:tr>
      <w:tr w:rsidR="007E3462" w:rsidRPr="000B7EE6" w14:paraId="7AB4E6FE" w14:textId="77777777" w:rsidTr="00252CAC">
        <w:trPr>
          <w:cantSplit/>
        </w:trPr>
        <w:tc>
          <w:tcPr>
            <w:tcW w:w="6176" w:type="dxa"/>
            <w:vMerge w:val="restart"/>
          </w:tcPr>
          <w:p w14:paraId="2EB46174" w14:textId="2FE84E71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Shamliyan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T, Wyman J, Kane RL. Nonsurgical Treatments for Urinary Incontinence in Adult Women: Diagnosis and Comparative Effectiveness. Comparative Effectiveness Review No. 36. (Prepared by the University of Minnesota Evidence-based Practice Center under Contract No.  290-2007-10064-I.) AHRQ Publication No. 11(12)-EHC074- EF. Rockville, MD. Agency for Healthcare Research and Quality. April 2012.</w:t>
            </w:r>
          </w:p>
        </w:tc>
        <w:tc>
          <w:tcPr>
            <w:tcW w:w="1037" w:type="dxa"/>
            <w:vMerge w:val="restart"/>
          </w:tcPr>
          <w:p w14:paraId="590B5EE7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MN</w:t>
            </w:r>
          </w:p>
        </w:tc>
        <w:tc>
          <w:tcPr>
            <w:tcW w:w="5747" w:type="dxa"/>
          </w:tcPr>
          <w:p w14:paraId="2444B3DD" w14:textId="0C545FB3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Shamliyan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T, Wyman JF,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Ramakrishnan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R, et al. Benefits and harms of pharmacologic treatment for urinary incontinence in women: a systematic review. Ann Intern Med. 2012 Jun 19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;156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(12):861-74, W301-10. PMID 22711079</w:t>
            </w:r>
          </w:p>
        </w:tc>
      </w:tr>
      <w:tr w:rsidR="007E3462" w:rsidRPr="000B7EE6" w14:paraId="3E6F9302" w14:textId="77777777" w:rsidTr="00252CAC">
        <w:trPr>
          <w:cantSplit/>
        </w:trPr>
        <w:tc>
          <w:tcPr>
            <w:tcW w:w="6176" w:type="dxa"/>
            <w:vMerge/>
          </w:tcPr>
          <w:p w14:paraId="090EA9F2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37" w:type="dxa"/>
            <w:vMerge/>
          </w:tcPr>
          <w:p w14:paraId="129A4C35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47" w:type="dxa"/>
          </w:tcPr>
          <w:p w14:paraId="446A55EF" w14:textId="3305E5E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Shamliyan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TA, Kane RL, Wyman J, et al. Results availability from clinical research of female urinary incontinence.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Neurourol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Urodyn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>. 2012 Jan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;31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(1):22-9. PMID 22038753.</w:t>
            </w:r>
          </w:p>
        </w:tc>
      </w:tr>
      <w:tr w:rsidR="007E3462" w:rsidRPr="000B7EE6" w14:paraId="3E692CA6" w14:textId="77777777" w:rsidTr="00252CAC">
        <w:trPr>
          <w:cantSplit/>
        </w:trPr>
        <w:tc>
          <w:tcPr>
            <w:tcW w:w="6176" w:type="dxa"/>
            <w:vMerge/>
          </w:tcPr>
          <w:p w14:paraId="59677DC1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37" w:type="dxa"/>
            <w:vMerge/>
          </w:tcPr>
          <w:p w14:paraId="725040A2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47" w:type="dxa"/>
          </w:tcPr>
          <w:p w14:paraId="0BCC79CC" w14:textId="04519E59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Hong H, Carlin BP,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Shamliyan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TA, et al. Comparing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bayesian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frequentist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approaches for multiple outcome mixed treatment comparisons. Med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Decis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Making. 2013 Jul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;33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(5):702-14. PMID 23549384.</w:t>
            </w:r>
          </w:p>
        </w:tc>
      </w:tr>
      <w:tr w:rsidR="007E3462" w:rsidRPr="000B7EE6" w14:paraId="47B30287" w14:textId="77777777" w:rsidTr="00252CAC">
        <w:trPr>
          <w:cantSplit/>
        </w:trPr>
        <w:tc>
          <w:tcPr>
            <w:tcW w:w="6176" w:type="dxa"/>
            <w:vMerge w:val="restart"/>
          </w:tcPr>
          <w:p w14:paraId="63E2B637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Golden SH, Brown T,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Yeh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HC,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Maruthur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N,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Ranasinghe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P, Berger Z,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Suh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Y, Wilson LM,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Haberl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EB, Bass EB. Methods for Insulin Delivery and Glucose Monitoring: Comparative Effectiveness. Comparative Effectiveness Review No. 57. (Prepared by Johns Hopkins University Evidence-based Practice Center under Contract No. 290-2007-10061-I.) AHRQ Publication No. 12-EHC036-EF. Rockville, MD: Agency for Healthcare Research and Quality. July 2012.</w:t>
            </w:r>
          </w:p>
        </w:tc>
        <w:tc>
          <w:tcPr>
            <w:tcW w:w="1037" w:type="dxa"/>
            <w:vMerge w:val="restart"/>
          </w:tcPr>
          <w:p w14:paraId="0B755AFD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All EPC CERs</w:t>
            </w:r>
          </w:p>
        </w:tc>
        <w:tc>
          <w:tcPr>
            <w:tcW w:w="5747" w:type="dxa"/>
          </w:tcPr>
          <w:p w14:paraId="30304AD1" w14:textId="560BC864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Yeh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HC, Brown TT,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Maruthur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N, et al. Comparative effectiveness and safety of methods of insulin delivery and glucose monitoring for diabetes mellitus: a systematic review and meta-analysis. Ann Intern Med. 2012 Sep 4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;157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(5):336-47. PMID 22777524.</w:t>
            </w:r>
          </w:p>
        </w:tc>
      </w:tr>
      <w:tr w:rsidR="007E3462" w:rsidRPr="000B7EE6" w14:paraId="4C4E365D" w14:textId="77777777" w:rsidTr="00252CAC">
        <w:trPr>
          <w:cantSplit/>
        </w:trPr>
        <w:tc>
          <w:tcPr>
            <w:tcW w:w="6176" w:type="dxa"/>
            <w:vMerge/>
          </w:tcPr>
          <w:p w14:paraId="3974BD46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37" w:type="dxa"/>
            <w:vMerge/>
          </w:tcPr>
          <w:p w14:paraId="4E8E042A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47" w:type="dxa"/>
          </w:tcPr>
          <w:p w14:paraId="3942A204" w14:textId="1D138B35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Golden SH, Sapir T. Methods for insulin delivery and glucose monitoring in diabetes: summary of a comparative effectiveness review. J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Manag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Care Pharm. 2012 Aug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;18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(6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Suppl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>):S1-17. PMID 22984955.</w:t>
            </w:r>
          </w:p>
        </w:tc>
      </w:tr>
      <w:tr w:rsidR="007E3462" w:rsidRPr="000B7EE6" w14:paraId="0EBB2583" w14:textId="77777777" w:rsidTr="00252CAC">
        <w:trPr>
          <w:cantSplit/>
          <w:trHeight w:val="1449"/>
        </w:trPr>
        <w:tc>
          <w:tcPr>
            <w:tcW w:w="6176" w:type="dxa"/>
          </w:tcPr>
          <w:p w14:paraId="6F886F7D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Hartling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L, Dryden DM, Guthrie A,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Muise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M,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Vandermeer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B,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Aktary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WM,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Pasichnyk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D,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Seida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JC, Donovan L. Screening and Diagnosing Gestational Diabetes Mellitus. Evidence Report/Technology Assessment No. 210. (Prepared by the University of Alberta Evidence-based Practice Center under Contract No. 290-2007-10021-I.) AHRQ Publication No. 12(13)-E021-EF. Rockville, MD: Agency for Healthcare Research and Quality. October 2012.</w:t>
            </w:r>
          </w:p>
        </w:tc>
        <w:tc>
          <w:tcPr>
            <w:tcW w:w="1037" w:type="dxa"/>
          </w:tcPr>
          <w:p w14:paraId="602A0937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All EPC CERs</w:t>
            </w:r>
          </w:p>
        </w:tc>
        <w:tc>
          <w:tcPr>
            <w:tcW w:w="5747" w:type="dxa"/>
          </w:tcPr>
          <w:p w14:paraId="57FC06E3" w14:textId="7B39549C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Donovan L,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Hartling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L, </w:t>
            </w:r>
            <w:proofErr w:type="spellStart"/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Muise</w:t>
            </w:r>
            <w:proofErr w:type="spellEnd"/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M, et al. Screening tests for gestational diabetes: a systematic review for the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u.s.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Preventive services task force. Ann Intern Med. 2013 Jul 16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;159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(2):115-22. PMID 23712349.</w:t>
            </w:r>
          </w:p>
          <w:p w14:paraId="7AA107F4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Hartling</w:t>
            </w:r>
            <w:proofErr w:type="spell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 xml:space="preserve"> L, Dryden DM, Guthrie A, et al. Benefits and Harms of Treating Gestational Diabetes Mellitus: A Systematic Review and Meta-analysis for the U.S. Preventive Services Task Force and the National Institutes of Health Office of Medical Applications of Research. Ann Intern Med. 2013 Jul 16</w:t>
            </w:r>
            <w:proofErr w:type="gramStart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;159</w:t>
            </w:r>
            <w:proofErr w:type="gramEnd"/>
            <w:r w:rsidRPr="000B7EE6">
              <w:rPr>
                <w:rFonts w:ascii="Plain Font" w:eastAsia="Calibri" w:hAnsi="Plain Font" w:cs="Plain Font"/>
                <w:sz w:val="18"/>
                <w:szCs w:val="18"/>
              </w:rPr>
              <w:t>(2):123-9. PMID 23712381.</w:t>
            </w:r>
          </w:p>
        </w:tc>
      </w:tr>
      <w:tr w:rsidR="007E3462" w:rsidRPr="000B7EE6" w14:paraId="6D5678A4" w14:textId="77777777" w:rsidTr="00252CAC">
        <w:trPr>
          <w:cantSplit/>
        </w:trPr>
        <w:tc>
          <w:tcPr>
            <w:tcW w:w="6176" w:type="dxa"/>
          </w:tcPr>
          <w:p w14:paraId="3C9ACE75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Shamliyan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TA, Wang S-Y, Olson-Kellogg B, Kane RL. Physical Therapy Interventions for Knee Pain Secondary to Osteoarthritis. Comparative Effectiveness Review No.77. (Prepared by the Minnesota Evidence-based Practice Center under Contract No. 290-2007-10064-I.) AHRQ Publication No. 12(13)-EHC115-EF. Rockville, MD: Agency for Healthcare Research and Quality; November 2012.</w:t>
            </w:r>
          </w:p>
        </w:tc>
        <w:tc>
          <w:tcPr>
            <w:tcW w:w="1037" w:type="dxa"/>
          </w:tcPr>
          <w:p w14:paraId="19EF3D5E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MN</w:t>
            </w:r>
          </w:p>
        </w:tc>
        <w:tc>
          <w:tcPr>
            <w:tcW w:w="5747" w:type="dxa"/>
          </w:tcPr>
          <w:p w14:paraId="0A11F0FB" w14:textId="1933FF03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Wang SY, Olson-Kellogg B,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Shamliyan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TA, et al. Physical therapy interventions for knee pain secondary to osteoarthritis: a systematic review. Ann Intern Med. 2012 Nov 6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;157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(9):632-44. PMID 23128863.</w:t>
            </w:r>
          </w:p>
        </w:tc>
      </w:tr>
      <w:tr w:rsidR="007E3462" w:rsidRPr="000B7EE6" w14:paraId="395986AD" w14:textId="77777777" w:rsidTr="00252CAC">
        <w:trPr>
          <w:cantSplit/>
        </w:trPr>
        <w:tc>
          <w:tcPr>
            <w:tcW w:w="6176" w:type="dxa"/>
          </w:tcPr>
          <w:p w14:paraId="295F12E8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Wilt TJ, MacDonald R, Ouellette J,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Tacklind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J, Khawaja I,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Rutks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I, Butler M, Fink HA. Treatment for Restless Legs Syndrome. Comparative Effectiveness Review No. 86. (Prepared by the Minnesota Evidence-based Practice Center under Contract No. 290-2007-10064-I.) AHRQ Publication No. 12(13)-EHC147-EF. Rockville, MD: Agency for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HealthcareResearch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and Quality. November 2012.</w:t>
            </w:r>
          </w:p>
        </w:tc>
        <w:tc>
          <w:tcPr>
            <w:tcW w:w="1037" w:type="dxa"/>
          </w:tcPr>
          <w:p w14:paraId="3F651457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MN</w:t>
            </w:r>
          </w:p>
        </w:tc>
        <w:tc>
          <w:tcPr>
            <w:tcW w:w="5747" w:type="dxa"/>
          </w:tcPr>
          <w:p w14:paraId="1C63BD15" w14:textId="3DA054A1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Plain Font" w:eastAsia="Calibri" w:hAnsi="Plain Font" w:cs="Plain Font"/>
                <w:sz w:val="18"/>
                <w:szCs w:val="18"/>
              </w:rPr>
              <w:t>Wilt TJ, MacDonald R, Ouellette J, et al. Pharmacologic therapy for primary restless legs syndrome: a systematic review and meta-analysis. JAMA Intern Med. 2013 Apr 8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;173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(7):496-505. PMID 23460396.</w:t>
            </w:r>
          </w:p>
        </w:tc>
      </w:tr>
    </w:tbl>
    <w:p w14:paraId="23E3C514" w14:textId="77777777" w:rsidR="007E3462" w:rsidRDefault="007E3462">
      <w:r>
        <w:br w:type="page"/>
      </w:r>
    </w:p>
    <w:tbl>
      <w:tblPr>
        <w:tblStyle w:val="TableGrid11"/>
        <w:tblW w:w="12960" w:type="dxa"/>
        <w:tblLayout w:type="fixed"/>
        <w:tblLook w:val="04A0" w:firstRow="1" w:lastRow="0" w:firstColumn="1" w:lastColumn="0" w:noHBand="0" w:noVBand="1"/>
      </w:tblPr>
      <w:tblGrid>
        <w:gridCol w:w="6176"/>
        <w:gridCol w:w="1037"/>
        <w:gridCol w:w="5747"/>
      </w:tblGrid>
      <w:tr w:rsidR="007E3462" w:rsidRPr="000B7EE6" w14:paraId="6429839A" w14:textId="77777777" w:rsidTr="00BC2089">
        <w:trPr>
          <w:cantSplit/>
        </w:trPr>
        <w:tc>
          <w:tcPr>
            <w:tcW w:w="12960" w:type="dxa"/>
            <w:gridSpan w:val="3"/>
            <w:tcBorders>
              <w:top w:val="nil"/>
              <w:left w:val="nil"/>
              <w:right w:val="nil"/>
            </w:tcBorders>
          </w:tcPr>
          <w:p w14:paraId="3517912F" w14:textId="0DFB9EA2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lastRenderedPageBreak/>
              <w:t>Table A1. Comparative Effectiveness Reviews sele</w:t>
            </w:r>
            <w:r>
              <w:rPr>
                <w:rFonts w:ascii="Arial" w:eastAsia="Calibri" w:hAnsi="Arial"/>
                <w:b/>
                <w:color w:val="000000"/>
                <w:sz w:val="20"/>
                <w:szCs w:val="24"/>
              </w:rPr>
              <w:t>cted for utilization monitoring (continued)</w:t>
            </w:r>
          </w:p>
        </w:tc>
      </w:tr>
      <w:tr w:rsidR="007E3462" w:rsidRPr="000B7EE6" w14:paraId="1C419D97" w14:textId="77777777" w:rsidTr="00252CAC">
        <w:trPr>
          <w:cantSplit/>
        </w:trPr>
        <w:tc>
          <w:tcPr>
            <w:tcW w:w="6176" w:type="dxa"/>
          </w:tcPr>
          <w:p w14:paraId="68D93D89" w14:textId="51026711" w:rsidR="007E3462" w:rsidRPr="000B7EE6" w:rsidRDefault="007E3462" w:rsidP="00BC2089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Report Citation</w:t>
            </w:r>
          </w:p>
        </w:tc>
        <w:tc>
          <w:tcPr>
            <w:tcW w:w="1037" w:type="dxa"/>
          </w:tcPr>
          <w:p w14:paraId="711A9DA3" w14:textId="6438E671" w:rsidR="007E3462" w:rsidRPr="000B7EE6" w:rsidRDefault="007E3462" w:rsidP="00BC208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Selection Reason</w:t>
            </w:r>
          </w:p>
        </w:tc>
        <w:tc>
          <w:tcPr>
            <w:tcW w:w="5747" w:type="dxa"/>
          </w:tcPr>
          <w:p w14:paraId="251E737F" w14:textId="75ED7323" w:rsidR="007E3462" w:rsidRPr="000B7EE6" w:rsidRDefault="007E3462" w:rsidP="00BC208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Journal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rticle(s);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</w:t>
            </w:r>
            <w:r w:rsidRPr="000B7EE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omments</w:t>
            </w:r>
          </w:p>
        </w:tc>
      </w:tr>
      <w:tr w:rsidR="007E3462" w:rsidRPr="000B7EE6" w14:paraId="62F3B53F" w14:textId="77777777" w:rsidTr="00252CAC">
        <w:trPr>
          <w:cantSplit/>
        </w:trPr>
        <w:tc>
          <w:tcPr>
            <w:tcW w:w="6176" w:type="dxa"/>
          </w:tcPr>
          <w:p w14:paraId="3A906F98" w14:textId="529471EF" w:rsidR="007E3462" w:rsidRPr="000B7EE6" w:rsidRDefault="007E3462" w:rsidP="000B7EE6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2013 (1)</w:t>
            </w:r>
          </w:p>
        </w:tc>
        <w:tc>
          <w:tcPr>
            <w:tcW w:w="1037" w:type="dxa"/>
          </w:tcPr>
          <w:p w14:paraId="5215DE67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47" w:type="dxa"/>
          </w:tcPr>
          <w:p w14:paraId="2C01FA7F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E3462" w:rsidRPr="000B7EE6" w14:paraId="53A22125" w14:textId="77777777" w:rsidTr="00252CAC">
        <w:trPr>
          <w:cantSplit/>
        </w:trPr>
        <w:tc>
          <w:tcPr>
            <w:tcW w:w="6176" w:type="dxa"/>
            <w:vMerge w:val="restart"/>
          </w:tcPr>
          <w:p w14:paraId="3A7D2D4B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Lin SY,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Erekosima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N, Suarez-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Cuervo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C,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Ramanathan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M, Kim JM, Ward D, </w:t>
            </w:r>
            <w:proofErr w:type="spellStart"/>
            <w:r w:rsidRPr="000B7EE6">
              <w:rPr>
                <w:rFonts w:ascii="Arial" w:eastAsia="Calibri" w:hAnsi="Arial" w:cs="Arial"/>
                <w:sz w:val="18"/>
                <w:szCs w:val="18"/>
              </w:rPr>
              <w:t>Chelladurai</w:t>
            </w:r>
            <w:proofErr w:type="spellEnd"/>
            <w:r w:rsidRPr="000B7EE6">
              <w:rPr>
                <w:rFonts w:ascii="Arial" w:eastAsia="Calibri" w:hAnsi="Arial" w:cs="Arial"/>
                <w:sz w:val="18"/>
                <w:szCs w:val="18"/>
              </w:rPr>
              <w:t xml:space="preserve"> Y, Segal JB. Allergen-Specific Immunotherapy for the Treatment of Allergic Rhinoconjunctivitis and/or Asthma: Comparative Effectiveness Review. Comparative Effectiveness Review No. 111. (Prepared by the Johns Hopkins University Evidence-based Practice Center under Contract No. 290-2007-10061-I.) AHRQ Publication No. 13-EHC061-EF. Rockville, MD: Agency for Healthcare Research and Quality. March 2013. Errata added May and August 2013.</w:t>
            </w:r>
          </w:p>
        </w:tc>
        <w:tc>
          <w:tcPr>
            <w:tcW w:w="1037" w:type="dxa"/>
            <w:vMerge w:val="restart"/>
          </w:tcPr>
          <w:p w14:paraId="6F3F764D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B7EE6">
              <w:rPr>
                <w:rFonts w:ascii="Arial" w:eastAsia="Calibri" w:hAnsi="Arial" w:cs="Arial"/>
                <w:sz w:val="18"/>
                <w:szCs w:val="18"/>
              </w:rPr>
              <w:t>Web Utilization Project</w:t>
            </w:r>
          </w:p>
        </w:tc>
        <w:tc>
          <w:tcPr>
            <w:tcW w:w="5747" w:type="dxa"/>
          </w:tcPr>
          <w:p w14:paraId="70AA62ED" w14:textId="4ADB7629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Erekosima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N, Suarez-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Cuervo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C,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Ramanathan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M, et al. Effectiveness of subcutaneous immunotherapy for allergic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rhinoconjunctivitis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and asthma: A Systematic Review. Laryngoscope. 2013 Jul 6PMID 23832632.</w:t>
            </w:r>
          </w:p>
        </w:tc>
      </w:tr>
      <w:tr w:rsidR="007E3462" w:rsidRPr="000B7EE6" w14:paraId="492C4EC9" w14:textId="77777777" w:rsidTr="00252CAC">
        <w:trPr>
          <w:cantSplit/>
        </w:trPr>
        <w:tc>
          <w:tcPr>
            <w:tcW w:w="6176" w:type="dxa"/>
            <w:vMerge/>
          </w:tcPr>
          <w:p w14:paraId="0DDE7CCF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37" w:type="dxa"/>
            <w:vMerge/>
          </w:tcPr>
          <w:p w14:paraId="2B66C80C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47" w:type="dxa"/>
          </w:tcPr>
          <w:p w14:paraId="21154CB4" w14:textId="6050DC48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Plain Font" w:eastAsia="Calibri" w:hAnsi="Plain Font" w:cs="Plain Font"/>
                <w:sz w:val="18"/>
                <w:szCs w:val="18"/>
              </w:rPr>
              <w:t>Kim JM, Lin SY, Suarez-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Cuervo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C, et al. Allergen-specific immunotherapy for pediatric asthma and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rhinoconjunctivitis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>: a systematic review. Pediatrics. 2013 Jun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;131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(6):1155-67. PMID 23650298.</w:t>
            </w:r>
          </w:p>
        </w:tc>
      </w:tr>
      <w:tr w:rsidR="007E3462" w:rsidRPr="000B7EE6" w14:paraId="152F9418" w14:textId="77777777" w:rsidTr="00252CAC">
        <w:trPr>
          <w:cantSplit/>
        </w:trPr>
        <w:tc>
          <w:tcPr>
            <w:tcW w:w="6176" w:type="dxa"/>
            <w:vMerge/>
          </w:tcPr>
          <w:p w14:paraId="43D7541B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37" w:type="dxa"/>
            <w:vMerge/>
          </w:tcPr>
          <w:p w14:paraId="36C2568B" w14:textId="77777777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47" w:type="dxa"/>
          </w:tcPr>
          <w:p w14:paraId="587ED7F4" w14:textId="6EE62D23" w:rsidR="007E3462" w:rsidRPr="000B7EE6" w:rsidRDefault="007E3462" w:rsidP="000B7EE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Lin SY,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Erekosima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N, Kim JM, et al. Sublingual immunotherapy for the treatment of allergic </w:t>
            </w:r>
            <w:proofErr w:type="spellStart"/>
            <w:r>
              <w:rPr>
                <w:rFonts w:ascii="Plain Font" w:eastAsia="Calibri" w:hAnsi="Plain Font" w:cs="Plain Font"/>
                <w:sz w:val="18"/>
                <w:szCs w:val="18"/>
              </w:rPr>
              <w:t>rhinoconjunctivitis</w:t>
            </w:r>
            <w:proofErr w:type="spellEnd"/>
            <w:r>
              <w:rPr>
                <w:rFonts w:ascii="Plain Font" w:eastAsia="Calibri" w:hAnsi="Plain Font" w:cs="Plain Font"/>
                <w:sz w:val="18"/>
                <w:szCs w:val="18"/>
              </w:rPr>
              <w:t xml:space="preserve"> and asthma: a systematic review. JAMA. 2013 Mar 27</w:t>
            </w:r>
            <w:proofErr w:type="gramStart"/>
            <w:r>
              <w:rPr>
                <w:rFonts w:ascii="Plain Font" w:eastAsia="Calibri" w:hAnsi="Plain Font" w:cs="Plain Font"/>
                <w:sz w:val="18"/>
                <w:szCs w:val="18"/>
              </w:rPr>
              <w:t>;309</w:t>
            </w:r>
            <w:proofErr w:type="gramEnd"/>
            <w:r>
              <w:rPr>
                <w:rFonts w:ascii="Plain Font" w:eastAsia="Calibri" w:hAnsi="Plain Font" w:cs="Plain Font"/>
                <w:sz w:val="18"/>
                <w:szCs w:val="18"/>
              </w:rPr>
              <w:t>(12):1278-88. PMID 23532243.</w:t>
            </w:r>
          </w:p>
        </w:tc>
      </w:tr>
    </w:tbl>
    <w:p w14:paraId="5D511823" w14:textId="77777777" w:rsidR="000B7EE6" w:rsidRPr="000B7EE6" w:rsidRDefault="000B7EE6" w:rsidP="000B7EE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26D7878A" w14:textId="77777777" w:rsidR="000B7EE6" w:rsidRPr="008A11C3" w:rsidRDefault="000B7EE6" w:rsidP="00571D14">
      <w:pPr>
        <w:pStyle w:val="ChapterHeading"/>
        <w:rPr>
          <w:sz w:val="22"/>
          <w:szCs w:val="22"/>
        </w:rPr>
      </w:pPr>
    </w:p>
    <w:p w14:paraId="159B2860" w14:textId="77777777" w:rsidR="000B7EE6" w:rsidRPr="000B7EE6" w:rsidRDefault="000B7EE6" w:rsidP="00B332AE">
      <w:pPr>
        <w:keepNext/>
        <w:spacing w:after="60"/>
        <w:outlineLvl w:val="0"/>
      </w:pPr>
    </w:p>
    <w:sectPr w:rsidR="000B7EE6" w:rsidRPr="000B7EE6" w:rsidSect="0089466E">
      <w:footerReference w:type="default" r:id="rId9"/>
      <w:pgSz w:w="15840" w:h="12240" w:orient="landscape" w:code="1"/>
      <w:pgMar w:top="1440" w:right="1440" w:bottom="135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AD1E0F" w15:done="0"/>
  <w15:commentEx w15:paraId="0FFF9C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11490" w14:textId="77777777" w:rsidR="00531285" w:rsidRDefault="00531285">
      <w:r>
        <w:separator/>
      </w:r>
    </w:p>
  </w:endnote>
  <w:endnote w:type="continuationSeparator" w:id="0">
    <w:p w14:paraId="1EFB6EEE" w14:textId="77777777" w:rsidR="00531285" w:rsidRDefault="0053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lain 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3BB7D" w14:textId="114746C0" w:rsidR="00E068E0" w:rsidRDefault="00B332AE">
    <w:pPr>
      <w:pStyle w:val="PageNumber"/>
    </w:pPr>
    <w:r>
      <w:t>A</w:t>
    </w:r>
    <w:r w:rsidR="00E068E0">
      <w:t>-</w:t>
    </w:r>
    <w:r w:rsidR="00E068E0">
      <w:fldChar w:fldCharType="begin"/>
    </w:r>
    <w:r w:rsidR="00E068E0">
      <w:instrText xml:space="preserve"> PAGE   \* MERGEFORMAT </w:instrText>
    </w:r>
    <w:r w:rsidR="00E068E0">
      <w:fldChar w:fldCharType="separate"/>
    </w:r>
    <w:r>
      <w:rPr>
        <w:noProof/>
      </w:rPr>
      <w:t>7</w:t>
    </w:r>
    <w:r w:rsidR="00E068E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1D7D5" w14:textId="77777777" w:rsidR="00531285" w:rsidRDefault="00531285">
      <w:r>
        <w:separator/>
      </w:r>
    </w:p>
  </w:footnote>
  <w:footnote w:type="continuationSeparator" w:id="0">
    <w:p w14:paraId="1B5D8568" w14:textId="77777777" w:rsidR="00531285" w:rsidRDefault="00531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DE1"/>
    <w:multiLevelType w:val="hybridMultilevel"/>
    <w:tmpl w:val="FEE05C9A"/>
    <w:lvl w:ilvl="0" w:tplc="0142B57C">
      <w:start w:val="1"/>
      <w:numFmt w:val="lowerLetter"/>
      <w:lvlText w:val="%1."/>
      <w:lvlJc w:val="left"/>
      <w:pPr>
        <w:ind w:left="720" w:hanging="360"/>
      </w:pPr>
      <w:rPr>
        <w:rFonts w:ascii="Plain Font" w:hAnsi="Plain Font" w:cs="Plain Fo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1D00"/>
    <w:multiLevelType w:val="hybridMultilevel"/>
    <w:tmpl w:val="C5E8D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9093B"/>
    <w:multiLevelType w:val="hybridMultilevel"/>
    <w:tmpl w:val="F74CB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7462"/>
    <w:multiLevelType w:val="hybridMultilevel"/>
    <w:tmpl w:val="2BF8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53A24"/>
    <w:multiLevelType w:val="hybridMultilevel"/>
    <w:tmpl w:val="5F3AA83A"/>
    <w:lvl w:ilvl="0" w:tplc="70B8BA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314FE"/>
    <w:multiLevelType w:val="hybridMultilevel"/>
    <w:tmpl w:val="0E5E8FC6"/>
    <w:lvl w:ilvl="0" w:tplc="D5328EBA">
      <w:start w:val="1"/>
      <w:numFmt w:val="lowerLetter"/>
      <w:lvlText w:val="%1."/>
      <w:lvlJc w:val="left"/>
      <w:pPr>
        <w:ind w:left="720" w:hanging="360"/>
      </w:pPr>
      <w:rPr>
        <w:rFonts w:ascii="Plain Font" w:hAnsi="Plain Font" w:cs="Plain Fon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0B7B2B"/>
    <w:multiLevelType w:val="hybridMultilevel"/>
    <w:tmpl w:val="EA3CC470"/>
    <w:lvl w:ilvl="0" w:tplc="64A0A6A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B66DA"/>
    <w:multiLevelType w:val="hybridMultilevel"/>
    <w:tmpl w:val="938AB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314DE"/>
    <w:multiLevelType w:val="hybridMultilevel"/>
    <w:tmpl w:val="19BEF5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D7C52"/>
    <w:multiLevelType w:val="hybridMultilevel"/>
    <w:tmpl w:val="EFECCC16"/>
    <w:lvl w:ilvl="0" w:tplc="C7186F9A">
      <w:start w:val="1"/>
      <w:numFmt w:val="lowerLetter"/>
      <w:lvlText w:val="%1."/>
      <w:lvlJc w:val="left"/>
      <w:pPr>
        <w:ind w:left="720" w:hanging="360"/>
      </w:pPr>
      <w:rPr>
        <w:rFonts w:ascii="Plain Font" w:hAnsi="Plain Font" w:cs="Plain Font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96EE4"/>
    <w:multiLevelType w:val="hybridMultilevel"/>
    <w:tmpl w:val="9094F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34EC4"/>
    <w:multiLevelType w:val="hybridMultilevel"/>
    <w:tmpl w:val="26A28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8073B"/>
    <w:multiLevelType w:val="hybridMultilevel"/>
    <w:tmpl w:val="20EC3F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168C2"/>
    <w:multiLevelType w:val="hybridMultilevel"/>
    <w:tmpl w:val="EA2E6C28"/>
    <w:lvl w:ilvl="0" w:tplc="43E2837E">
      <w:start w:val="1"/>
      <w:numFmt w:val="lowerLetter"/>
      <w:lvlText w:val="%1."/>
      <w:lvlJc w:val="left"/>
      <w:pPr>
        <w:ind w:left="720" w:hanging="360"/>
      </w:pPr>
      <w:rPr>
        <w:rFonts w:ascii="Plain Font" w:hAnsi="Plain Font" w:cs="Plain Fo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12"/>
  </w:num>
  <w:num w:numId="10">
    <w:abstractNumId w:val="2"/>
  </w:num>
  <w:num w:numId="11">
    <w:abstractNumId w:val="13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14"/>
  </w:num>
  <w:num w:numId="17">
    <w:abstractNumId w:val="0"/>
  </w:num>
  <w:num w:numId="18">
    <w:abstractNumId w:val="19"/>
  </w:num>
  <w:num w:numId="19">
    <w:abstractNumId w:val="7"/>
  </w:num>
  <w:num w:numId="2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lyn Eells">
    <w15:presenceInfo w15:providerId="AD" w15:userId="S-1-5-21-1317685450-932939914-1801392649-654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5wvr0e2n5tvzlevz01xrts1wavatf9farrt&quot;&gt;CER POC Utilization&lt;record-ids&gt;&lt;item&gt;71&lt;/item&gt;&lt;item&gt;72&lt;/item&gt;&lt;item&gt;135&lt;/item&gt;&lt;/record-ids&gt;&lt;/item&gt;&lt;/Libraries&gt;"/>
  </w:docVars>
  <w:rsids>
    <w:rsidRoot w:val="006F5130"/>
    <w:rsid w:val="00003CDD"/>
    <w:rsid w:val="00011CC8"/>
    <w:rsid w:val="000171EB"/>
    <w:rsid w:val="000416F1"/>
    <w:rsid w:val="00043EF2"/>
    <w:rsid w:val="0006017D"/>
    <w:rsid w:val="000658F0"/>
    <w:rsid w:val="00075F59"/>
    <w:rsid w:val="00080D51"/>
    <w:rsid w:val="00081848"/>
    <w:rsid w:val="00082D85"/>
    <w:rsid w:val="00082D90"/>
    <w:rsid w:val="000844D9"/>
    <w:rsid w:val="000850F6"/>
    <w:rsid w:val="0009453F"/>
    <w:rsid w:val="00096941"/>
    <w:rsid w:val="000B7EE6"/>
    <w:rsid w:val="000D54CA"/>
    <w:rsid w:val="00101E27"/>
    <w:rsid w:val="00120920"/>
    <w:rsid w:val="00132B29"/>
    <w:rsid w:val="00160147"/>
    <w:rsid w:val="0016619E"/>
    <w:rsid w:val="00167198"/>
    <w:rsid w:val="001745C4"/>
    <w:rsid w:val="00175BD9"/>
    <w:rsid w:val="0017667A"/>
    <w:rsid w:val="00183AAE"/>
    <w:rsid w:val="001C07DF"/>
    <w:rsid w:val="001C0861"/>
    <w:rsid w:val="001C4886"/>
    <w:rsid w:val="001D3EA4"/>
    <w:rsid w:val="001E6D3A"/>
    <w:rsid w:val="001F00D7"/>
    <w:rsid w:val="001F2734"/>
    <w:rsid w:val="001F5D30"/>
    <w:rsid w:val="00201F4B"/>
    <w:rsid w:val="002058EF"/>
    <w:rsid w:val="00205EF3"/>
    <w:rsid w:val="00206787"/>
    <w:rsid w:val="00213A30"/>
    <w:rsid w:val="00217B4E"/>
    <w:rsid w:val="002217BC"/>
    <w:rsid w:val="00225510"/>
    <w:rsid w:val="00225E93"/>
    <w:rsid w:val="002333F7"/>
    <w:rsid w:val="00234F65"/>
    <w:rsid w:val="0024184D"/>
    <w:rsid w:val="0024378C"/>
    <w:rsid w:val="002437B1"/>
    <w:rsid w:val="00252CAC"/>
    <w:rsid w:val="00263CC8"/>
    <w:rsid w:val="00275260"/>
    <w:rsid w:val="00283678"/>
    <w:rsid w:val="002844D3"/>
    <w:rsid w:val="002930EC"/>
    <w:rsid w:val="002965E1"/>
    <w:rsid w:val="002A09F0"/>
    <w:rsid w:val="002A7892"/>
    <w:rsid w:val="002A7A3B"/>
    <w:rsid w:val="002B718E"/>
    <w:rsid w:val="002C79D3"/>
    <w:rsid w:val="002D0310"/>
    <w:rsid w:val="002D339E"/>
    <w:rsid w:val="002D6C6C"/>
    <w:rsid w:val="002D7383"/>
    <w:rsid w:val="002E24D3"/>
    <w:rsid w:val="00314727"/>
    <w:rsid w:val="00314E8E"/>
    <w:rsid w:val="003319F4"/>
    <w:rsid w:val="00334953"/>
    <w:rsid w:val="0034558B"/>
    <w:rsid w:val="00345626"/>
    <w:rsid w:val="00345E7F"/>
    <w:rsid w:val="003662AB"/>
    <w:rsid w:val="00370668"/>
    <w:rsid w:val="00396601"/>
    <w:rsid w:val="003A111B"/>
    <w:rsid w:val="003F21BA"/>
    <w:rsid w:val="003F4F95"/>
    <w:rsid w:val="003F7E36"/>
    <w:rsid w:val="004006F5"/>
    <w:rsid w:val="0040239E"/>
    <w:rsid w:val="004041A8"/>
    <w:rsid w:val="00407ECC"/>
    <w:rsid w:val="00423E10"/>
    <w:rsid w:val="00433195"/>
    <w:rsid w:val="00443C7F"/>
    <w:rsid w:val="00444DBB"/>
    <w:rsid w:val="004511B7"/>
    <w:rsid w:val="004704E1"/>
    <w:rsid w:val="00480A2C"/>
    <w:rsid w:val="004903B0"/>
    <w:rsid w:val="004C587E"/>
    <w:rsid w:val="004D2F9B"/>
    <w:rsid w:val="004D4969"/>
    <w:rsid w:val="004D50AB"/>
    <w:rsid w:val="004E3C7A"/>
    <w:rsid w:val="004E47FB"/>
    <w:rsid w:val="004F032C"/>
    <w:rsid w:val="004F7A2B"/>
    <w:rsid w:val="00506905"/>
    <w:rsid w:val="00512E9C"/>
    <w:rsid w:val="00524262"/>
    <w:rsid w:val="00524C81"/>
    <w:rsid w:val="00525267"/>
    <w:rsid w:val="00531285"/>
    <w:rsid w:val="005437DE"/>
    <w:rsid w:val="0054535E"/>
    <w:rsid w:val="00554B49"/>
    <w:rsid w:val="00561296"/>
    <w:rsid w:val="005709C8"/>
    <w:rsid w:val="00571D14"/>
    <w:rsid w:val="005957E5"/>
    <w:rsid w:val="005A2319"/>
    <w:rsid w:val="005A4688"/>
    <w:rsid w:val="005A5A18"/>
    <w:rsid w:val="005A602C"/>
    <w:rsid w:val="005B3F29"/>
    <w:rsid w:val="005E3945"/>
    <w:rsid w:val="005E6717"/>
    <w:rsid w:val="005F5FB4"/>
    <w:rsid w:val="005F6688"/>
    <w:rsid w:val="00621A5F"/>
    <w:rsid w:val="00622558"/>
    <w:rsid w:val="0062294C"/>
    <w:rsid w:val="00644A62"/>
    <w:rsid w:val="006500EF"/>
    <w:rsid w:val="00680D98"/>
    <w:rsid w:val="00693BD6"/>
    <w:rsid w:val="00693E74"/>
    <w:rsid w:val="00694886"/>
    <w:rsid w:val="0069564B"/>
    <w:rsid w:val="006B4BFC"/>
    <w:rsid w:val="006C2A1D"/>
    <w:rsid w:val="006D3E3F"/>
    <w:rsid w:val="006D7C96"/>
    <w:rsid w:val="006E30CC"/>
    <w:rsid w:val="006E4D5E"/>
    <w:rsid w:val="006E5BAE"/>
    <w:rsid w:val="006F2C15"/>
    <w:rsid w:val="006F5130"/>
    <w:rsid w:val="0070083A"/>
    <w:rsid w:val="00711543"/>
    <w:rsid w:val="00731DC6"/>
    <w:rsid w:val="00736817"/>
    <w:rsid w:val="00736D03"/>
    <w:rsid w:val="00746B2B"/>
    <w:rsid w:val="007507DD"/>
    <w:rsid w:val="007517D0"/>
    <w:rsid w:val="00764CCB"/>
    <w:rsid w:val="00780602"/>
    <w:rsid w:val="0078079D"/>
    <w:rsid w:val="00790F13"/>
    <w:rsid w:val="007A616B"/>
    <w:rsid w:val="007C150E"/>
    <w:rsid w:val="007C24F5"/>
    <w:rsid w:val="007C538F"/>
    <w:rsid w:val="007D5D14"/>
    <w:rsid w:val="007D636F"/>
    <w:rsid w:val="007E31F3"/>
    <w:rsid w:val="007E3462"/>
    <w:rsid w:val="007F2512"/>
    <w:rsid w:val="0080457C"/>
    <w:rsid w:val="00805B40"/>
    <w:rsid w:val="0082352D"/>
    <w:rsid w:val="00832E69"/>
    <w:rsid w:val="008633D2"/>
    <w:rsid w:val="0087420D"/>
    <w:rsid w:val="00886127"/>
    <w:rsid w:val="0089466E"/>
    <w:rsid w:val="00895F5A"/>
    <w:rsid w:val="008A07F1"/>
    <w:rsid w:val="008A11C3"/>
    <w:rsid w:val="008F0C3C"/>
    <w:rsid w:val="008F0E65"/>
    <w:rsid w:val="008F2E49"/>
    <w:rsid w:val="008F5D0C"/>
    <w:rsid w:val="0090034C"/>
    <w:rsid w:val="00910027"/>
    <w:rsid w:val="00922827"/>
    <w:rsid w:val="009262E9"/>
    <w:rsid w:val="0092648D"/>
    <w:rsid w:val="00933864"/>
    <w:rsid w:val="00952C57"/>
    <w:rsid w:val="009619F9"/>
    <w:rsid w:val="00971952"/>
    <w:rsid w:val="0098219C"/>
    <w:rsid w:val="00984473"/>
    <w:rsid w:val="00984B55"/>
    <w:rsid w:val="0099129F"/>
    <w:rsid w:val="0099482F"/>
    <w:rsid w:val="009A22F6"/>
    <w:rsid w:val="009B2562"/>
    <w:rsid w:val="009B5F1B"/>
    <w:rsid w:val="009C39D5"/>
    <w:rsid w:val="009D23F1"/>
    <w:rsid w:val="009D5CE9"/>
    <w:rsid w:val="009E5CD4"/>
    <w:rsid w:val="00A03EF2"/>
    <w:rsid w:val="00A04E17"/>
    <w:rsid w:val="00A433AE"/>
    <w:rsid w:val="00A525BD"/>
    <w:rsid w:val="00A548C3"/>
    <w:rsid w:val="00A62EDB"/>
    <w:rsid w:val="00A646B0"/>
    <w:rsid w:val="00A64CD3"/>
    <w:rsid w:val="00A7193F"/>
    <w:rsid w:val="00A77361"/>
    <w:rsid w:val="00A77D78"/>
    <w:rsid w:val="00A961D1"/>
    <w:rsid w:val="00AB2381"/>
    <w:rsid w:val="00AD2396"/>
    <w:rsid w:val="00AD4DF6"/>
    <w:rsid w:val="00AE1F07"/>
    <w:rsid w:val="00AE2B5F"/>
    <w:rsid w:val="00AE5A5B"/>
    <w:rsid w:val="00AF62B5"/>
    <w:rsid w:val="00B01493"/>
    <w:rsid w:val="00B038D0"/>
    <w:rsid w:val="00B0687F"/>
    <w:rsid w:val="00B078F5"/>
    <w:rsid w:val="00B10D3D"/>
    <w:rsid w:val="00B1317C"/>
    <w:rsid w:val="00B1503A"/>
    <w:rsid w:val="00B166BC"/>
    <w:rsid w:val="00B17797"/>
    <w:rsid w:val="00B23899"/>
    <w:rsid w:val="00B332AE"/>
    <w:rsid w:val="00B45348"/>
    <w:rsid w:val="00B54EF9"/>
    <w:rsid w:val="00B96477"/>
    <w:rsid w:val="00BA2B23"/>
    <w:rsid w:val="00BA48E1"/>
    <w:rsid w:val="00BA55F2"/>
    <w:rsid w:val="00BA6EAD"/>
    <w:rsid w:val="00BB2D1D"/>
    <w:rsid w:val="00BB6E86"/>
    <w:rsid w:val="00BC2089"/>
    <w:rsid w:val="00BC64D2"/>
    <w:rsid w:val="00BC6F26"/>
    <w:rsid w:val="00BD14E9"/>
    <w:rsid w:val="00BD45A9"/>
    <w:rsid w:val="00BD5CDE"/>
    <w:rsid w:val="00BE3B51"/>
    <w:rsid w:val="00BF1F11"/>
    <w:rsid w:val="00BF5F0F"/>
    <w:rsid w:val="00C046C6"/>
    <w:rsid w:val="00C253BD"/>
    <w:rsid w:val="00C262CF"/>
    <w:rsid w:val="00C538A7"/>
    <w:rsid w:val="00C620E0"/>
    <w:rsid w:val="00C66765"/>
    <w:rsid w:val="00C67B72"/>
    <w:rsid w:val="00C70C62"/>
    <w:rsid w:val="00C75AD6"/>
    <w:rsid w:val="00C829C0"/>
    <w:rsid w:val="00C86AC8"/>
    <w:rsid w:val="00C97E24"/>
    <w:rsid w:val="00C97F61"/>
    <w:rsid w:val="00CA0EDB"/>
    <w:rsid w:val="00CA742B"/>
    <w:rsid w:val="00CB0F8A"/>
    <w:rsid w:val="00CB48D5"/>
    <w:rsid w:val="00CC39F0"/>
    <w:rsid w:val="00CC486E"/>
    <w:rsid w:val="00CD4325"/>
    <w:rsid w:val="00CD68AD"/>
    <w:rsid w:val="00CE23E3"/>
    <w:rsid w:val="00CF43DC"/>
    <w:rsid w:val="00CF5250"/>
    <w:rsid w:val="00CF5B6E"/>
    <w:rsid w:val="00D10A6F"/>
    <w:rsid w:val="00D32579"/>
    <w:rsid w:val="00D4375A"/>
    <w:rsid w:val="00D47C4A"/>
    <w:rsid w:val="00D50DBC"/>
    <w:rsid w:val="00D521C4"/>
    <w:rsid w:val="00D710F4"/>
    <w:rsid w:val="00D77314"/>
    <w:rsid w:val="00D853F1"/>
    <w:rsid w:val="00D86A99"/>
    <w:rsid w:val="00D90B24"/>
    <w:rsid w:val="00D93203"/>
    <w:rsid w:val="00D97328"/>
    <w:rsid w:val="00DA0B96"/>
    <w:rsid w:val="00DC086C"/>
    <w:rsid w:val="00DC2450"/>
    <w:rsid w:val="00DC7245"/>
    <w:rsid w:val="00DD3873"/>
    <w:rsid w:val="00DE43B7"/>
    <w:rsid w:val="00DF1D50"/>
    <w:rsid w:val="00E0163A"/>
    <w:rsid w:val="00E0376C"/>
    <w:rsid w:val="00E068E0"/>
    <w:rsid w:val="00E07F17"/>
    <w:rsid w:val="00E1616F"/>
    <w:rsid w:val="00E16A95"/>
    <w:rsid w:val="00E222F4"/>
    <w:rsid w:val="00E25178"/>
    <w:rsid w:val="00E40C38"/>
    <w:rsid w:val="00E41880"/>
    <w:rsid w:val="00E442E3"/>
    <w:rsid w:val="00E525A6"/>
    <w:rsid w:val="00E54004"/>
    <w:rsid w:val="00EA488E"/>
    <w:rsid w:val="00EB5922"/>
    <w:rsid w:val="00ED7750"/>
    <w:rsid w:val="00EE1018"/>
    <w:rsid w:val="00EE4ACC"/>
    <w:rsid w:val="00EF754B"/>
    <w:rsid w:val="00F21304"/>
    <w:rsid w:val="00F22542"/>
    <w:rsid w:val="00F37CC3"/>
    <w:rsid w:val="00F46B31"/>
    <w:rsid w:val="00F50C61"/>
    <w:rsid w:val="00F56A6C"/>
    <w:rsid w:val="00F6437E"/>
    <w:rsid w:val="00F671D3"/>
    <w:rsid w:val="00F9258E"/>
    <w:rsid w:val="00F936C9"/>
    <w:rsid w:val="00FA1D6F"/>
    <w:rsid w:val="00FA20DA"/>
    <w:rsid w:val="00FA63F7"/>
    <w:rsid w:val="00FA789D"/>
    <w:rsid w:val="00FC520A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A7F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rsid w:val="0099129F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9129F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9129F"/>
    <w:rPr>
      <w:rFonts w:ascii="Times" w:eastAsia="Times New Roman" w:hAnsi="Times"/>
      <w:sz w:val="24"/>
    </w:rPr>
  </w:style>
  <w:style w:type="table" w:customStyle="1" w:styleId="TableGrid10">
    <w:name w:val="Table Grid10"/>
    <w:basedOn w:val="TableNormal"/>
    <w:next w:val="TableGrid"/>
    <w:uiPriority w:val="59"/>
    <w:rsid w:val="00D50DB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455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5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uiPriority w:val="59"/>
    <w:rsid w:val="00101E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01E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76C"/>
    <w:pPr>
      <w:ind w:left="720"/>
      <w:contextualSpacing/>
    </w:pPr>
  </w:style>
  <w:style w:type="table" w:customStyle="1" w:styleId="TableGrid12">
    <w:name w:val="Table Grid12"/>
    <w:basedOn w:val="TableNormal"/>
    <w:next w:val="TableGrid"/>
    <w:uiPriority w:val="59"/>
    <w:rsid w:val="000B7EE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0B7EE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HRQBODYTEXT">
    <w:name w:val="AHRQ BODY TEXT"/>
    <w:basedOn w:val="Normal"/>
    <w:link w:val="AHRQBODYTEXTChar"/>
    <w:rsid w:val="00314E8E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14E8E"/>
    <w:rPr>
      <w:rFonts w:ascii="Times" w:eastAsia="Times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068E0"/>
    <w:pPr>
      <w:tabs>
        <w:tab w:val="right" w:leader="dot" w:pos="9350"/>
      </w:tabs>
      <w:ind w:left="475"/>
    </w:pPr>
  </w:style>
  <w:style w:type="paragraph" w:styleId="Revision">
    <w:name w:val="Revision"/>
    <w:hidden/>
    <w:uiPriority w:val="99"/>
    <w:semiHidden/>
    <w:rsid w:val="005A602C"/>
    <w:rPr>
      <w:rFonts w:ascii="Times" w:eastAsia="Times New Roman" w:hAnsi="Times"/>
      <w:sz w:val="24"/>
    </w:rPr>
  </w:style>
  <w:style w:type="character" w:styleId="Emphasis">
    <w:name w:val="Emphasis"/>
    <w:basedOn w:val="DefaultParagraphFont"/>
    <w:uiPriority w:val="20"/>
    <w:qFormat/>
    <w:rsid w:val="00AD2396"/>
    <w:rPr>
      <w:i/>
      <w:iCs/>
    </w:rPr>
  </w:style>
  <w:style w:type="character" w:customStyle="1" w:styleId="apple-converted-space">
    <w:name w:val="apple-converted-space"/>
    <w:basedOn w:val="DefaultParagraphFont"/>
    <w:rsid w:val="00AD2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rsid w:val="0099129F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9129F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9129F"/>
    <w:rPr>
      <w:rFonts w:ascii="Times" w:eastAsia="Times New Roman" w:hAnsi="Times"/>
      <w:sz w:val="24"/>
    </w:rPr>
  </w:style>
  <w:style w:type="table" w:customStyle="1" w:styleId="TableGrid10">
    <w:name w:val="Table Grid10"/>
    <w:basedOn w:val="TableNormal"/>
    <w:next w:val="TableGrid"/>
    <w:uiPriority w:val="59"/>
    <w:rsid w:val="00D50DB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455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5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uiPriority w:val="59"/>
    <w:rsid w:val="00101E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01E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76C"/>
    <w:pPr>
      <w:ind w:left="720"/>
      <w:contextualSpacing/>
    </w:pPr>
  </w:style>
  <w:style w:type="table" w:customStyle="1" w:styleId="TableGrid12">
    <w:name w:val="Table Grid12"/>
    <w:basedOn w:val="TableNormal"/>
    <w:next w:val="TableGrid"/>
    <w:uiPriority w:val="59"/>
    <w:rsid w:val="000B7EE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0B7EE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HRQBODYTEXT">
    <w:name w:val="AHRQ BODY TEXT"/>
    <w:basedOn w:val="Normal"/>
    <w:link w:val="AHRQBODYTEXTChar"/>
    <w:rsid w:val="00314E8E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14E8E"/>
    <w:rPr>
      <w:rFonts w:ascii="Times" w:eastAsia="Times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068E0"/>
    <w:pPr>
      <w:tabs>
        <w:tab w:val="right" w:leader="dot" w:pos="9350"/>
      </w:tabs>
      <w:ind w:left="475"/>
    </w:pPr>
  </w:style>
  <w:style w:type="paragraph" w:styleId="Revision">
    <w:name w:val="Revision"/>
    <w:hidden/>
    <w:uiPriority w:val="99"/>
    <w:semiHidden/>
    <w:rsid w:val="005A602C"/>
    <w:rPr>
      <w:rFonts w:ascii="Times" w:eastAsia="Times New Roman" w:hAnsi="Times"/>
      <w:sz w:val="24"/>
    </w:rPr>
  </w:style>
  <w:style w:type="character" w:styleId="Emphasis">
    <w:name w:val="Emphasis"/>
    <w:basedOn w:val="DefaultParagraphFont"/>
    <w:uiPriority w:val="20"/>
    <w:qFormat/>
    <w:rsid w:val="00AD2396"/>
    <w:rPr>
      <w:i/>
      <w:iCs/>
    </w:rPr>
  </w:style>
  <w:style w:type="character" w:customStyle="1" w:styleId="apple-converted-space">
    <w:name w:val="apple-converted-space"/>
    <w:basedOn w:val="DefaultParagraphFont"/>
    <w:rsid w:val="00AD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DB29-B90A-4F31-AA63-125F1A6A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18316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Priyanka Pawar</cp:lastModifiedBy>
  <cp:revision>2</cp:revision>
  <cp:lastPrinted>2014-04-25T15:06:00Z</cp:lastPrinted>
  <dcterms:created xsi:type="dcterms:W3CDTF">2014-05-31T07:06:00Z</dcterms:created>
  <dcterms:modified xsi:type="dcterms:W3CDTF">2014-05-31T07:06:00Z</dcterms:modified>
</cp:coreProperties>
</file>