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77" w:rsidRDefault="00E47CF5" w:rsidP="002B6377">
      <w:pPr>
        <w:pStyle w:val="ChapterHeading"/>
      </w:pPr>
      <w:r w:rsidRPr="005E6BD0">
        <w:t>Appendix G. Overall Strength of Evidence</w:t>
      </w:r>
    </w:p>
    <w:p w:rsidR="00E47CF5" w:rsidRPr="003D154A" w:rsidRDefault="00E47CF5" w:rsidP="00E47CF5">
      <w:pPr>
        <w:keepNext/>
        <w:spacing w:after="60"/>
        <w:outlineLvl w:val="0"/>
        <w:rPr>
          <w:b/>
          <w:bCs/>
          <w:sz w:val="20"/>
        </w:rPr>
      </w:pPr>
      <w:r>
        <w:rPr>
          <w:b/>
          <w:bCs/>
          <w:sz w:val="20"/>
        </w:rPr>
        <w:t>Table G-1. Overall strength of evidence</w:t>
      </w:r>
    </w:p>
    <w:tbl>
      <w:tblPr>
        <w:tblW w:w="4827" w:type="pct"/>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5"/>
        <w:gridCol w:w="1407"/>
        <w:gridCol w:w="1206"/>
        <w:gridCol w:w="827"/>
        <w:gridCol w:w="1582"/>
        <w:gridCol w:w="1137"/>
        <w:gridCol w:w="20"/>
        <w:gridCol w:w="1079"/>
        <w:gridCol w:w="1257"/>
      </w:tblGrid>
      <w:tr w:rsidR="00E47CF5" w:rsidRPr="00157975" w:rsidTr="00E47CF5">
        <w:trPr>
          <w:cantSplit/>
          <w:tblHeader/>
          <w:jc w:val="center"/>
        </w:trPr>
        <w:tc>
          <w:tcPr>
            <w:tcW w:w="1653" w:type="pct"/>
            <w:shd w:val="clear" w:color="auto" w:fill="auto"/>
            <w:vAlign w:val="bottom"/>
          </w:tcPr>
          <w:p w:rsidR="00E47CF5" w:rsidRPr="00157975" w:rsidRDefault="002B6377" w:rsidP="00E47CF5">
            <w:pPr>
              <w:shd w:val="clear" w:color="auto" w:fill="FFFFFF" w:themeFill="background1"/>
              <w:rPr>
                <w:rFonts w:ascii="Arial" w:hAnsi="Arial" w:cs="Arial"/>
                <w:b/>
                <w:sz w:val="18"/>
                <w:szCs w:val="18"/>
              </w:rPr>
            </w:pPr>
            <w:r w:rsidRPr="002B6377">
              <w:rPr>
                <w:rFonts w:ascii="Arial" w:hAnsi="Arial" w:cs="Arial"/>
                <w:b/>
                <w:sz w:val="18"/>
                <w:szCs w:val="18"/>
              </w:rPr>
              <w:t>Key Question</w:t>
            </w:r>
          </w:p>
        </w:tc>
        <w:tc>
          <w:tcPr>
            <w:tcW w:w="553" w:type="pct"/>
            <w:shd w:val="clear" w:color="auto" w:fill="auto"/>
            <w:vAlign w:val="bottom"/>
          </w:tcPr>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Number of Studies</w:t>
            </w:r>
          </w:p>
        </w:tc>
        <w:tc>
          <w:tcPr>
            <w:tcW w:w="474" w:type="pct"/>
            <w:shd w:val="clear" w:color="auto" w:fill="auto"/>
            <w:vAlign w:val="bottom"/>
          </w:tcPr>
          <w:p w:rsidR="00E47CF5" w:rsidRPr="00157975" w:rsidRDefault="00E47CF5" w:rsidP="00E47CF5">
            <w:pPr>
              <w:shd w:val="clear" w:color="auto" w:fill="FFFFFF" w:themeFill="background1"/>
              <w:jc w:val="center"/>
              <w:rPr>
                <w:rFonts w:ascii="Arial" w:hAnsi="Arial" w:cs="Arial"/>
                <w:b/>
                <w:sz w:val="18"/>
                <w:szCs w:val="18"/>
              </w:rPr>
            </w:pPr>
          </w:p>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Number of Subjects</w:t>
            </w:r>
          </w:p>
        </w:tc>
        <w:tc>
          <w:tcPr>
            <w:tcW w:w="325" w:type="pct"/>
            <w:shd w:val="clear" w:color="auto" w:fill="auto"/>
            <w:vAlign w:val="bottom"/>
          </w:tcPr>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Quality</w:t>
            </w:r>
          </w:p>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(Good, Fair, Poor)</w:t>
            </w:r>
          </w:p>
        </w:tc>
        <w:tc>
          <w:tcPr>
            <w:tcW w:w="622" w:type="pct"/>
            <w:shd w:val="clear" w:color="auto" w:fill="auto"/>
            <w:vAlign w:val="bottom"/>
          </w:tcPr>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Consistency</w:t>
            </w:r>
          </w:p>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(High, Moderate, Low)</w:t>
            </w:r>
          </w:p>
        </w:tc>
        <w:tc>
          <w:tcPr>
            <w:tcW w:w="447" w:type="pct"/>
            <w:shd w:val="clear" w:color="auto" w:fill="auto"/>
            <w:vAlign w:val="bottom"/>
          </w:tcPr>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Directness</w:t>
            </w:r>
          </w:p>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(Direct or indirect)</w:t>
            </w:r>
          </w:p>
        </w:tc>
        <w:tc>
          <w:tcPr>
            <w:tcW w:w="432" w:type="pct"/>
            <w:gridSpan w:val="2"/>
            <w:shd w:val="clear" w:color="auto" w:fill="auto"/>
            <w:vAlign w:val="bottom"/>
          </w:tcPr>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Precision</w:t>
            </w:r>
          </w:p>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 xml:space="preserve">(High, Moderate, Low) </w:t>
            </w:r>
          </w:p>
        </w:tc>
        <w:tc>
          <w:tcPr>
            <w:tcW w:w="494" w:type="pct"/>
            <w:shd w:val="clear" w:color="auto" w:fill="auto"/>
            <w:vAlign w:val="bottom"/>
          </w:tcPr>
          <w:p w:rsidR="00E47CF5" w:rsidRPr="00157975" w:rsidRDefault="002B6377" w:rsidP="00E47CF5">
            <w:pPr>
              <w:shd w:val="clear" w:color="auto" w:fill="FFFFFF" w:themeFill="background1"/>
              <w:jc w:val="center"/>
              <w:rPr>
                <w:rFonts w:ascii="Arial" w:hAnsi="Arial" w:cs="Arial"/>
                <w:b/>
                <w:sz w:val="18"/>
                <w:szCs w:val="18"/>
              </w:rPr>
            </w:pPr>
            <w:r w:rsidRPr="002B6377">
              <w:rPr>
                <w:rFonts w:ascii="Arial" w:hAnsi="Arial" w:cs="Arial"/>
                <w:b/>
                <w:sz w:val="18"/>
                <w:szCs w:val="18"/>
              </w:rPr>
              <w:t>Strength of Evidence (High, Moderate, Low, or Insufficient)</w:t>
            </w: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shd w:val="clear" w:color="auto" w:fill="FFFFFF" w:themeFill="background1"/>
              <w:rPr>
                <w:rFonts w:ascii="Arial" w:hAnsi="Arial" w:cs="Arial"/>
                <w:b/>
                <w:sz w:val="18"/>
                <w:szCs w:val="18"/>
              </w:rPr>
            </w:pPr>
            <w:r w:rsidRPr="002B6377">
              <w:rPr>
                <w:rFonts w:ascii="Arial" w:hAnsi="Arial" w:cs="Arial"/>
                <w:b/>
                <w:bCs/>
                <w:sz w:val="18"/>
                <w:szCs w:val="18"/>
              </w:rPr>
              <w:t xml:space="preserve">1. </w:t>
            </w:r>
            <w:r w:rsidRPr="002B6377">
              <w:rPr>
                <w:rFonts w:ascii="Arial" w:hAnsi="Arial" w:cs="Arial"/>
                <w:b/>
                <w:sz w:val="18"/>
                <w:szCs w:val="18"/>
              </w:rPr>
              <w:t>In adults with pressure ulcers, what is the comparative effectiveness of treatment strategies for improved health outcomes including but not limited to: complete wound healing, healing time, reduced wound surface area, pain, and prevention of serious complications of infection?</w:t>
            </w:r>
          </w:p>
        </w:tc>
        <w:tc>
          <w:tcPr>
            <w:tcW w:w="553"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b/>
                <w:sz w:val="18"/>
                <w:szCs w:val="18"/>
              </w:rPr>
            </w:pP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Support Surfaces</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276"/>
              <w:rPr>
                <w:rFonts w:ascii="Arial" w:hAnsi="Arial" w:cs="Arial"/>
                <w:bCs/>
                <w:sz w:val="18"/>
                <w:szCs w:val="18"/>
              </w:rPr>
            </w:pPr>
            <w:r w:rsidRPr="002B6377">
              <w:rPr>
                <w:rFonts w:ascii="Arial" w:hAnsi="Arial" w:cs="Arial"/>
                <w:bCs/>
                <w:sz w:val="18"/>
                <w:szCs w:val="18"/>
              </w:rPr>
              <w:t>Air-fluidized beds superior to other surfaces</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 1 observational</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908</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High</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276"/>
              <w:rPr>
                <w:rFonts w:ascii="Arial" w:hAnsi="Arial" w:cs="Arial"/>
                <w:bCs/>
                <w:sz w:val="18"/>
                <w:szCs w:val="18"/>
              </w:rPr>
            </w:pPr>
            <w:r w:rsidRPr="002B6377">
              <w:rPr>
                <w:rFonts w:ascii="Arial" w:hAnsi="Arial" w:cs="Arial"/>
                <w:bCs/>
                <w:sz w:val="18"/>
                <w:szCs w:val="18"/>
              </w:rPr>
              <w:t>Alternating pressure surfaces similar to each other</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369</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High</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276"/>
              <w:rPr>
                <w:rFonts w:ascii="Arial" w:hAnsi="Arial" w:cs="Arial"/>
                <w:bCs/>
                <w:sz w:val="18"/>
                <w:szCs w:val="18"/>
              </w:rPr>
            </w:pPr>
            <w:r w:rsidRPr="002B6377">
              <w:rPr>
                <w:rFonts w:ascii="Arial" w:hAnsi="Arial" w:cs="Arial"/>
                <w:bCs/>
                <w:sz w:val="18"/>
                <w:szCs w:val="18"/>
              </w:rPr>
              <w:t>AP beds versus other surfaces</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randomized trials, 1 trial, allocation unclear, 1 retrospective cohort</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368</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trHeight w:val="242"/>
          <w:jc w:val="center"/>
        </w:trPr>
        <w:tc>
          <w:tcPr>
            <w:tcW w:w="1653" w:type="pct"/>
            <w:shd w:val="clear" w:color="auto" w:fill="auto"/>
            <w:vAlign w:val="center"/>
          </w:tcPr>
          <w:p w:rsidR="00E47CF5" w:rsidRPr="00157975" w:rsidRDefault="002B6377" w:rsidP="00E47CF5">
            <w:pPr>
              <w:shd w:val="clear" w:color="auto" w:fill="FFFFFF" w:themeFill="background1"/>
              <w:ind w:left="276"/>
              <w:rPr>
                <w:rFonts w:ascii="Arial" w:hAnsi="Arial" w:cs="Arial"/>
                <w:bCs/>
                <w:sz w:val="18"/>
                <w:szCs w:val="18"/>
              </w:rPr>
            </w:pPr>
            <w:r w:rsidRPr="002B6377">
              <w:rPr>
                <w:rFonts w:ascii="Arial" w:hAnsi="Arial" w:cs="Arial"/>
                <w:bCs/>
                <w:sz w:val="18"/>
                <w:szCs w:val="18"/>
              </w:rPr>
              <w:t>AP cushions versus other cushions</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77</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tabs>
                <w:tab w:val="left" w:pos="1995"/>
              </w:tabs>
              <w:ind w:left="276"/>
              <w:rPr>
                <w:rFonts w:ascii="Arial" w:hAnsi="Arial" w:cs="Arial"/>
                <w:bCs/>
                <w:sz w:val="18"/>
                <w:szCs w:val="18"/>
              </w:rPr>
            </w:pPr>
            <w:r w:rsidRPr="002B6377">
              <w:rPr>
                <w:rFonts w:ascii="Arial" w:hAnsi="Arial" w:cs="Arial"/>
                <w:bCs/>
                <w:sz w:val="18"/>
                <w:szCs w:val="18"/>
              </w:rPr>
              <w:t>LAL beds similar to other surfaces</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 1 observational</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329</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Nutrition</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ind w:left="270"/>
              <w:rPr>
                <w:rFonts w:ascii="Arial" w:hAnsi="Arial" w:cs="Arial"/>
                <w:sz w:val="18"/>
                <w:szCs w:val="18"/>
              </w:rPr>
            </w:pPr>
            <w:r w:rsidRPr="002B6377">
              <w:rPr>
                <w:rFonts w:ascii="Arial" w:hAnsi="Arial" w:cs="Arial"/>
                <w:sz w:val="18"/>
                <w:szCs w:val="18"/>
              </w:rPr>
              <w:t>Protein-containing nutritional supplements superior to standard diets or placebo</w:t>
            </w:r>
          </w:p>
          <w:p w:rsidR="00E47CF5" w:rsidRPr="00157975" w:rsidRDefault="00E47CF5" w:rsidP="00E47CF5">
            <w:pPr>
              <w:shd w:val="clear" w:color="auto" w:fill="FFFFFF" w:themeFill="background1"/>
              <w:ind w:left="276"/>
              <w:rPr>
                <w:rFonts w:ascii="Arial" w:hAnsi="Arial" w:cs="Arial"/>
                <w:bCs/>
                <w:sz w:val="18"/>
                <w:szCs w:val="18"/>
              </w:rPr>
            </w:pPr>
          </w:p>
        </w:tc>
        <w:tc>
          <w:tcPr>
            <w:tcW w:w="553" w:type="pct"/>
            <w:tcBorders>
              <w:bottom w:val="single" w:sz="4" w:space="0" w:color="auto"/>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10 randomized trials</w:t>
            </w:r>
          </w:p>
          <w:p w:rsidR="00E47CF5" w:rsidRPr="00157975" w:rsidRDefault="002B6377" w:rsidP="00E47CF5">
            <w:pPr>
              <w:jc w:val="center"/>
              <w:rPr>
                <w:rFonts w:ascii="Arial" w:hAnsi="Arial" w:cs="Arial"/>
                <w:sz w:val="18"/>
                <w:szCs w:val="18"/>
              </w:rPr>
            </w:pPr>
            <w:r w:rsidRPr="002B6377">
              <w:rPr>
                <w:rFonts w:ascii="Arial" w:hAnsi="Arial" w:cs="Arial"/>
                <w:sz w:val="18"/>
                <w:szCs w:val="18"/>
              </w:rPr>
              <w:t xml:space="preserve">2 observational </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562</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High</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Imprecise</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tcBorders>
              <w:top w:val="single" w:sz="4" w:space="0" w:color="auto"/>
              <w:left w:val="nil"/>
              <w:bottom w:val="nil"/>
              <w:right w:val="nil"/>
            </w:tcBorders>
            <w:shd w:val="clear" w:color="auto" w:fill="auto"/>
            <w:vAlign w:val="center"/>
          </w:tcPr>
          <w:p w:rsidR="00E47CF5" w:rsidRPr="00157975" w:rsidRDefault="00E47CF5" w:rsidP="00E47CF5">
            <w:pPr>
              <w:ind w:left="270"/>
              <w:rPr>
                <w:rFonts w:ascii="Arial" w:hAnsi="Arial" w:cs="Arial"/>
                <w:sz w:val="18"/>
                <w:szCs w:val="18"/>
              </w:rPr>
            </w:pPr>
          </w:p>
        </w:tc>
        <w:tc>
          <w:tcPr>
            <w:tcW w:w="553" w:type="pct"/>
            <w:tcBorders>
              <w:top w:val="single" w:sz="4" w:space="0" w:color="auto"/>
              <w:left w:val="nil"/>
              <w:bottom w:val="nil"/>
              <w:right w:val="nil"/>
            </w:tcBorders>
            <w:shd w:val="clear" w:color="auto" w:fill="auto"/>
            <w:vAlign w:val="center"/>
          </w:tcPr>
          <w:p w:rsidR="00E47CF5" w:rsidRPr="00157975" w:rsidRDefault="00E47CF5" w:rsidP="00E47CF5">
            <w:pPr>
              <w:jc w:val="center"/>
              <w:rPr>
                <w:rFonts w:ascii="Arial" w:hAnsi="Arial" w:cs="Arial"/>
                <w:sz w:val="18"/>
                <w:szCs w:val="18"/>
              </w:rPr>
            </w:pPr>
          </w:p>
        </w:tc>
        <w:tc>
          <w:tcPr>
            <w:tcW w:w="47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trHeight w:val="890"/>
          <w:jc w:val="center"/>
        </w:trPr>
        <w:tc>
          <w:tcPr>
            <w:tcW w:w="1653" w:type="pct"/>
            <w:tcBorders>
              <w:top w:val="nil"/>
            </w:tcBorders>
            <w:shd w:val="clear" w:color="auto" w:fill="auto"/>
            <w:vAlign w:val="center"/>
          </w:tcPr>
          <w:p w:rsidR="00E47CF5" w:rsidRPr="00157975" w:rsidRDefault="002B6377" w:rsidP="00E47CF5">
            <w:pPr>
              <w:ind w:left="270"/>
              <w:rPr>
                <w:rFonts w:ascii="Arial" w:hAnsi="Arial" w:cs="Arial"/>
                <w:sz w:val="18"/>
                <w:szCs w:val="18"/>
              </w:rPr>
            </w:pPr>
            <w:r w:rsidRPr="002B6377">
              <w:rPr>
                <w:rFonts w:ascii="Arial" w:hAnsi="Arial" w:cs="Arial"/>
                <w:sz w:val="18"/>
                <w:szCs w:val="18"/>
              </w:rPr>
              <w:lastRenderedPageBreak/>
              <w:t>Vitamin C similar to placebo</w:t>
            </w:r>
          </w:p>
          <w:p w:rsidR="00E47CF5" w:rsidRPr="00157975" w:rsidRDefault="00E47CF5" w:rsidP="00E47CF5">
            <w:pPr>
              <w:shd w:val="clear" w:color="auto" w:fill="FFFFFF" w:themeFill="background1"/>
              <w:ind w:left="276"/>
              <w:rPr>
                <w:rFonts w:ascii="Arial" w:hAnsi="Arial" w:cs="Arial"/>
                <w:bCs/>
                <w:sz w:val="18"/>
                <w:szCs w:val="18"/>
              </w:rPr>
            </w:pPr>
          </w:p>
        </w:tc>
        <w:tc>
          <w:tcPr>
            <w:tcW w:w="553" w:type="pct"/>
            <w:tcBorders>
              <w:top w:val="nil"/>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1 randomized trial</w:t>
            </w:r>
          </w:p>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nil"/>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88</w:t>
            </w:r>
          </w:p>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 xml:space="preserve">Good </w:t>
            </w:r>
          </w:p>
        </w:tc>
        <w:tc>
          <w:tcPr>
            <w:tcW w:w="622" w:type="pct"/>
            <w:tcBorders>
              <w:top w:val="nil"/>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NA (one study)</w:t>
            </w:r>
          </w:p>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top w:val="nil"/>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Direct</w:t>
            </w:r>
          </w:p>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Imprecise</w:t>
            </w:r>
          </w:p>
        </w:tc>
        <w:tc>
          <w:tcPr>
            <w:tcW w:w="494"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ind w:left="270"/>
              <w:rPr>
                <w:rFonts w:ascii="Arial" w:hAnsi="Arial" w:cs="Arial"/>
                <w:sz w:val="18"/>
                <w:szCs w:val="18"/>
              </w:rPr>
            </w:pPr>
            <w:r w:rsidRPr="002B6377">
              <w:rPr>
                <w:rFonts w:ascii="Arial" w:hAnsi="Arial" w:cs="Arial"/>
                <w:sz w:val="18"/>
                <w:szCs w:val="18"/>
              </w:rPr>
              <w:t>Zinc supplementation versus no zinc supplementation</w:t>
            </w:r>
          </w:p>
          <w:p w:rsidR="00E47CF5" w:rsidRPr="00157975" w:rsidRDefault="00E47CF5" w:rsidP="00E47CF5">
            <w:pPr>
              <w:shd w:val="clear" w:color="auto" w:fill="FFFFFF" w:themeFill="background1"/>
              <w:ind w:left="270"/>
              <w:rPr>
                <w:rFonts w:ascii="Arial" w:hAnsi="Arial" w:cs="Arial"/>
                <w:bCs/>
                <w:sz w:val="18"/>
                <w:szCs w:val="18"/>
              </w:rPr>
            </w:pPr>
          </w:p>
        </w:tc>
        <w:tc>
          <w:tcPr>
            <w:tcW w:w="553" w:type="pct"/>
            <w:tcBorders>
              <w:bottom w:val="single" w:sz="4" w:space="0" w:color="auto"/>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1 randomized trial</w:t>
            </w:r>
          </w:p>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bottom w:val="single" w:sz="4" w:space="0" w:color="auto"/>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70</w:t>
            </w:r>
          </w:p>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jc w:val="center"/>
              <w:rPr>
                <w:rFonts w:ascii="Arial" w:hAnsi="Arial" w:cs="Arial"/>
                <w:sz w:val="18"/>
                <w:szCs w:val="18"/>
              </w:rPr>
            </w:pPr>
            <w:r w:rsidRPr="002B6377">
              <w:rPr>
                <w:rFonts w:ascii="Arial" w:hAnsi="Arial" w:cs="Arial"/>
                <w:sz w:val="18"/>
                <w:szCs w:val="18"/>
              </w:rPr>
              <w:t>NA (one study)</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Imprecise</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0"/>
              <w:rPr>
                <w:rFonts w:ascii="Arial" w:hAnsi="Arial" w:cs="Arial"/>
                <w:b/>
                <w:bCs/>
                <w:i/>
                <w:sz w:val="18"/>
                <w:szCs w:val="18"/>
              </w:rPr>
            </w:pPr>
            <w:r w:rsidRPr="002B6377">
              <w:rPr>
                <w:rFonts w:ascii="Arial" w:hAnsi="Arial" w:cs="Arial"/>
                <w:b/>
                <w:bCs/>
                <w:i/>
                <w:sz w:val="18"/>
                <w:szCs w:val="18"/>
              </w:rPr>
              <w:t>Local Wound Applications</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Hydrocolloid superior to 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10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560</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Hydrogel </w:t>
            </w:r>
            <w:r w:rsidRPr="002B6377">
              <w:rPr>
                <w:rFonts w:ascii="Arial" w:hAnsi="Arial" w:cs="Arial"/>
                <w:sz w:val="18"/>
                <w:szCs w:val="18"/>
              </w:rPr>
              <w:t>versus</w:t>
            </w:r>
            <w:r w:rsidRPr="002B6377">
              <w:rPr>
                <w:rFonts w:ascii="Arial" w:hAnsi="Arial" w:cs="Arial"/>
                <w:bCs/>
                <w:sz w:val="18"/>
                <w:szCs w:val="18"/>
              </w:rPr>
              <w:t xml:space="preserve"> 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156</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Foam </w:t>
            </w:r>
            <w:r w:rsidRPr="002B6377">
              <w:rPr>
                <w:rFonts w:ascii="Arial" w:hAnsi="Arial" w:cs="Arial"/>
                <w:sz w:val="18"/>
                <w:szCs w:val="18"/>
              </w:rPr>
              <w:t>versus</w:t>
            </w:r>
            <w:r w:rsidRPr="002B6377">
              <w:rPr>
                <w:rFonts w:ascii="Arial" w:hAnsi="Arial" w:cs="Arial"/>
                <w:bCs/>
                <w:sz w:val="18"/>
                <w:szCs w:val="18"/>
              </w:rPr>
              <w:t xml:space="preserve"> 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118</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Transparent film </w:t>
            </w:r>
            <w:r w:rsidRPr="002B6377">
              <w:rPr>
                <w:rFonts w:ascii="Arial" w:hAnsi="Arial" w:cs="Arial"/>
                <w:sz w:val="18"/>
                <w:szCs w:val="18"/>
              </w:rPr>
              <w:t>versus</w:t>
            </w:r>
            <w:r w:rsidRPr="002B6377">
              <w:rPr>
                <w:rFonts w:ascii="Arial" w:hAnsi="Arial" w:cs="Arial"/>
                <w:bCs/>
                <w:sz w:val="18"/>
                <w:szCs w:val="18"/>
              </w:rPr>
              <w:t xml:space="preserve"> 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106</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Hydrocolloid </w:t>
            </w:r>
            <w:r w:rsidRPr="002B6377">
              <w:rPr>
                <w:rFonts w:ascii="Arial" w:hAnsi="Arial" w:cs="Arial"/>
                <w:sz w:val="18"/>
                <w:szCs w:val="18"/>
              </w:rPr>
              <w:t>versus</w:t>
            </w:r>
            <w:r w:rsidRPr="002B6377">
              <w:rPr>
                <w:rFonts w:ascii="Arial" w:hAnsi="Arial" w:cs="Arial"/>
                <w:bCs/>
                <w:sz w:val="18"/>
                <w:szCs w:val="18"/>
              </w:rPr>
              <w:t xml:space="preserve"> hydrogel</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167</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Hydrocolloid equivalent to foam</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8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508</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Radiant heat similar to other dressings (complete wound healing)</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160</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Good</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Radiant heat superior to other dressings</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160</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Good</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Debriding enzymes </w:t>
            </w:r>
            <w:r w:rsidRPr="002B6377">
              <w:rPr>
                <w:rFonts w:ascii="Arial" w:hAnsi="Arial" w:cs="Arial"/>
                <w:sz w:val="18"/>
                <w:szCs w:val="18"/>
              </w:rPr>
              <w:t>versus</w:t>
            </w:r>
            <w:r w:rsidRPr="002B6377">
              <w:rPr>
                <w:rFonts w:ascii="Arial" w:hAnsi="Arial" w:cs="Arial"/>
                <w:bCs/>
                <w:sz w:val="18"/>
                <w:szCs w:val="18"/>
              </w:rPr>
              <w:t xml:space="preserve"> hydrocolloid/standard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218</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Phenytoin </w:t>
            </w:r>
            <w:r w:rsidRPr="002B6377">
              <w:rPr>
                <w:rFonts w:ascii="Arial" w:hAnsi="Arial" w:cs="Arial"/>
                <w:sz w:val="18"/>
                <w:szCs w:val="18"/>
              </w:rPr>
              <w:t>versus</w:t>
            </w:r>
            <w:r w:rsidRPr="002B6377">
              <w:rPr>
                <w:rFonts w:ascii="Arial" w:hAnsi="Arial" w:cs="Arial"/>
                <w:bCs/>
                <w:sz w:val="18"/>
                <w:szCs w:val="18"/>
              </w:rPr>
              <w:t xml:space="preserve">  hydrocolloid/standard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154</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Dextranomer paste inferior to hydrogel/alginate dressings</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227</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Collagen applications similar to hydrocolloid/standard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169</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Maggot therapy </w:t>
            </w:r>
            <w:r w:rsidRPr="002B6377">
              <w:rPr>
                <w:rFonts w:ascii="Arial" w:hAnsi="Arial" w:cs="Arial"/>
                <w:sz w:val="18"/>
                <w:szCs w:val="18"/>
              </w:rPr>
              <w:t>versus</w:t>
            </w:r>
            <w:r w:rsidRPr="002B6377">
              <w:rPr>
                <w:rFonts w:ascii="Arial" w:hAnsi="Arial" w:cs="Arial"/>
                <w:bCs/>
                <w:sz w:val="18"/>
                <w:szCs w:val="18"/>
              </w:rPr>
              <w:t xml:space="preserve"> 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 xml:space="preserve">3 observational </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129</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bottom w:val="single" w:sz="4" w:space="0" w:color="auto"/>
            </w:tcBorders>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Platelet-derived growth factor superior to placebo</w:t>
            </w:r>
          </w:p>
        </w:tc>
        <w:tc>
          <w:tcPr>
            <w:tcW w:w="553"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196</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nil"/>
              <w:bottom w:val="nil"/>
              <w:right w:val="nil"/>
            </w:tcBorders>
            <w:shd w:val="clear" w:color="auto" w:fill="auto"/>
          </w:tcPr>
          <w:p w:rsidR="00E47CF5" w:rsidRPr="00157975" w:rsidRDefault="00E47CF5" w:rsidP="00E47CF5">
            <w:pPr>
              <w:shd w:val="clear" w:color="auto" w:fill="FFFFFF" w:themeFill="background1"/>
              <w:ind w:left="270"/>
              <w:rPr>
                <w:rFonts w:ascii="Arial" w:hAnsi="Arial" w:cs="Arial"/>
                <w:bCs/>
                <w:sz w:val="18"/>
                <w:szCs w:val="18"/>
              </w:rPr>
            </w:pPr>
          </w:p>
        </w:tc>
        <w:tc>
          <w:tcPr>
            <w:tcW w:w="5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nil"/>
            </w:tcBorders>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lastRenderedPageBreak/>
              <w:t xml:space="preserve">Fibroblast growth factor </w:t>
            </w:r>
            <w:r w:rsidRPr="002B6377">
              <w:rPr>
                <w:rFonts w:ascii="Arial" w:hAnsi="Arial" w:cs="Arial"/>
                <w:sz w:val="18"/>
                <w:szCs w:val="18"/>
              </w:rPr>
              <w:t>versus</w:t>
            </w:r>
            <w:r w:rsidRPr="002B6377">
              <w:rPr>
                <w:rFonts w:ascii="Arial" w:hAnsi="Arial" w:cs="Arial"/>
                <w:bCs/>
                <w:sz w:val="18"/>
                <w:szCs w:val="18"/>
              </w:rPr>
              <w:t xml:space="preserve"> placebo</w:t>
            </w:r>
          </w:p>
        </w:tc>
        <w:tc>
          <w:tcPr>
            <w:tcW w:w="553"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randomized trials</w:t>
            </w:r>
          </w:p>
        </w:tc>
        <w:tc>
          <w:tcPr>
            <w:tcW w:w="474"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60</w:t>
            </w:r>
          </w:p>
        </w:tc>
        <w:tc>
          <w:tcPr>
            <w:tcW w:w="325"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nil"/>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Nerve growth factor </w:t>
            </w:r>
            <w:r w:rsidRPr="002B6377">
              <w:rPr>
                <w:rFonts w:ascii="Arial" w:hAnsi="Arial" w:cs="Arial"/>
                <w:sz w:val="18"/>
                <w:szCs w:val="18"/>
              </w:rPr>
              <w:t>versus</w:t>
            </w:r>
            <w:r w:rsidRPr="002B6377">
              <w:rPr>
                <w:rFonts w:ascii="Arial" w:hAnsi="Arial" w:cs="Arial"/>
                <w:bCs/>
                <w:sz w:val="18"/>
                <w:szCs w:val="18"/>
              </w:rPr>
              <w:t xml:space="preserve"> placebo</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randomized trial</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36</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Good</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NA</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shd w:val="clear" w:color="auto" w:fill="FFFFFF" w:themeFill="background1"/>
              <w:ind w:left="270"/>
              <w:rPr>
                <w:rFonts w:ascii="Arial" w:hAnsi="Arial" w:cs="Arial"/>
                <w:bCs/>
                <w:sz w:val="18"/>
                <w:szCs w:val="18"/>
              </w:rPr>
            </w:pPr>
            <w:r w:rsidRPr="002B6377">
              <w:rPr>
                <w:rFonts w:ascii="Arial" w:hAnsi="Arial" w:cs="Arial"/>
                <w:bCs/>
                <w:sz w:val="18"/>
                <w:szCs w:val="18"/>
              </w:rPr>
              <w:t xml:space="preserve">Macrophage suspension </w:t>
            </w:r>
            <w:r w:rsidRPr="002B6377">
              <w:rPr>
                <w:rFonts w:ascii="Arial" w:hAnsi="Arial" w:cs="Arial"/>
                <w:sz w:val="18"/>
                <w:szCs w:val="18"/>
              </w:rPr>
              <w:t>versus</w:t>
            </w:r>
            <w:r w:rsidRPr="002B6377">
              <w:rPr>
                <w:rFonts w:ascii="Arial" w:hAnsi="Arial" w:cs="Arial"/>
                <w:bCs/>
                <w:sz w:val="18"/>
                <w:szCs w:val="18"/>
              </w:rPr>
              <w:t xml:space="preserve"> standard care</w:t>
            </w:r>
          </w:p>
        </w:tc>
        <w:tc>
          <w:tcPr>
            <w:tcW w:w="553"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observational</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299</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keepNext/>
              <w:shd w:val="clear" w:color="auto" w:fill="FFFFFF" w:themeFill="background1"/>
              <w:ind w:left="96"/>
              <w:rPr>
                <w:rFonts w:ascii="Arial" w:hAnsi="Arial" w:cs="Arial"/>
                <w:b/>
                <w:bCs/>
                <w:i/>
                <w:sz w:val="18"/>
                <w:szCs w:val="18"/>
              </w:rPr>
            </w:pPr>
            <w:r w:rsidRPr="002B6377">
              <w:rPr>
                <w:rFonts w:ascii="Arial" w:hAnsi="Arial" w:cs="Arial"/>
                <w:b/>
                <w:bCs/>
                <w:i/>
                <w:sz w:val="18"/>
                <w:szCs w:val="18"/>
              </w:rPr>
              <w:t>Surgery</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keepNext/>
              <w:shd w:val="clear" w:color="auto" w:fill="FFFFFF" w:themeFill="background1"/>
              <w:ind w:left="366"/>
              <w:rPr>
                <w:rFonts w:ascii="Arial" w:hAnsi="Arial" w:cs="Arial"/>
                <w:bCs/>
                <w:sz w:val="18"/>
                <w:szCs w:val="18"/>
              </w:rPr>
            </w:pPr>
            <w:r w:rsidRPr="002B6377">
              <w:rPr>
                <w:rFonts w:ascii="Arial" w:hAnsi="Arial" w:cs="Arial"/>
                <w:bCs/>
                <w:sz w:val="18"/>
                <w:szCs w:val="18"/>
              </w:rPr>
              <w:t xml:space="preserve">Cutaneous versus fasciocutaneous </w:t>
            </w:r>
            <w:r w:rsidRPr="002B6377">
              <w:rPr>
                <w:rFonts w:ascii="Arial" w:hAnsi="Arial" w:cs="Arial"/>
                <w:sz w:val="18"/>
                <w:szCs w:val="18"/>
              </w:rPr>
              <w:t>versus</w:t>
            </w:r>
            <w:r w:rsidRPr="002B6377">
              <w:rPr>
                <w:rFonts w:ascii="Arial" w:hAnsi="Arial" w:cs="Arial"/>
                <w:bCs/>
                <w:sz w:val="18"/>
                <w:szCs w:val="18"/>
              </w:rPr>
              <w:t xml:space="preserve"> myocutaneous flaps</w:t>
            </w:r>
          </w:p>
        </w:tc>
        <w:tc>
          <w:tcPr>
            <w:tcW w:w="553"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observational</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560</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0"/>
              <w:rPr>
                <w:rFonts w:ascii="Arial" w:hAnsi="Arial" w:cs="Arial"/>
                <w:b/>
                <w:bCs/>
                <w:i/>
                <w:sz w:val="18"/>
                <w:szCs w:val="18"/>
              </w:rPr>
            </w:pPr>
            <w:r w:rsidRPr="002B6377">
              <w:rPr>
                <w:rFonts w:ascii="Arial" w:hAnsi="Arial" w:cs="Arial"/>
                <w:b/>
                <w:bCs/>
                <w:i/>
                <w:sz w:val="18"/>
                <w:szCs w:val="18"/>
              </w:rPr>
              <w:t>Adjunctive Therapies</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 xml:space="preserve">Electrical stimulation superior to sham </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9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397</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 xml:space="preserve">Electromagnetic therapy  equivalent to sham </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112</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Ultrasound similar to sham or 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148</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 xml:space="preserve">NPWT similar to standard care or topical gel </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randomized trials</w:t>
            </w:r>
          </w:p>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observational</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52</w:t>
            </w:r>
          </w:p>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86</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High</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Light Therapy similar to sham or standard care (complete wound healing)</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randomized trials</w:t>
            </w:r>
          </w:p>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observational</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489</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Light Therapy superior to sham or standard care in (wound surface area reduction)</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p w:rsidR="00E47CF5" w:rsidRPr="00157975" w:rsidRDefault="002B6377" w:rsidP="00E47CF5">
            <w:pPr>
              <w:shd w:val="clear" w:color="auto" w:fill="FFFFFF" w:themeFill="background1"/>
              <w:ind w:firstLine="360"/>
              <w:jc w:val="center"/>
              <w:rPr>
                <w:rFonts w:ascii="Arial" w:hAnsi="Arial" w:cs="Arial"/>
                <w:sz w:val="18"/>
                <w:szCs w:val="18"/>
              </w:rPr>
            </w:pPr>
            <w:r w:rsidRPr="002B6377">
              <w:rPr>
                <w:rFonts w:ascii="Arial" w:hAnsi="Arial" w:cs="Arial"/>
                <w:sz w:val="18"/>
                <w:szCs w:val="18"/>
              </w:rPr>
              <w:t>1 observatonal</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489</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Laser Therapy similar to sham or standard care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157</w:t>
            </w:r>
          </w:p>
          <w:p w:rsidR="00E47CF5" w:rsidRPr="00157975" w:rsidRDefault="00E47CF5" w:rsidP="00E47CF5">
            <w:pPr>
              <w:shd w:val="clear" w:color="auto" w:fill="FFFFFF" w:themeFill="background1"/>
              <w:jc w:val="center"/>
              <w:rPr>
                <w:rFonts w:ascii="Arial" w:hAnsi="Arial" w:cs="Arial"/>
                <w:sz w:val="18"/>
                <w:szCs w:val="18"/>
              </w:rPr>
            </w:pP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shd w:val="clear" w:color="auto" w:fill="FFFFFF" w:themeFill="background1"/>
              <w:ind w:left="360"/>
              <w:rPr>
                <w:rFonts w:ascii="Arial" w:hAnsi="Arial" w:cs="Arial"/>
                <w:bCs/>
                <w:sz w:val="18"/>
                <w:szCs w:val="18"/>
              </w:rPr>
            </w:pPr>
            <w:r w:rsidRPr="002B6377">
              <w:rPr>
                <w:rFonts w:ascii="Arial" w:hAnsi="Arial" w:cs="Arial"/>
                <w:bCs/>
                <w:sz w:val="18"/>
                <w:szCs w:val="18"/>
              </w:rPr>
              <w:t xml:space="preserve">Hydrotherapy superior </w:t>
            </w:r>
            <w:r w:rsidRPr="002B6377">
              <w:rPr>
                <w:rFonts w:ascii="Arial" w:hAnsi="Arial" w:cs="Arial"/>
                <w:sz w:val="18"/>
                <w:szCs w:val="18"/>
              </w:rPr>
              <w:t>versus</w:t>
            </w:r>
            <w:r w:rsidRPr="002B6377">
              <w:rPr>
                <w:rFonts w:ascii="Arial" w:hAnsi="Arial" w:cs="Arial"/>
                <w:bCs/>
                <w:sz w:val="18"/>
                <w:szCs w:val="18"/>
              </w:rPr>
              <w:t xml:space="preserve"> sham or standard care</w:t>
            </w:r>
          </w:p>
        </w:tc>
        <w:tc>
          <w:tcPr>
            <w:tcW w:w="553"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randomized trials</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128</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ind w:left="360"/>
              <w:rPr>
                <w:rFonts w:ascii="Arial" w:hAnsi="Arial" w:cs="Arial"/>
                <w:bCs/>
                <w:sz w:val="18"/>
                <w:szCs w:val="18"/>
              </w:rPr>
            </w:pPr>
          </w:p>
        </w:tc>
        <w:tc>
          <w:tcPr>
            <w:tcW w:w="5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nil"/>
              <w:bottom w:val="single" w:sz="4" w:space="0" w:color="auto"/>
            </w:tcBorders>
            <w:shd w:val="clear" w:color="auto" w:fill="auto"/>
            <w:vAlign w:val="center"/>
          </w:tcPr>
          <w:p w:rsidR="00E47CF5" w:rsidRPr="00157975" w:rsidRDefault="00E47CF5" w:rsidP="00E47CF5">
            <w:pPr>
              <w:shd w:val="clear" w:color="auto" w:fill="FFFFFF" w:themeFill="background1"/>
              <w:rPr>
                <w:rFonts w:ascii="Arial" w:hAnsi="Arial" w:cs="Arial"/>
                <w:b/>
                <w:sz w:val="18"/>
                <w:szCs w:val="18"/>
              </w:rPr>
            </w:pPr>
          </w:p>
          <w:p w:rsidR="00E47CF5" w:rsidRPr="00157975" w:rsidRDefault="00E47CF5" w:rsidP="00E47CF5">
            <w:pPr>
              <w:shd w:val="clear" w:color="auto" w:fill="FFFFFF" w:themeFill="background1"/>
              <w:rPr>
                <w:rFonts w:ascii="Arial" w:hAnsi="Arial" w:cs="Arial"/>
                <w:b/>
                <w:sz w:val="18"/>
                <w:szCs w:val="18"/>
              </w:rPr>
            </w:pPr>
          </w:p>
          <w:p w:rsidR="00E47CF5" w:rsidRPr="00157975" w:rsidRDefault="002B6377" w:rsidP="00E47CF5">
            <w:pPr>
              <w:shd w:val="clear" w:color="auto" w:fill="FFFFFF" w:themeFill="background1"/>
              <w:rPr>
                <w:rFonts w:ascii="Arial" w:hAnsi="Arial" w:cs="Arial"/>
                <w:b/>
                <w:sz w:val="18"/>
                <w:szCs w:val="18"/>
              </w:rPr>
            </w:pPr>
            <w:r w:rsidRPr="002B6377">
              <w:rPr>
                <w:rFonts w:ascii="Arial" w:hAnsi="Arial" w:cs="Arial"/>
                <w:b/>
                <w:sz w:val="18"/>
                <w:szCs w:val="18"/>
              </w:rPr>
              <w:t>1a. Does the comparative effectiveness of treatment strategies differ according to features of the pressure ulcers, such as anatomic site or severity at baseline?*</w:t>
            </w:r>
          </w:p>
        </w:tc>
        <w:tc>
          <w:tcPr>
            <w:tcW w:w="553" w:type="pct"/>
            <w:tcBorders>
              <w:top w:val="nil"/>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nil"/>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nil"/>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nil"/>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top w:val="nil"/>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top w:val="nil"/>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nil"/>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Surgery</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 xml:space="preserve">Ulcer recurrence rate after surgery lower for sacral versus. ischial ulcers </w:t>
            </w:r>
          </w:p>
        </w:tc>
        <w:tc>
          <w:tcPr>
            <w:tcW w:w="553"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observational</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560</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sz w:val="18"/>
                <w:szCs w:val="18"/>
              </w:rPr>
              <w:t xml:space="preserve"> </w:t>
            </w:r>
            <w:r w:rsidRPr="002B6377">
              <w:rPr>
                <w:rFonts w:ascii="Arial" w:hAnsi="Arial" w:cs="Arial"/>
                <w:b/>
                <w:bCs/>
                <w:i/>
                <w:sz w:val="18"/>
                <w:szCs w:val="18"/>
              </w:rPr>
              <w:t>Adjunctive Therapies</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tabs>
                <w:tab w:val="left" w:pos="1110"/>
              </w:tabs>
              <w:ind w:left="366"/>
              <w:rPr>
                <w:rFonts w:ascii="Arial" w:hAnsi="Arial" w:cs="Arial"/>
                <w:bCs/>
                <w:sz w:val="18"/>
                <w:szCs w:val="18"/>
              </w:rPr>
            </w:pPr>
            <w:r w:rsidRPr="002B6377">
              <w:rPr>
                <w:rFonts w:ascii="Arial" w:hAnsi="Arial" w:cs="Arial"/>
                <w:bCs/>
                <w:sz w:val="18"/>
                <w:szCs w:val="18"/>
              </w:rPr>
              <w:t xml:space="preserve">Electrical stimulation vs. sham, by ulcer stage </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197</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Electromagnetic therapy versus sham, by ulcer stage</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randomized trial</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30</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NA</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shd w:val="clear" w:color="auto" w:fill="FFFFFF" w:themeFill="background1"/>
              <w:rPr>
                <w:rFonts w:ascii="Arial" w:hAnsi="Arial" w:cs="Arial"/>
                <w:b/>
                <w:sz w:val="18"/>
                <w:szCs w:val="18"/>
              </w:rPr>
            </w:pPr>
            <w:r w:rsidRPr="002B6377">
              <w:rPr>
                <w:rFonts w:ascii="Arial" w:hAnsi="Arial" w:cs="Arial"/>
                <w:b/>
                <w:bCs/>
                <w:sz w:val="18"/>
                <w:szCs w:val="18"/>
              </w:rPr>
              <w:t xml:space="preserve">1b. </w:t>
            </w:r>
            <w:r w:rsidRPr="002B6377">
              <w:rPr>
                <w:rFonts w:ascii="Arial" w:hAnsi="Arial" w:cs="Arial"/>
                <w:b/>
                <w:sz w:val="18"/>
                <w:szCs w:val="18"/>
              </w:rPr>
              <w:t>Does the comparative effectiveness of treatment strategies differ according to patient characteristics, including but not limited to: age; race/ethnicity; body weight; specific medical comorbidities; and known risk factors for pressure ulcers, such as functional ability, nutritional status, or incontinence? *</w:t>
            </w:r>
          </w:p>
        </w:tc>
        <w:tc>
          <w:tcPr>
            <w:tcW w:w="553"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bottom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Surgery</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spacing w:line="240" w:lineRule="exact"/>
              <w:ind w:left="402"/>
              <w:rPr>
                <w:rFonts w:ascii="Arial" w:hAnsi="Arial" w:cs="Arial"/>
                <w:bCs/>
                <w:sz w:val="18"/>
                <w:szCs w:val="18"/>
              </w:rPr>
            </w:pPr>
            <w:r w:rsidRPr="002B6377">
              <w:rPr>
                <w:rFonts w:ascii="Arial" w:hAnsi="Arial" w:cs="Arial"/>
                <w:bCs/>
                <w:sz w:val="18"/>
                <w:szCs w:val="18"/>
              </w:rPr>
              <w:t>Ulcer recurrence rate greater after surgery for patients with spinal cord injury versus  others</w:t>
            </w:r>
          </w:p>
          <w:p w:rsidR="00E47CF5" w:rsidRPr="00157975" w:rsidRDefault="00E47CF5" w:rsidP="00E47CF5">
            <w:pPr>
              <w:shd w:val="clear" w:color="auto" w:fill="FFFFFF" w:themeFill="background1"/>
              <w:rPr>
                <w:rFonts w:ascii="Arial" w:hAnsi="Arial" w:cs="Arial"/>
                <w:bCs/>
                <w:sz w:val="18"/>
                <w:szCs w:val="18"/>
              </w:rPr>
            </w:pPr>
          </w:p>
        </w:tc>
        <w:tc>
          <w:tcPr>
            <w:tcW w:w="553"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observational</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158</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NA</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Adjunctive Therapies</w:t>
            </w:r>
          </w:p>
        </w:tc>
        <w:tc>
          <w:tcPr>
            <w:tcW w:w="553"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left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lef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Electrical stimulation versus sham in spinal cord injured patients versus others</w:t>
            </w:r>
          </w:p>
        </w:tc>
        <w:tc>
          <w:tcPr>
            <w:tcW w:w="553"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138</w:t>
            </w:r>
          </w:p>
        </w:tc>
        <w:tc>
          <w:tcPr>
            <w:tcW w:w="325"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Indirect</w:t>
            </w:r>
          </w:p>
        </w:tc>
        <w:tc>
          <w:tcPr>
            <w:tcW w:w="432" w:type="pct"/>
            <w:gridSpan w:val="2"/>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bottom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Electromagnetic therapy versus sham</w:t>
            </w:r>
          </w:p>
        </w:tc>
        <w:tc>
          <w:tcPr>
            <w:tcW w:w="553"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randomized trials</w:t>
            </w:r>
          </w:p>
        </w:tc>
        <w:tc>
          <w:tcPr>
            <w:tcW w:w="47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60</w:t>
            </w:r>
          </w:p>
        </w:tc>
        <w:tc>
          <w:tcPr>
            <w:tcW w:w="325"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47"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32" w:type="pct"/>
            <w:gridSpan w:val="2"/>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bottom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ind w:left="366"/>
              <w:rPr>
                <w:rFonts w:ascii="Arial" w:hAnsi="Arial" w:cs="Arial"/>
                <w:bCs/>
                <w:sz w:val="18"/>
                <w:szCs w:val="18"/>
              </w:rPr>
            </w:pPr>
          </w:p>
        </w:tc>
        <w:tc>
          <w:tcPr>
            <w:tcW w:w="5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rPr>
                <w:rFonts w:ascii="Arial" w:hAnsi="Arial" w:cs="Arial"/>
                <w:b/>
                <w:sz w:val="18"/>
                <w:szCs w:val="18"/>
              </w:rPr>
            </w:pPr>
            <w:r w:rsidRPr="002B6377">
              <w:rPr>
                <w:rFonts w:ascii="Arial" w:hAnsi="Arial" w:cs="Arial"/>
                <w:b/>
                <w:bCs/>
                <w:sz w:val="18"/>
                <w:szCs w:val="18"/>
              </w:rPr>
              <w:lastRenderedPageBreak/>
              <w:t xml:space="preserve">1c. </w:t>
            </w:r>
            <w:r w:rsidRPr="002B6377">
              <w:rPr>
                <w:rFonts w:ascii="Arial" w:hAnsi="Arial" w:cs="Arial"/>
                <w:b/>
                <w:sz w:val="18"/>
                <w:szCs w:val="18"/>
              </w:rPr>
              <w:t>Does the comparative effectiveness of treatment strategies differ according to patient care settings such as home, nursing facility, or hospital, or according to features of patient care settings, including but not limited to nurse/patient staffing ratio, staff education and training in wound care, the use of wound care teams, and home caregiver support and training? *</w:t>
            </w:r>
          </w:p>
        </w:tc>
        <w:tc>
          <w:tcPr>
            <w:tcW w:w="553"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47"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32" w:type="pct"/>
            <w:gridSpan w:val="2"/>
            <w:tcBorders>
              <w:top w:val="nil"/>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Key Outcomes: Adjunctive</w:t>
            </w:r>
          </w:p>
        </w:tc>
        <w:tc>
          <w:tcPr>
            <w:tcW w:w="553"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Electrical stimulation versus sham</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9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397</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Electromagnetic therapy versus  sham</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72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High</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rPr>
                <w:rFonts w:ascii="Arial" w:hAnsi="Arial" w:cs="Arial"/>
                <w:b/>
                <w:sz w:val="18"/>
                <w:szCs w:val="18"/>
              </w:rPr>
            </w:pPr>
            <w:r w:rsidRPr="002B6377">
              <w:rPr>
                <w:rFonts w:ascii="Arial" w:hAnsi="Arial" w:cs="Arial"/>
                <w:b/>
                <w:bCs/>
                <w:sz w:val="18"/>
                <w:szCs w:val="18"/>
              </w:rPr>
              <w:t xml:space="preserve">2. </w:t>
            </w:r>
            <w:r w:rsidRPr="002B6377">
              <w:rPr>
                <w:rFonts w:ascii="Arial" w:hAnsi="Arial" w:cs="Arial"/>
                <w:b/>
                <w:sz w:val="18"/>
                <w:szCs w:val="18"/>
              </w:rPr>
              <w:t>What are the harms of treatments for pressure ulcers? *</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nil"/>
            </w:tcBorders>
            <w:shd w:val="clear" w:color="auto" w:fill="auto"/>
            <w:vAlign w:val="center"/>
          </w:tcPr>
          <w:p w:rsidR="00E47CF5" w:rsidRPr="00157975" w:rsidDel="006C717B"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Support Surfaces</w:t>
            </w:r>
          </w:p>
        </w:tc>
        <w:tc>
          <w:tcPr>
            <w:tcW w:w="553"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402"/>
              <w:rPr>
                <w:rFonts w:ascii="Arial" w:hAnsi="Arial" w:cs="Arial"/>
                <w:bCs/>
                <w:sz w:val="18"/>
                <w:szCs w:val="18"/>
              </w:rPr>
            </w:pPr>
            <w:r w:rsidRPr="002B6377">
              <w:rPr>
                <w:rFonts w:ascii="Arial" w:hAnsi="Arial" w:cs="Arial"/>
                <w:bCs/>
                <w:sz w:val="18"/>
                <w:szCs w:val="18"/>
              </w:rPr>
              <w:t>Unclear harms of support surfaces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 xml:space="preserve">6 randomized trials; 1 observational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2,399</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Del="006C717B"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Nutrition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402"/>
              <w:rPr>
                <w:rFonts w:ascii="Arial" w:hAnsi="Arial" w:cs="Arial"/>
                <w:bCs/>
                <w:sz w:val="18"/>
                <w:szCs w:val="18"/>
              </w:rPr>
            </w:pPr>
            <w:r w:rsidRPr="002B6377">
              <w:rPr>
                <w:rFonts w:ascii="Arial" w:hAnsi="Arial" w:cs="Arial"/>
                <w:bCs/>
                <w:sz w:val="18"/>
                <w:szCs w:val="18"/>
              </w:rPr>
              <w:t>Unclear harms of nutritional supplementation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5 randomized trials</w:t>
            </w:r>
          </w:p>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observational studies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448</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Del="006C717B"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Local Wound Applications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rPr>
                <w:rFonts w:ascii="Arial" w:hAnsi="Arial" w:cs="Arial"/>
                <w:sz w:val="18"/>
                <w:szCs w:val="18"/>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402"/>
              <w:rPr>
                <w:rFonts w:ascii="Arial" w:hAnsi="Arial" w:cs="Arial"/>
                <w:bCs/>
                <w:sz w:val="18"/>
                <w:szCs w:val="18"/>
              </w:rPr>
            </w:pPr>
            <w:r w:rsidRPr="002B6377">
              <w:rPr>
                <w:rFonts w:ascii="Arial" w:hAnsi="Arial" w:cs="Arial"/>
                <w:bCs/>
                <w:sz w:val="18"/>
                <w:szCs w:val="18"/>
              </w:rPr>
              <w:t>Dressings and topical therapies associated with skin complications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20"/>
              </w:rPr>
            </w:pPr>
            <w:r w:rsidRPr="002B6377">
              <w:rPr>
                <w:rFonts w:ascii="Arial" w:hAnsi="Arial" w:cs="Arial"/>
                <w:sz w:val="20"/>
              </w:rPr>
              <w:t xml:space="preserve"> 25 randomized trials</w:t>
            </w:r>
          </w:p>
          <w:p w:rsidR="00E47CF5" w:rsidRPr="00157975" w:rsidRDefault="002B6377" w:rsidP="00E47CF5">
            <w:pPr>
              <w:shd w:val="clear" w:color="auto" w:fill="FFFFFF" w:themeFill="background1"/>
              <w:jc w:val="center"/>
              <w:rPr>
                <w:rFonts w:ascii="Arial" w:hAnsi="Arial" w:cs="Arial"/>
                <w:sz w:val="20"/>
              </w:rPr>
            </w:pPr>
            <w:r w:rsidRPr="002B6377">
              <w:rPr>
                <w:rFonts w:ascii="Arial" w:hAnsi="Arial" w:cs="Arial"/>
                <w:sz w:val="20"/>
              </w:rPr>
              <w:t>5 observational studies</w:t>
            </w:r>
          </w:p>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3,728</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r>
      <w:tr w:rsidR="00E47CF5" w:rsidRPr="00157975" w:rsidTr="00E47CF5">
        <w:trPr>
          <w:cantSplit/>
          <w:jc w:val="center"/>
        </w:trPr>
        <w:tc>
          <w:tcPr>
            <w:tcW w:w="16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ind w:left="402"/>
              <w:rPr>
                <w:rFonts w:ascii="Arial" w:hAnsi="Arial" w:cs="Arial"/>
                <w:bCs/>
                <w:sz w:val="18"/>
                <w:szCs w:val="18"/>
              </w:rPr>
            </w:pPr>
          </w:p>
        </w:tc>
        <w:tc>
          <w:tcPr>
            <w:tcW w:w="5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rPr>
                <w:rFonts w:ascii="Arial" w:hAnsi="Arial" w:cs="Arial"/>
                <w:sz w:val="18"/>
                <w:szCs w:val="18"/>
              </w:rPr>
            </w:pPr>
          </w:p>
          <w:p w:rsidR="002B6377" w:rsidRPr="002B6377" w:rsidRDefault="002B6377" w:rsidP="002B6377">
            <w:pPr>
              <w:shd w:val="clear" w:color="auto" w:fill="FFFFFF" w:themeFill="background1"/>
              <w:rPr>
                <w:rFonts w:ascii="Arial" w:hAnsi="Arial" w:cs="Arial"/>
                <w:sz w:val="18"/>
                <w:szCs w:val="18"/>
              </w:rPr>
            </w:pPr>
          </w:p>
        </w:tc>
        <w:tc>
          <w:tcPr>
            <w:tcW w:w="622"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402"/>
              <w:rPr>
                <w:rFonts w:ascii="Arial" w:hAnsi="Arial" w:cs="Arial"/>
                <w:bCs/>
                <w:sz w:val="18"/>
                <w:szCs w:val="18"/>
              </w:rPr>
            </w:pPr>
            <w:r w:rsidRPr="002B6377">
              <w:rPr>
                <w:rFonts w:ascii="Arial" w:hAnsi="Arial" w:cs="Arial"/>
                <w:bCs/>
                <w:sz w:val="18"/>
                <w:szCs w:val="18"/>
              </w:rPr>
              <w:lastRenderedPageBreak/>
              <w:t>Dressings/topical therapies vs. other dressings/topical therapies</w:t>
            </w:r>
          </w:p>
        </w:tc>
        <w:tc>
          <w:tcPr>
            <w:tcW w:w="553"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 xml:space="preserve"> </w:t>
            </w:r>
          </w:p>
          <w:p w:rsidR="00E47CF5" w:rsidRPr="00157975" w:rsidRDefault="002B6377" w:rsidP="00E47CF5">
            <w:pPr>
              <w:shd w:val="clear" w:color="auto" w:fill="FFFFFF" w:themeFill="background1"/>
              <w:jc w:val="center"/>
              <w:rPr>
                <w:rFonts w:ascii="Arial" w:hAnsi="Arial" w:cs="Arial"/>
                <w:sz w:val="20"/>
              </w:rPr>
            </w:pPr>
            <w:r w:rsidRPr="002B6377">
              <w:rPr>
                <w:rFonts w:ascii="Arial" w:hAnsi="Arial" w:cs="Arial"/>
                <w:sz w:val="20"/>
              </w:rPr>
              <w:t>6  randomized trials</w:t>
            </w:r>
          </w:p>
          <w:p w:rsidR="00E47CF5" w:rsidRPr="00157975" w:rsidRDefault="002B6377" w:rsidP="00E47CF5">
            <w:pPr>
              <w:shd w:val="clear" w:color="auto" w:fill="FFFFFF" w:themeFill="background1"/>
              <w:jc w:val="center"/>
              <w:rPr>
                <w:rFonts w:ascii="Arial" w:hAnsi="Arial" w:cs="Arial"/>
                <w:sz w:val="20"/>
              </w:rPr>
            </w:pPr>
            <w:r w:rsidRPr="002B6377">
              <w:rPr>
                <w:rFonts w:ascii="Arial" w:hAnsi="Arial" w:cs="Arial"/>
                <w:sz w:val="20"/>
              </w:rPr>
              <w:t>1 observational</w:t>
            </w:r>
          </w:p>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2276</w:t>
            </w:r>
          </w:p>
        </w:tc>
        <w:tc>
          <w:tcPr>
            <w:tcW w:w="325"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Poor</w:t>
            </w:r>
          </w:p>
        </w:tc>
        <w:tc>
          <w:tcPr>
            <w:tcW w:w="622"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402"/>
              <w:rPr>
                <w:rFonts w:ascii="Arial" w:hAnsi="Arial" w:cs="Arial"/>
                <w:bCs/>
                <w:sz w:val="18"/>
                <w:szCs w:val="18"/>
              </w:rPr>
            </w:pPr>
            <w:r w:rsidRPr="002B6377">
              <w:rPr>
                <w:rFonts w:ascii="Arial" w:hAnsi="Arial" w:cs="Arial"/>
                <w:bCs/>
                <w:sz w:val="18"/>
                <w:szCs w:val="18"/>
              </w:rPr>
              <w:t>Biological agents not associated with significant harms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firstLine="360"/>
              <w:rPr>
                <w:rFonts w:ascii="Arial" w:hAnsi="Arial" w:cs="Arial"/>
                <w:sz w:val="20"/>
              </w:rPr>
            </w:pPr>
            <w:r w:rsidRPr="002B6377">
              <w:rPr>
                <w:rFonts w:ascii="Arial" w:hAnsi="Arial" w:cs="Arial"/>
                <w:sz w:val="20"/>
              </w:rPr>
              <w:t xml:space="preserve"> </w:t>
            </w:r>
          </w:p>
          <w:p w:rsidR="00E47CF5" w:rsidRPr="00157975" w:rsidRDefault="002B6377" w:rsidP="00E47CF5">
            <w:pPr>
              <w:shd w:val="clear" w:color="auto" w:fill="FFFFFF" w:themeFill="background1"/>
              <w:ind w:firstLine="360"/>
              <w:rPr>
                <w:rFonts w:ascii="Arial" w:hAnsi="Arial" w:cs="Arial"/>
                <w:sz w:val="20"/>
              </w:rPr>
            </w:pPr>
            <w:r w:rsidRPr="002B6377">
              <w:rPr>
                <w:rFonts w:ascii="Arial" w:hAnsi="Arial" w:cs="Arial"/>
                <w:sz w:val="20"/>
              </w:rPr>
              <w:t xml:space="preserve"> 4 randomized trials </w:t>
            </w:r>
          </w:p>
          <w:p w:rsidR="00E47CF5" w:rsidRPr="00157975" w:rsidRDefault="002B6377" w:rsidP="00E47CF5">
            <w:pPr>
              <w:shd w:val="clear" w:color="auto" w:fill="FFFFFF" w:themeFill="background1"/>
              <w:ind w:firstLine="360"/>
              <w:rPr>
                <w:rFonts w:ascii="Arial" w:hAnsi="Arial" w:cs="Arial"/>
                <w:sz w:val="18"/>
                <w:szCs w:val="18"/>
              </w:rPr>
            </w:pPr>
            <w:r w:rsidRPr="002B6377">
              <w:rPr>
                <w:rFonts w:ascii="Arial" w:hAnsi="Arial" w:cs="Arial"/>
                <w:sz w:val="20"/>
              </w:rPr>
              <w:t xml:space="preserve"> 1 observational</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firstLine="360"/>
              <w:jc w:val="center"/>
              <w:rPr>
                <w:rFonts w:ascii="Arial" w:hAnsi="Arial" w:cs="Arial"/>
                <w:sz w:val="18"/>
                <w:szCs w:val="18"/>
              </w:rPr>
            </w:pPr>
            <w:r w:rsidRPr="002B6377">
              <w:rPr>
                <w:rFonts w:ascii="Arial" w:hAnsi="Arial" w:cs="Arial"/>
                <w:sz w:val="18"/>
                <w:szCs w:val="18"/>
              </w:rPr>
              <w:t>332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sz w:val="18"/>
                <w:szCs w:val="18"/>
              </w:rPr>
            </w:pPr>
            <w:r w:rsidRPr="002B6377">
              <w:rPr>
                <w:rFonts w:ascii="Arial" w:hAnsi="Arial" w:cs="Arial"/>
                <w:b/>
                <w:bCs/>
                <w:i/>
                <w:sz w:val="18"/>
                <w:szCs w:val="18"/>
              </w:rPr>
              <w:t>Surgery</w:t>
            </w:r>
          </w:p>
        </w:tc>
        <w:tc>
          <w:tcPr>
            <w:tcW w:w="553"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pacing w:line="240" w:lineRule="exact"/>
              <w:ind w:left="366"/>
              <w:rPr>
                <w:rFonts w:ascii="Arial" w:hAnsi="Arial" w:cs="Arial"/>
                <w:bCs/>
                <w:sz w:val="18"/>
                <w:szCs w:val="18"/>
              </w:rPr>
            </w:pPr>
            <w:r w:rsidRPr="002B6377">
              <w:rPr>
                <w:rFonts w:ascii="Arial" w:hAnsi="Arial" w:cs="Arial"/>
                <w:bCs/>
                <w:sz w:val="18"/>
                <w:szCs w:val="18"/>
              </w:rPr>
              <w:t>Ulcer recurrence from flap failure 12 to 24 percent</w:t>
            </w:r>
          </w:p>
          <w:p w:rsidR="00E47CF5" w:rsidRPr="00157975" w:rsidRDefault="00E47CF5" w:rsidP="00E47CF5">
            <w:pPr>
              <w:shd w:val="clear" w:color="auto" w:fill="FFFFFF" w:themeFill="background1"/>
              <w:ind w:left="366"/>
              <w:rPr>
                <w:rFonts w:ascii="Arial" w:hAnsi="Arial" w:cs="Arial"/>
                <w:bCs/>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observational</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nil"/>
            </w:tcBorders>
            <w:shd w:val="clear" w:color="auto" w:fill="auto"/>
            <w:vAlign w:val="center"/>
          </w:tcPr>
          <w:p w:rsidR="00E47CF5" w:rsidRPr="00157975" w:rsidRDefault="002B6377" w:rsidP="00E47CF5">
            <w:pPr>
              <w:shd w:val="clear" w:color="auto" w:fill="FFFFFF" w:themeFill="background1"/>
              <w:ind w:left="96"/>
              <w:rPr>
                <w:rFonts w:ascii="Arial" w:hAnsi="Arial" w:cs="Arial"/>
                <w:b/>
                <w:bCs/>
                <w:i/>
                <w:sz w:val="18"/>
                <w:szCs w:val="18"/>
              </w:rPr>
            </w:pPr>
            <w:r w:rsidRPr="002B6377">
              <w:rPr>
                <w:rFonts w:ascii="Arial" w:hAnsi="Arial" w:cs="Arial"/>
                <w:b/>
                <w:bCs/>
                <w:i/>
                <w:sz w:val="18"/>
                <w:szCs w:val="18"/>
              </w:rPr>
              <w:t>Adjunctive Therapies</w:t>
            </w:r>
          </w:p>
        </w:tc>
        <w:tc>
          <w:tcPr>
            <w:tcW w:w="553"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Local skin irritation with electrical stimulation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146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Unclear harms of electromagnetic therapy</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randomized trial</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NA</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Unclear harms of therapeutic ultrasound</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101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Unclear harms of negative pressure wound therapy</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observational</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77</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Light therapy not associated with significant harm</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327</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366"/>
              <w:rPr>
                <w:rFonts w:ascii="Arial" w:hAnsi="Arial" w:cs="Arial"/>
                <w:bCs/>
                <w:sz w:val="18"/>
                <w:szCs w:val="18"/>
              </w:rPr>
            </w:pPr>
            <w:r w:rsidRPr="002B6377">
              <w:rPr>
                <w:rFonts w:ascii="Arial" w:hAnsi="Arial" w:cs="Arial"/>
                <w:bCs/>
                <w:sz w:val="18"/>
                <w:szCs w:val="18"/>
              </w:rPr>
              <w:t>Short-term laser therapy not associated with significant harm</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4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137</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autoSpaceDE w:val="0"/>
              <w:autoSpaceDN w:val="0"/>
              <w:adjustRightInd w:val="0"/>
              <w:rPr>
                <w:rFonts w:ascii="Arial" w:hAnsi="Arial" w:cs="Arial"/>
                <w:b/>
                <w:sz w:val="18"/>
                <w:szCs w:val="18"/>
              </w:rPr>
            </w:pPr>
            <w:r w:rsidRPr="002B6377">
              <w:rPr>
                <w:rFonts w:ascii="Arial" w:hAnsi="Arial" w:cs="Arial"/>
                <w:b/>
                <w:bCs/>
                <w:sz w:val="18"/>
                <w:szCs w:val="18"/>
              </w:rPr>
              <w:t xml:space="preserve">2a. </w:t>
            </w:r>
            <w:r w:rsidRPr="002B6377">
              <w:rPr>
                <w:rFonts w:ascii="Arial" w:hAnsi="Arial" w:cs="Arial"/>
                <w:b/>
                <w:sz w:val="18"/>
                <w:szCs w:val="18"/>
              </w:rPr>
              <w:t>Do the harms of treatment strategies differ according to features of the pressure ulcers, such as anatomic site or severity at baseline? *</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autoSpaceDE w:val="0"/>
              <w:autoSpaceDN w:val="0"/>
              <w:adjustRightInd w:val="0"/>
              <w:rPr>
                <w:rFonts w:ascii="Arial" w:hAnsi="Arial" w:cs="Arial"/>
                <w:b/>
                <w:bCs/>
                <w:sz w:val="18"/>
                <w:szCs w:val="18"/>
              </w:rPr>
            </w:pPr>
          </w:p>
        </w:tc>
        <w:tc>
          <w:tcPr>
            <w:tcW w:w="553"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p w:rsidR="00E47CF5" w:rsidRPr="00157975" w:rsidRDefault="00E47CF5" w:rsidP="00E47CF5">
            <w:pPr>
              <w:shd w:val="clear" w:color="auto" w:fill="FFFFFF" w:themeFill="background1"/>
              <w:rPr>
                <w:rFonts w:ascii="Arial" w:hAnsi="Arial" w:cs="Arial"/>
                <w:sz w:val="18"/>
                <w:szCs w:val="18"/>
              </w:rPr>
            </w:pPr>
          </w:p>
        </w:tc>
        <w:tc>
          <w:tcPr>
            <w:tcW w:w="622"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nil"/>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nil"/>
              <w:left w:val="single" w:sz="4" w:space="0" w:color="auto"/>
              <w:bottom w:val="single" w:sz="4" w:space="0" w:color="auto"/>
              <w:right w:val="nil"/>
            </w:tcBorders>
            <w:shd w:val="clear" w:color="auto" w:fill="auto"/>
            <w:vAlign w:val="center"/>
          </w:tcPr>
          <w:p w:rsidR="00E47CF5" w:rsidRPr="00157975" w:rsidRDefault="002B6377" w:rsidP="00E47CF5">
            <w:pPr>
              <w:shd w:val="clear" w:color="auto" w:fill="FFFFFF" w:themeFill="background1"/>
              <w:ind w:left="222"/>
              <w:rPr>
                <w:rFonts w:ascii="Arial" w:hAnsi="Arial" w:cs="Arial"/>
                <w:b/>
                <w:bCs/>
                <w:i/>
                <w:sz w:val="18"/>
                <w:szCs w:val="18"/>
              </w:rPr>
            </w:pPr>
            <w:r w:rsidRPr="002B6377">
              <w:rPr>
                <w:rFonts w:ascii="Arial" w:hAnsi="Arial" w:cs="Arial"/>
                <w:b/>
                <w:bCs/>
                <w:i/>
                <w:sz w:val="18"/>
                <w:szCs w:val="18"/>
              </w:rPr>
              <w:lastRenderedPageBreak/>
              <w:t>Surgery</w:t>
            </w:r>
          </w:p>
        </w:tc>
        <w:tc>
          <w:tcPr>
            <w:tcW w:w="553" w:type="pct"/>
            <w:tcBorders>
              <w:top w:val="nil"/>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nil"/>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nil"/>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nil"/>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nil"/>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nil"/>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nil"/>
              <w:left w:val="nil"/>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456"/>
              <w:rPr>
                <w:rFonts w:ascii="Arial" w:hAnsi="Arial" w:cs="Arial"/>
                <w:bCs/>
                <w:sz w:val="18"/>
                <w:szCs w:val="18"/>
              </w:rPr>
            </w:pPr>
            <w:r w:rsidRPr="002B6377">
              <w:rPr>
                <w:rFonts w:ascii="Arial" w:hAnsi="Arial" w:cs="Arial"/>
                <w:bCs/>
                <w:sz w:val="18"/>
                <w:szCs w:val="18"/>
              </w:rPr>
              <w:t>More harms with ischial  versus  sacral and trochanteric surgical repairs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2 observational</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376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Del="004927A4" w:rsidRDefault="002B6377" w:rsidP="00E47CF5">
            <w:pPr>
              <w:shd w:val="clear" w:color="auto" w:fill="FFFFFF" w:themeFill="background1"/>
              <w:ind w:left="456"/>
              <w:rPr>
                <w:rFonts w:ascii="Arial" w:hAnsi="Arial" w:cs="Arial"/>
                <w:bCs/>
                <w:sz w:val="18"/>
                <w:szCs w:val="18"/>
              </w:rPr>
            </w:pPr>
            <w:r w:rsidRPr="002B6377">
              <w:rPr>
                <w:rFonts w:ascii="Arial" w:hAnsi="Arial" w:cs="Arial"/>
                <w:bCs/>
                <w:sz w:val="18"/>
                <w:szCs w:val="18"/>
              </w:rPr>
              <w:t>Wound dehiscence more common when bone removed at time of surgery</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 observational</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148</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NA (one study)</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nil"/>
            </w:tcBorders>
            <w:shd w:val="clear" w:color="auto" w:fill="auto"/>
            <w:vAlign w:val="center"/>
          </w:tcPr>
          <w:p w:rsidR="00E47CF5" w:rsidRPr="00157975" w:rsidRDefault="002B6377" w:rsidP="00E47CF5">
            <w:pPr>
              <w:shd w:val="clear" w:color="auto" w:fill="FFFFFF" w:themeFill="background1"/>
              <w:ind w:left="186"/>
              <w:rPr>
                <w:rFonts w:ascii="Arial" w:hAnsi="Arial" w:cs="Arial"/>
                <w:b/>
                <w:bCs/>
                <w:i/>
                <w:sz w:val="18"/>
                <w:szCs w:val="18"/>
              </w:rPr>
            </w:pPr>
            <w:r w:rsidRPr="002B6377">
              <w:rPr>
                <w:rFonts w:ascii="Arial" w:hAnsi="Arial" w:cs="Arial"/>
                <w:b/>
                <w:bCs/>
                <w:i/>
                <w:sz w:val="18"/>
                <w:szCs w:val="18"/>
              </w:rPr>
              <w:t>Adjunctive Therapies</w:t>
            </w:r>
          </w:p>
        </w:tc>
        <w:tc>
          <w:tcPr>
            <w:tcW w:w="553"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456"/>
              <w:rPr>
                <w:rFonts w:ascii="Arial" w:hAnsi="Arial" w:cs="Arial"/>
                <w:bCs/>
                <w:sz w:val="18"/>
                <w:szCs w:val="18"/>
              </w:rPr>
            </w:pPr>
            <w:r w:rsidRPr="002B6377">
              <w:rPr>
                <w:rFonts w:ascii="Arial" w:hAnsi="Arial" w:cs="Arial"/>
                <w:bCs/>
                <w:sz w:val="18"/>
                <w:szCs w:val="18"/>
              </w:rPr>
              <w:t xml:space="preserve">Harms of electrical stimulation, by ulcer stage </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146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Insufficient</w:t>
            </w: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autoSpaceDE w:val="0"/>
              <w:autoSpaceDN w:val="0"/>
              <w:adjustRightInd w:val="0"/>
              <w:rPr>
                <w:rFonts w:ascii="Arial" w:hAnsi="Arial" w:cs="Arial"/>
                <w:b/>
                <w:sz w:val="18"/>
                <w:szCs w:val="18"/>
              </w:rPr>
            </w:pPr>
            <w:r w:rsidRPr="002B6377">
              <w:rPr>
                <w:rFonts w:ascii="Arial" w:hAnsi="Arial" w:cs="Arial"/>
                <w:b/>
                <w:bCs/>
                <w:sz w:val="18"/>
                <w:szCs w:val="18"/>
              </w:rPr>
              <w:t xml:space="preserve">2b. </w:t>
            </w:r>
            <w:r w:rsidRPr="002B6377">
              <w:rPr>
                <w:rFonts w:ascii="Arial" w:hAnsi="Arial" w:cs="Arial"/>
                <w:b/>
                <w:sz w:val="18"/>
                <w:szCs w:val="18"/>
              </w:rPr>
              <w:t>Do the harms of treatment strategies differ according to patient characteristics, including: age, race/ethnicity; body weight; specific medical comorbidities; and knows risk factors for pressure ulcers, such as functional ability, nutritional status, or incontinence? *</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nil"/>
            </w:tcBorders>
            <w:shd w:val="clear" w:color="auto" w:fill="auto"/>
            <w:vAlign w:val="center"/>
          </w:tcPr>
          <w:p w:rsidR="00E47CF5" w:rsidRPr="00157975" w:rsidRDefault="002B6377" w:rsidP="00E47CF5">
            <w:pPr>
              <w:shd w:val="clear" w:color="auto" w:fill="FFFFFF" w:themeFill="background1"/>
              <w:ind w:left="222"/>
              <w:rPr>
                <w:rFonts w:ascii="Arial" w:hAnsi="Arial" w:cs="Arial"/>
                <w:b/>
                <w:bCs/>
                <w:i/>
                <w:sz w:val="18"/>
                <w:szCs w:val="18"/>
              </w:rPr>
            </w:pPr>
            <w:r w:rsidRPr="002B6377">
              <w:rPr>
                <w:rFonts w:ascii="Arial" w:hAnsi="Arial" w:cs="Arial"/>
                <w:b/>
                <w:bCs/>
                <w:i/>
                <w:sz w:val="18"/>
                <w:szCs w:val="18"/>
              </w:rPr>
              <w:t>Adjunctive Therapies</w:t>
            </w:r>
          </w:p>
        </w:tc>
        <w:tc>
          <w:tcPr>
            <w:tcW w:w="553"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7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325"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622"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55" w:type="pct"/>
            <w:gridSpan w:val="2"/>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24" w:type="pct"/>
            <w:tcBorders>
              <w:top w:val="single" w:sz="4" w:space="0" w:color="auto"/>
              <w:left w:val="nil"/>
              <w:bottom w:val="single" w:sz="4" w:space="0" w:color="auto"/>
              <w:right w:val="nil"/>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E47CF5" w:rsidRPr="00157975" w:rsidRDefault="00E47CF5" w:rsidP="00E47CF5">
            <w:pPr>
              <w:shd w:val="clear" w:color="auto" w:fill="FFFFFF" w:themeFill="background1"/>
              <w:jc w:val="center"/>
              <w:rPr>
                <w:rFonts w:ascii="Arial" w:hAnsi="Arial" w:cs="Arial"/>
                <w:sz w:val="18"/>
                <w:szCs w:val="18"/>
              </w:rPr>
            </w:pPr>
          </w:p>
        </w:tc>
      </w:tr>
      <w:tr w:rsidR="00E47CF5" w:rsidRPr="00157975" w:rsidTr="00E47CF5">
        <w:trPr>
          <w:cantSplit/>
          <w:jc w:val="center"/>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ind w:left="276"/>
              <w:rPr>
                <w:rFonts w:ascii="Arial" w:hAnsi="Arial" w:cs="Arial"/>
                <w:bCs/>
                <w:sz w:val="18"/>
                <w:szCs w:val="18"/>
              </w:rPr>
            </w:pPr>
            <w:r w:rsidRPr="002B6377">
              <w:rPr>
                <w:rFonts w:ascii="Arial" w:hAnsi="Arial" w:cs="Arial"/>
                <w:bCs/>
                <w:sz w:val="18"/>
                <w:szCs w:val="18"/>
              </w:rPr>
              <w:t>More adverse events with electrical stimulation versus sham in frail elderly vs. younger (mostly spinal cord injured- patients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3 randomized trials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146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Fair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Moderate</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Direct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Low</w:t>
            </w:r>
          </w:p>
        </w:tc>
      </w:tr>
      <w:tr w:rsidR="00E47CF5" w:rsidRPr="00157975" w:rsidTr="00E47CF5">
        <w:trPr>
          <w:cantSplit/>
          <w:jc w:val="center"/>
        </w:trPr>
        <w:tc>
          <w:tcPr>
            <w:tcW w:w="1653"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rPr>
                <w:rFonts w:ascii="Arial" w:hAnsi="Arial" w:cs="Arial"/>
                <w:b/>
                <w:sz w:val="18"/>
                <w:szCs w:val="18"/>
              </w:rPr>
            </w:pPr>
            <w:r w:rsidRPr="002B6377">
              <w:rPr>
                <w:rFonts w:ascii="Arial" w:hAnsi="Arial" w:cs="Arial"/>
                <w:b/>
                <w:bCs/>
                <w:sz w:val="18"/>
                <w:szCs w:val="18"/>
              </w:rPr>
              <w:t xml:space="preserve">2c. </w:t>
            </w:r>
            <w:r w:rsidRPr="002B6377">
              <w:rPr>
                <w:rFonts w:ascii="Arial" w:hAnsi="Arial" w:cs="Arial"/>
                <w:b/>
                <w:sz w:val="18"/>
                <w:szCs w:val="18"/>
              </w:rPr>
              <w:t>Do the harms of treatment strategies differ according to patient care settings such as home, nursing facility, or hospital, or according to features of patient care settings, including but not limited to nurse/patient staffing ratio, staff education and training in wound care, the use of wound care teams, and home caregiver support and training? *</w:t>
            </w:r>
          </w:p>
        </w:tc>
        <w:tc>
          <w:tcPr>
            <w:tcW w:w="553"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No studies</w:t>
            </w:r>
          </w:p>
        </w:tc>
        <w:tc>
          <w:tcPr>
            <w:tcW w:w="47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w:t>
            </w:r>
          </w:p>
        </w:tc>
        <w:tc>
          <w:tcPr>
            <w:tcW w:w="325"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w:t>
            </w:r>
          </w:p>
        </w:tc>
        <w:tc>
          <w:tcPr>
            <w:tcW w:w="622"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w:t>
            </w:r>
          </w:p>
        </w:tc>
        <w:tc>
          <w:tcPr>
            <w:tcW w:w="455" w:type="pct"/>
            <w:gridSpan w:val="2"/>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w:t>
            </w:r>
          </w:p>
        </w:tc>
        <w:tc>
          <w:tcPr>
            <w:tcW w:w="42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w:t>
            </w:r>
          </w:p>
        </w:tc>
        <w:tc>
          <w:tcPr>
            <w:tcW w:w="494" w:type="pct"/>
            <w:tcBorders>
              <w:top w:val="nil"/>
              <w:left w:val="single" w:sz="4" w:space="0" w:color="auto"/>
              <w:bottom w:val="single" w:sz="4" w:space="0" w:color="auto"/>
              <w:right w:val="single" w:sz="4" w:space="0" w:color="auto"/>
            </w:tcBorders>
            <w:shd w:val="clear" w:color="auto" w:fill="auto"/>
            <w:vAlign w:val="center"/>
          </w:tcPr>
          <w:p w:rsidR="00E47CF5" w:rsidRPr="00157975" w:rsidRDefault="002B6377" w:rsidP="00E47CF5">
            <w:pPr>
              <w:shd w:val="clear" w:color="auto" w:fill="FFFFFF" w:themeFill="background1"/>
              <w:jc w:val="center"/>
              <w:rPr>
                <w:rFonts w:ascii="Arial" w:hAnsi="Arial" w:cs="Arial"/>
                <w:sz w:val="18"/>
                <w:szCs w:val="18"/>
              </w:rPr>
            </w:pPr>
            <w:r w:rsidRPr="002B6377">
              <w:rPr>
                <w:rFonts w:ascii="Arial" w:hAnsi="Arial" w:cs="Arial"/>
                <w:sz w:val="18"/>
                <w:szCs w:val="18"/>
              </w:rPr>
              <w:t>-</w:t>
            </w:r>
          </w:p>
        </w:tc>
      </w:tr>
    </w:tbl>
    <w:p w:rsidR="00E47CF5" w:rsidRPr="005E6BD0" w:rsidRDefault="00E47CF5" w:rsidP="00E47CF5">
      <w:pPr>
        <w:keepNext/>
        <w:spacing w:after="60"/>
        <w:outlineLvl w:val="0"/>
        <w:rPr>
          <w:b/>
          <w:bCs/>
          <w:sz w:val="36"/>
          <w:szCs w:val="24"/>
        </w:rPr>
      </w:pPr>
    </w:p>
    <w:p w:rsidR="00E47CF5" w:rsidRPr="005E6BD0" w:rsidRDefault="00E47CF5" w:rsidP="00E47CF5">
      <w:pPr>
        <w:rPr>
          <w:rFonts w:ascii="Times New Roman" w:hAnsi="Times New Roman"/>
          <w:sz w:val="16"/>
          <w:szCs w:val="16"/>
        </w:rPr>
      </w:pPr>
      <w:r w:rsidRPr="005E6BD0">
        <w:rPr>
          <w:rFonts w:ascii="Times New Roman" w:hAnsi="Times New Roman"/>
          <w:sz w:val="16"/>
          <w:szCs w:val="16"/>
        </w:rPr>
        <w:t xml:space="preserve"> </w:t>
      </w:r>
    </w:p>
    <w:p w:rsidR="00E47CF5" w:rsidRPr="005E6BD0" w:rsidRDefault="00E47CF5" w:rsidP="00E47CF5">
      <w:pPr>
        <w:rPr>
          <w:rFonts w:cs="Arial"/>
          <w:sz w:val="16"/>
          <w:szCs w:val="16"/>
        </w:rPr>
      </w:pPr>
    </w:p>
    <w:p w:rsidR="00E47CF5" w:rsidRPr="005E6BD0" w:rsidRDefault="00E47CF5" w:rsidP="00E47CF5">
      <w:pPr>
        <w:rPr>
          <w:rFonts w:cs="Arial"/>
          <w:sz w:val="18"/>
          <w:szCs w:val="18"/>
        </w:rPr>
      </w:pPr>
      <w:r w:rsidRPr="005E6BD0">
        <w:rPr>
          <w:rFonts w:cs="Arial"/>
          <w:sz w:val="18"/>
          <w:szCs w:val="18"/>
        </w:rPr>
        <w:t xml:space="preserve">Abbreviations: NA+ not applicable. </w:t>
      </w:r>
    </w:p>
    <w:p w:rsidR="000C16E6" w:rsidRPr="000C16E6" w:rsidRDefault="00E47CF5" w:rsidP="000C16E6">
      <w:pPr>
        <w:rPr>
          <w:rFonts w:cs="Arial"/>
          <w:sz w:val="18"/>
          <w:szCs w:val="18"/>
        </w:rPr>
      </w:pPr>
      <w:r w:rsidRPr="005E6BD0">
        <w:rPr>
          <w:rFonts w:cs="Arial"/>
          <w:sz w:val="18"/>
          <w:szCs w:val="18"/>
        </w:rPr>
        <w:t>* Overall strength of evidence ratings are displayed for key questions and comparisons for which our review included a body of evidence that could be rated. Key questions and comparisons for which there were no studies, or single poor-quality studies, were not rated for strength of evidence. Strength of evidence domains were adapted from Owens et al.</w:t>
      </w:r>
    </w:p>
    <w:sectPr w:rsidR="000C16E6" w:rsidRPr="000C16E6" w:rsidSect="000C16E6">
      <w:footerReference w:type="default" r:id="rId8"/>
      <w:footerReference w:type="first" r:id="rId9"/>
      <w:pgSz w:w="15840" w:h="12240" w:orient="landscape"/>
      <w:pgMar w:top="1440" w:right="1440" w:bottom="1440" w:left="1440" w:header="720" w:footer="720" w:gutter="0"/>
      <w:pgNumType w:start="1"/>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B01" w:rsidRDefault="00FD7B01">
      <w:r>
        <w:separator/>
      </w:r>
    </w:p>
  </w:endnote>
  <w:endnote w:type="continuationSeparator" w:id="0">
    <w:p w:rsidR="00FD7B01" w:rsidRDefault="00FD7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4E" w:rsidRDefault="000C16E6" w:rsidP="00E47CF5">
    <w:pPr>
      <w:pStyle w:val="Footer"/>
      <w:jc w:val="center"/>
    </w:pPr>
    <w:r>
      <w:rPr>
        <w:rFonts w:ascii="Times New Roman" w:hAnsi="Times New Roman"/>
        <w:szCs w:val="24"/>
      </w:rPr>
      <w:t>G</w:t>
    </w:r>
    <w:r w:rsidR="00CE024E">
      <w:rPr>
        <w:rFonts w:ascii="Times New Roman" w:hAnsi="Times New Roman"/>
        <w:szCs w:val="24"/>
      </w:rPr>
      <w:t>-</w:t>
    </w:r>
    <w:r w:rsidR="006B0387" w:rsidRPr="00434B8C">
      <w:rPr>
        <w:rFonts w:ascii="Times New Roman" w:hAnsi="Times New Roman"/>
        <w:szCs w:val="24"/>
      </w:rPr>
      <w:fldChar w:fldCharType="begin"/>
    </w:r>
    <w:r w:rsidR="00CE024E" w:rsidRPr="00434B8C">
      <w:rPr>
        <w:rFonts w:ascii="Times New Roman" w:hAnsi="Times New Roman"/>
        <w:szCs w:val="24"/>
      </w:rPr>
      <w:instrText xml:space="preserve"> PAGE   \* MERGEFORMAT </w:instrText>
    </w:r>
    <w:r w:rsidR="006B0387" w:rsidRPr="00434B8C">
      <w:rPr>
        <w:rFonts w:ascii="Times New Roman" w:hAnsi="Times New Roman"/>
        <w:szCs w:val="24"/>
      </w:rPr>
      <w:fldChar w:fldCharType="separate"/>
    </w:r>
    <w:r w:rsidR="00FA3415">
      <w:rPr>
        <w:rFonts w:ascii="Times New Roman" w:hAnsi="Times New Roman"/>
        <w:noProof/>
        <w:szCs w:val="24"/>
      </w:rPr>
      <w:t>2</w:t>
    </w:r>
    <w:r w:rsidR="006B0387" w:rsidRPr="00434B8C">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E6" w:rsidRDefault="000C16E6">
    <w:pPr>
      <w:pStyle w:val="Footer"/>
      <w:jc w:val="center"/>
    </w:pPr>
    <w:r>
      <w:t>G-</w:t>
    </w:r>
    <w:sdt>
      <w:sdtPr>
        <w:id w:val="9014782"/>
        <w:docPartObj>
          <w:docPartGallery w:val="Page Numbers (Bottom of Page)"/>
          <w:docPartUnique/>
        </w:docPartObj>
      </w:sdtPr>
      <w:sdtContent>
        <w:fldSimple w:instr=" PAGE   \* MERGEFORMAT ">
          <w:r w:rsidR="00FA3415">
            <w:rPr>
              <w:noProof/>
            </w:rPr>
            <w:t>1</w:t>
          </w:r>
        </w:fldSimple>
      </w:sdtContent>
    </w:sdt>
  </w:p>
  <w:p w:rsidR="000C16E6" w:rsidRDefault="000C1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B01" w:rsidRDefault="00FD7B01">
      <w:r>
        <w:separator/>
      </w:r>
    </w:p>
  </w:footnote>
  <w:footnote w:type="continuationSeparator" w:id="0">
    <w:p w:rsidR="00FD7B01" w:rsidRDefault="00FD7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6E6"/>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0387"/>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BC3"/>
    <w:rsid w:val="00FA3415"/>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D7B01"/>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952B9-0863-405F-80F2-B078E2F2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9758</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2</cp:revision>
  <cp:lastPrinted>2013-02-28T17:01:00Z</cp:lastPrinted>
  <dcterms:created xsi:type="dcterms:W3CDTF">2013-06-08T05:17:00Z</dcterms:created>
  <dcterms:modified xsi:type="dcterms:W3CDTF">2013-06-08T05:17:00Z</dcterms:modified>
</cp:coreProperties>
</file>