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6" w:rsidRPr="00C4413A" w:rsidRDefault="006B7BB6" w:rsidP="00D6400F">
      <w:pPr>
        <w:pStyle w:val="TableTitle"/>
        <w:spacing w:before="0"/>
        <w:rPr>
          <w:shd w:val="clear" w:color="auto" w:fill="FFFFFF"/>
        </w:rPr>
      </w:pPr>
      <w:r>
        <w:rPr>
          <w:shd w:val="clear" w:color="auto" w:fill="FFFFFF"/>
        </w:rPr>
        <w:t>Table C.7</w:t>
      </w:r>
      <w:r w:rsidRPr="006D67A8">
        <w:rPr>
          <w:shd w:val="clear" w:color="auto" w:fill="FFFFFF"/>
        </w:rPr>
        <w:t xml:space="preserve">. Characteristics of the included </w:t>
      </w:r>
      <w:r>
        <w:rPr>
          <w:shd w:val="clear" w:color="auto" w:fill="FFFFFF"/>
        </w:rPr>
        <w:t xml:space="preserve">studies in KQ 1d </w:t>
      </w:r>
      <w:r w:rsidRPr="00C4413A">
        <w:rPr>
          <w:shd w:val="clear" w:color="auto" w:fill="FFFFFF"/>
        </w:rPr>
        <w:t>FeNO response to administration of Leukotriene receptor antagonists (LTRA)</w:t>
      </w:r>
    </w:p>
    <w:tbl>
      <w:tblPr>
        <w:tblStyle w:val="TableGrid"/>
        <w:tblW w:w="13590" w:type="dxa"/>
        <w:tblLayout w:type="fixed"/>
        <w:tblLook w:val="04A0"/>
      </w:tblPr>
      <w:tblGrid>
        <w:gridCol w:w="990"/>
        <w:gridCol w:w="1170"/>
        <w:gridCol w:w="1260"/>
        <w:gridCol w:w="1620"/>
        <w:gridCol w:w="2250"/>
        <w:gridCol w:w="1586"/>
        <w:gridCol w:w="1710"/>
        <w:gridCol w:w="1620"/>
        <w:gridCol w:w="1384"/>
      </w:tblGrid>
      <w:tr w:rsidR="006B7BB6" w:rsidRPr="0014417C" w:rsidTr="006D6656">
        <w:trPr>
          <w:trHeight w:val="1793"/>
          <w:tblHeader/>
        </w:trPr>
        <w:tc>
          <w:tcPr>
            <w:tcW w:w="99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>Author, Year (ref)</w:t>
            </w:r>
          </w:p>
        </w:tc>
        <w:tc>
          <w:tcPr>
            <w:tcW w:w="117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Study </w:t>
            </w:r>
            <w:r>
              <w:t>C</w:t>
            </w:r>
            <w:r w:rsidRPr="00996B2C">
              <w:t xml:space="preserve">ountry, </w:t>
            </w:r>
            <w:r>
              <w:t>S</w:t>
            </w:r>
            <w:r w:rsidRPr="00996B2C">
              <w:t xml:space="preserve">tudy </w:t>
            </w:r>
            <w:r>
              <w:t>D</w:t>
            </w:r>
            <w:r w:rsidRPr="00996B2C">
              <w:t xml:space="preserve">esign, </w:t>
            </w:r>
            <w:r>
              <w:t>S</w:t>
            </w:r>
            <w:r w:rsidRPr="00996B2C">
              <w:t xml:space="preserve">tudy </w:t>
            </w:r>
            <w:r>
              <w:t>S</w:t>
            </w:r>
            <w:r w:rsidRPr="00996B2C">
              <w:t xml:space="preserve">ettings, </w:t>
            </w:r>
            <w:r>
              <w:t>R</w:t>
            </w:r>
            <w:r w:rsidRPr="00996B2C">
              <w:t xml:space="preserve">isk of </w:t>
            </w:r>
            <w:r>
              <w:t>B</w:t>
            </w:r>
            <w:r w:rsidRPr="00996B2C">
              <w:t>ias</w:t>
            </w:r>
          </w:p>
        </w:tc>
        <w:tc>
          <w:tcPr>
            <w:tcW w:w="126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FeNO and </w:t>
            </w:r>
            <w:r>
              <w:t>C</w:t>
            </w:r>
            <w:r w:rsidRPr="00996B2C">
              <w:t>omparisons</w:t>
            </w:r>
          </w:p>
        </w:tc>
        <w:tc>
          <w:tcPr>
            <w:tcW w:w="1620" w:type="dxa"/>
          </w:tcPr>
          <w:p w:rsidR="006B7BB6" w:rsidRPr="00996B2C" w:rsidRDefault="006B7BB6" w:rsidP="006D6656">
            <w:pPr>
              <w:pStyle w:val="TableColumnHead"/>
            </w:pPr>
            <w:r w:rsidRPr="00996B2C">
              <w:t xml:space="preserve">Patient </w:t>
            </w:r>
            <w:r>
              <w:t>C</w:t>
            </w:r>
            <w:r w:rsidRPr="00996B2C">
              <w:t>haracteristics (</w:t>
            </w:r>
            <w:r>
              <w:t>A</w:t>
            </w:r>
            <w:r w:rsidRPr="00996B2C">
              <w:t xml:space="preserve">ge, </w:t>
            </w:r>
            <w:r>
              <w:t>G</w:t>
            </w:r>
            <w:r w:rsidRPr="00996B2C">
              <w:t xml:space="preserve">ender, </w:t>
            </w:r>
            <w:r>
              <w:t>R</w:t>
            </w:r>
            <w:r w:rsidRPr="00996B2C">
              <w:t>ace, BMI/</w:t>
            </w:r>
            <w:r>
              <w:t>W</w:t>
            </w:r>
            <w:r w:rsidRPr="00996B2C">
              <w:t xml:space="preserve">eight, </w:t>
            </w:r>
            <w:r>
              <w:t>T</w:t>
            </w:r>
            <w:r w:rsidRPr="00996B2C">
              <w:t xml:space="preserve">obacco </w:t>
            </w:r>
            <w:r>
              <w:t>U</w:t>
            </w:r>
            <w:r w:rsidRPr="00996B2C">
              <w:t xml:space="preserve">se, </w:t>
            </w:r>
            <w:r>
              <w:t>A</w:t>
            </w:r>
            <w:r w:rsidRPr="00996B2C">
              <w:t xml:space="preserve">sthma </w:t>
            </w:r>
            <w:r>
              <w:t>P</w:t>
            </w:r>
            <w:r w:rsidRPr="00996B2C">
              <w:t xml:space="preserve">henotype, </w:t>
            </w:r>
            <w:r>
              <w:t>A</w:t>
            </w:r>
            <w:r w:rsidRPr="00996B2C">
              <w:t>topy, etc)</w:t>
            </w:r>
          </w:p>
        </w:tc>
        <w:tc>
          <w:tcPr>
            <w:tcW w:w="2250" w:type="dxa"/>
          </w:tcPr>
          <w:p w:rsidR="006B7BB6" w:rsidRPr="00996B2C" w:rsidRDefault="006B7BB6" w:rsidP="006D6656">
            <w:pPr>
              <w:pStyle w:val="TableColumnHead"/>
            </w:pPr>
            <w:r>
              <w:t>Ways of A</w:t>
            </w:r>
            <w:r w:rsidRPr="00996B2C">
              <w:t>dministration (</w:t>
            </w:r>
            <w:r>
              <w:t>F</w:t>
            </w:r>
            <w:r w:rsidRPr="00996B2C">
              <w:t xml:space="preserve">requency, </w:t>
            </w:r>
            <w:r>
              <w:t>U</w:t>
            </w:r>
            <w:r w:rsidRPr="00996B2C">
              <w:t xml:space="preserve">se of </w:t>
            </w:r>
            <w:r>
              <w:t>Al</w:t>
            </w:r>
            <w:r w:rsidRPr="00996B2C">
              <w:t>cohol/</w:t>
            </w:r>
            <w:r>
              <w:t>M</w:t>
            </w:r>
            <w:r w:rsidRPr="00996B2C">
              <w:t xml:space="preserve">outhwash, </w:t>
            </w:r>
            <w:r>
              <w:t>B</w:t>
            </w:r>
            <w:r w:rsidRPr="00996B2C">
              <w:t>eta-</w:t>
            </w:r>
            <w:r>
              <w:t>A</w:t>
            </w:r>
            <w:r w:rsidRPr="00996B2C">
              <w:t xml:space="preserve">gonists </w:t>
            </w:r>
            <w:r>
              <w:t>P</w:t>
            </w:r>
            <w:r w:rsidRPr="00996B2C">
              <w:t xml:space="preserve">rior to </w:t>
            </w:r>
            <w:r>
              <w:t>T</w:t>
            </w:r>
            <w:r w:rsidRPr="00996B2C">
              <w:t>est)</w:t>
            </w:r>
          </w:p>
        </w:tc>
        <w:tc>
          <w:tcPr>
            <w:tcW w:w="1586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>Medication (</w:t>
            </w:r>
            <w:r>
              <w:t>F</w:t>
            </w:r>
            <w:r w:rsidRPr="00847C62">
              <w:t xml:space="preserve">requency, </w:t>
            </w:r>
            <w:r>
              <w:t>D</w:t>
            </w:r>
            <w:r w:rsidRPr="00847C62">
              <w:t xml:space="preserve">ose, </w:t>
            </w:r>
            <w:r>
              <w:t>D</w:t>
            </w:r>
            <w:r w:rsidRPr="00847C62">
              <w:t>uration, etc.)</w:t>
            </w:r>
          </w:p>
        </w:tc>
        <w:tc>
          <w:tcPr>
            <w:tcW w:w="1710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Asthma </w:t>
            </w:r>
            <w:r>
              <w:t>O</w:t>
            </w:r>
            <w:r w:rsidRPr="00847C62">
              <w:t>utcomes</w:t>
            </w:r>
          </w:p>
        </w:tc>
        <w:tc>
          <w:tcPr>
            <w:tcW w:w="1620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 xml:space="preserve">Test </w:t>
            </w:r>
            <w:r>
              <w:t>F</w:t>
            </w:r>
            <w:r w:rsidRPr="00847C62">
              <w:t>indings (</w:t>
            </w:r>
            <w:r>
              <w:t>M</w:t>
            </w:r>
            <w:r w:rsidRPr="00847C62">
              <w:t>ean, SD)</w:t>
            </w:r>
          </w:p>
        </w:tc>
        <w:tc>
          <w:tcPr>
            <w:tcW w:w="1384" w:type="dxa"/>
          </w:tcPr>
          <w:p w:rsidR="006B7BB6" w:rsidRPr="00847C62" w:rsidRDefault="006B7BB6" w:rsidP="006D6656">
            <w:pPr>
              <w:pStyle w:val="TableColumnHead"/>
            </w:pPr>
            <w:r w:rsidRPr="00847C62">
              <w:t>Conclusions</w:t>
            </w:r>
          </w:p>
        </w:tc>
      </w:tr>
      <w:tr w:rsidR="006B7BB6" w:rsidRPr="0014417C" w:rsidTr="006D6656">
        <w:trPr>
          <w:trHeight w:val="1793"/>
        </w:trPr>
        <w:tc>
          <w:tcPr>
            <w:tcW w:w="990" w:type="dxa"/>
            <w:vMerge w:val="restart"/>
          </w:tcPr>
          <w:p w:rsidR="006B7BB6" w:rsidRPr="0014417C" w:rsidRDefault="006B7BB6" w:rsidP="006D6656">
            <w:pPr>
              <w:pStyle w:val="TableLeftText"/>
            </w:pPr>
            <w:r w:rsidRPr="0014417C">
              <w:t>Bisgaard, 1999</w:t>
            </w:r>
            <w:r>
              <w:t xml:space="preserve"> </w:t>
            </w:r>
            <w:r w:rsidR="00FC4BD8">
              <w:fldChar w:fldCharType="begin">
                <w:fldData xml:space="preserve">PEVuZE5vdGU+PENpdGU+PEF1dGhvcj5CaXNnYWFyZDwvQXV0aG9yPjxZZWFyPjE5OTk8L1llYXI+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==
</w:fldData>
              </w:fldChar>
            </w:r>
            <w:r>
              <w:instrText xml:space="preserve"> ADDIN EN.CITE </w:instrText>
            </w:r>
            <w:r w:rsidR="00FC4BD8">
              <w:fldChar w:fldCharType="begin">
                <w:fldData xml:space="preserve">PEVuZE5vdGU+PENpdGU+PEF1dGhvcj5CaXNnYWFyZDwvQXV0aG9yPjxZZWFyPjE5OTk8L1llYXI+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==
</w:fldData>
              </w:fldChar>
            </w:r>
            <w:r>
              <w:instrText xml:space="preserve"> ADDIN EN.CITE.DATA </w:instrText>
            </w:r>
            <w:r w:rsidR="00FC4BD8">
              <w:fldChar w:fldCharType="end"/>
            </w:r>
            <w:r w:rsidR="00FC4BD8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124</w:t>
            </w:r>
            <w:r w:rsidR="00FC4BD8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Denmark, RCT with cross-over, outpatient setting</w:t>
            </w:r>
            <w:r>
              <w:t>,</w:t>
            </w:r>
            <w:r w:rsidRPr="00A52354">
              <w:t xml:space="preserve"> </w:t>
            </w:r>
            <w:r w:rsidRPr="00A52354">
              <w:rPr>
                <w:bCs/>
              </w:rPr>
              <w:t>unclear risk of bias.</w:t>
            </w:r>
          </w:p>
        </w:tc>
        <w:tc>
          <w:tcPr>
            <w:tcW w:w="126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FeNO, N= 26</w:t>
            </w: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Mean age 12 years (6-15).</w:t>
            </w:r>
          </w:p>
        </w:tc>
        <w:tc>
          <w:tcPr>
            <w:tcW w:w="225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Measured by online Aerocrine NO system, at 110 ml/sec, two times per visit, steroid use prior to test was 42.3%</w:t>
            </w:r>
          </w:p>
        </w:tc>
        <w:tc>
          <w:tcPr>
            <w:tcW w:w="1586" w:type="dxa"/>
            <w:vMerge w:val="restart"/>
          </w:tcPr>
          <w:p w:rsidR="006B7BB6" w:rsidRPr="0014417C" w:rsidRDefault="006B7BB6" w:rsidP="006D6656">
            <w:pPr>
              <w:pStyle w:val="TableText"/>
            </w:pPr>
            <w:r w:rsidRPr="0014417C">
              <w:t>2 weeks of 5 mg montelukast once daily or placebo, then cross over for 2 weeks additional of 200 mg budesonide.</w:t>
            </w:r>
          </w:p>
        </w:tc>
        <w:tc>
          <w:tcPr>
            <w:tcW w:w="1710" w:type="dxa"/>
          </w:tcPr>
          <w:p w:rsidR="006B7BB6" w:rsidRPr="0014417C" w:rsidRDefault="006B7BB6" w:rsidP="006D6656">
            <w:pPr>
              <w:pStyle w:val="TableText"/>
            </w:pPr>
            <w:r>
              <w:t>FeNO</w:t>
            </w:r>
            <w:r w:rsidRPr="0014417C">
              <w:t xml:space="preserve"> was significantly reduced with montelukast and budesonide </w:t>
            </w:r>
            <w:r>
              <w:t>Compared with</w:t>
            </w:r>
            <w:r w:rsidRPr="0014417C">
              <w:t xml:space="preserve"> placebo. This effect was independent of concurrent steroid treatment. </w:t>
            </w:r>
          </w:p>
        </w:tc>
        <w:tc>
          <w:tcPr>
            <w:tcW w:w="1620" w:type="dxa"/>
          </w:tcPr>
          <w:p w:rsidR="006B7BB6" w:rsidRPr="0014417C" w:rsidRDefault="006B7BB6" w:rsidP="006D6656">
            <w:pPr>
              <w:pStyle w:val="TableText"/>
            </w:pPr>
            <w:r w:rsidRPr="0014417C">
              <w:t>Montelukast mean difference from placebo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7.3 ppb (1.4</w:t>
            </w:r>
            <w:r>
              <w:t xml:space="preserve"> to </w:t>
            </w:r>
            <w:r w:rsidRPr="0014417C">
              <w:t>13.1)</w:t>
            </w:r>
            <w:r>
              <w:t>.</w:t>
            </w:r>
          </w:p>
          <w:p w:rsidR="006B7BB6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  <w:r w:rsidRPr="0014417C">
              <w:t>Budesonide mean difference from placebo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15.7 ppb (9.5</w:t>
            </w:r>
            <w:r>
              <w:t xml:space="preserve"> to </w:t>
            </w:r>
            <w:r w:rsidRPr="0014417C">
              <w:t>22.0)</w:t>
            </w:r>
            <w:r>
              <w:t>.</w:t>
            </w:r>
          </w:p>
        </w:tc>
        <w:tc>
          <w:tcPr>
            <w:tcW w:w="1384" w:type="dxa"/>
            <w:vMerge w:val="restart"/>
          </w:tcPr>
          <w:p w:rsidR="006B7BB6" w:rsidRPr="0014417C" w:rsidRDefault="006B7BB6" w:rsidP="006D6656">
            <w:pPr>
              <w:pStyle w:val="TableText"/>
            </w:pPr>
            <w:r>
              <w:t>FeNO</w:t>
            </w:r>
            <w:r w:rsidRPr="0014417C">
              <w:t xml:space="preserve"> was significantly reduced by 20% after 2-wk treatment with montelukast and budesonide. This effect was independent of concurrent steroid treatment. </w:t>
            </w:r>
          </w:p>
        </w:tc>
      </w:tr>
      <w:tr w:rsidR="006B7BB6" w:rsidRPr="0014417C" w:rsidTr="006D6656">
        <w:trPr>
          <w:trHeight w:val="305"/>
        </w:trPr>
        <w:tc>
          <w:tcPr>
            <w:tcW w:w="990" w:type="dxa"/>
            <w:vMerge/>
          </w:tcPr>
          <w:p w:rsidR="006B7BB6" w:rsidRPr="0014417C" w:rsidRDefault="006B7BB6" w:rsidP="006D6656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14417C" w:rsidRDefault="006B7BB6" w:rsidP="006D6656">
            <w:pPr>
              <w:pStyle w:val="TableText"/>
            </w:pPr>
            <w:r>
              <w:t>Spirometry</w:t>
            </w:r>
            <w:r w:rsidRPr="0014417C">
              <w:t>, N= 24</w:t>
            </w:r>
          </w:p>
        </w:tc>
        <w:tc>
          <w:tcPr>
            <w:tcW w:w="1620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586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14417C" w:rsidRDefault="006B7BB6" w:rsidP="006D6656">
            <w:pPr>
              <w:pStyle w:val="TableText"/>
            </w:pPr>
            <w:r>
              <w:t>Spirometry</w:t>
            </w:r>
            <w:r w:rsidRPr="0014417C">
              <w:t xml:space="preserve"> exhibited a tendency to improve after montelukast and after budesonide as compared with the placebo treatment period, but this was not statistically significant</w:t>
            </w:r>
          </w:p>
        </w:tc>
        <w:tc>
          <w:tcPr>
            <w:tcW w:w="1620" w:type="dxa"/>
          </w:tcPr>
          <w:p w:rsidR="006B7BB6" w:rsidRPr="0014417C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4417C">
              <w:t xml:space="preserve"> Montelukast mean difference from placebo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0.132 L (-0.022</w:t>
            </w:r>
            <w:r>
              <w:t xml:space="preserve"> to </w:t>
            </w:r>
            <w:r w:rsidRPr="0014417C">
              <w:t xml:space="preserve"> 0.286)</w:t>
            </w:r>
          </w:p>
          <w:p w:rsidR="006B7BB6" w:rsidRDefault="006B7BB6" w:rsidP="006D6656">
            <w:pPr>
              <w:pStyle w:val="TableText"/>
            </w:pPr>
          </w:p>
          <w:p w:rsidR="006B7BB6" w:rsidRPr="0014417C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4417C">
              <w:t xml:space="preserve"> Budesonide mean difference from placebo</w:t>
            </w:r>
          </w:p>
          <w:p w:rsidR="006B7BB6" w:rsidRPr="0014417C" w:rsidRDefault="006B7BB6" w:rsidP="006D6656">
            <w:pPr>
              <w:pStyle w:val="TableText"/>
            </w:pPr>
            <w:r w:rsidRPr="0014417C">
              <w:t>0.116 L (-0.045</w:t>
            </w:r>
            <w:r>
              <w:t xml:space="preserve"> to </w:t>
            </w:r>
            <w:r w:rsidRPr="0014417C">
              <w:t xml:space="preserve"> 0.277).</w:t>
            </w:r>
          </w:p>
        </w:tc>
        <w:tc>
          <w:tcPr>
            <w:tcW w:w="1384" w:type="dxa"/>
            <w:vMerge/>
          </w:tcPr>
          <w:p w:rsidR="006B7BB6" w:rsidRPr="0014417C" w:rsidRDefault="006B7BB6" w:rsidP="006D6656">
            <w:pPr>
              <w:pStyle w:val="TableText"/>
            </w:pPr>
          </w:p>
        </w:tc>
      </w:tr>
      <w:tr w:rsidR="006B7BB6" w:rsidRPr="00897C09" w:rsidTr="006D6656">
        <w:tc>
          <w:tcPr>
            <w:tcW w:w="990" w:type="dxa"/>
            <w:vMerge w:val="restart"/>
          </w:tcPr>
          <w:p w:rsidR="006B7BB6" w:rsidRPr="00C31A3A" w:rsidRDefault="006B7BB6" w:rsidP="006D6656">
            <w:pPr>
              <w:pStyle w:val="TableText"/>
            </w:pPr>
            <w:r w:rsidRPr="00C31A3A">
              <w:t>Bratton, 1999</w:t>
            </w:r>
            <w:r>
              <w:t xml:space="preserve"> </w:t>
            </w:r>
            <w:r w:rsidR="00FC4BD8">
              <w:fldChar w:fldCharType="begin">
                <w:fldData xml:space="preserve">PEVuZE5vdGU+PENpdGU+PEF1dGhvcj5CcmF0dG9uPC9BdXRob3I+PFllYXI+MTk5OTwvWWVhcj48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</w:fldData>
              </w:fldChar>
            </w:r>
            <w:r>
              <w:instrText xml:space="preserve"> ADDIN EN.CITE </w:instrText>
            </w:r>
            <w:r w:rsidR="00FC4BD8">
              <w:fldChar w:fldCharType="begin">
                <w:fldData xml:space="preserve">PEVuZE5vdGU+PENpdGU+PEF1dGhvcj5CcmF0dG9uPC9BdXRob3I+PFllYXI+MTk5OTwvWWVhcj48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</w:fldData>
              </w:fldChar>
            </w:r>
            <w:r>
              <w:instrText xml:space="preserve"> ADDIN EN.CITE.DATA </w:instrText>
            </w:r>
            <w:r w:rsidR="00FC4BD8">
              <w:fldChar w:fldCharType="end"/>
            </w:r>
            <w:r w:rsidR="00FC4BD8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125</w:t>
            </w:r>
            <w:r w:rsidR="00FC4BD8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897C09" w:rsidRDefault="006B7BB6" w:rsidP="006D6656">
            <w:pPr>
              <w:pStyle w:val="TableText"/>
            </w:pPr>
            <w:r>
              <w:t>United States</w:t>
            </w:r>
            <w:r w:rsidRPr="00897C09">
              <w:t xml:space="preserve">, </w:t>
            </w:r>
            <w:r>
              <w:t xml:space="preserve">longitudinal </w:t>
            </w:r>
            <w:r w:rsidRPr="00EF6A61">
              <w:t>nonrandomized</w:t>
            </w:r>
            <w:r w:rsidRPr="00897C09">
              <w:t xml:space="preserve">, </w:t>
            </w:r>
            <w:r>
              <w:t xml:space="preserve">outpatient </w:t>
            </w:r>
            <w:r>
              <w:lastRenderedPageBreak/>
              <w:t>setting</w:t>
            </w:r>
            <w:r w:rsidRPr="00A52354">
              <w:t xml:space="preserve">, </w:t>
            </w:r>
            <w:r w:rsidRPr="00A52354">
              <w:rPr>
                <w:bCs/>
              </w:rPr>
              <w:t>high risk of bias.</w:t>
            </w:r>
          </w:p>
        </w:tc>
        <w:tc>
          <w:tcPr>
            <w:tcW w:w="1260" w:type="dxa"/>
          </w:tcPr>
          <w:p w:rsidR="006B7BB6" w:rsidRPr="00897C09" w:rsidRDefault="006B7BB6" w:rsidP="006D6656">
            <w:pPr>
              <w:pStyle w:val="TableText"/>
            </w:pPr>
            <w:r>
              <w:lastRenderedPageBreak/>
              <w:t>FeNO, N</w:t>
            </w:r>
            <w:r w:rsidRPr="00897C09">
              <w:t>=24</w:t>
            </w:r>
          </w:p>
        </w:tc>
        <w:tc>
          <w:tcPr>
            <w:tcW w:w="1620" w:type="dxa"/>
            <w:vMerge w:val="restart"/>
          </w:tcPr>
          <w:p w:rsidR="006B7BB6" w:rsidRDefault="006B7BB6" w:rsidP="006D6656">
            <w:pPr>
              <w:pStyle w:val="TableText"/>
            </w:pPr>
            <w:r>
              <w:t xml:space="preserve">Mean age </w:t>
            </w:r>
            <w:r w:rsidRPr="00897C09">
              <w:t xml:space="preserve">9.3 </w:t>
            </w:r>
            <w:r>
              <w:t>years (SD:</w:t>
            </w:r>
            <w:r w:rsidRPr="00897C09">
              <w:t xml:space="preserve"> 1.6</w:t>
            </w:r>
            <w:r>
              <w:t xml:space="preserve">), </w:t>
            </w:r>
          </w:p>
          <w:p w:rsidR="006B7BB6" w:rsidRPr="008A5842" w:rsidRDefault="006B7BB6" w:rsidP="006D6656">
            <w:pPr>
              <w:pStyle w:val="TableText"/>
            </w:pPr>
            <w:r>
              <w:t>67 % males.</w:t>
            </w:r>
          </w:p>
        </w:tc>
        <w:tc>
          <w:tcPr>
            <w:tcW w:w="2250" w:type="dxa"/>
          </w:tcPr>
          <w:p w:rsidR="006B7BB6" w:rsidRPr="00897C09" w:rsidRDefault="006B7BB6" w:rsidP="006D6656">
            <w:pPr>
              <w:pStyle w:val="TableText"/>
            </w:pPr>
            <w:r w:rsidRPr="00897C09">
              <w:t>using a chemiluminescent</w:t>
            </w:r>
          </w:p>
          <w:p w:rsidR="006B7BB6" w:rsidRPr="00897C09" w:rsidRDefault="006B7BB6" w:rsidP="006D6656">
            <w:pPr>
              <w:pStyle w:val="TableText"/>
            </w:pPr>
            <w:r w:rsidRPr="00897C09">
              <w:t>analyzer (Model 280 NOA, Sievers Instruments,</w:t>
            </w:r>
          </w:p>
          <w:p w:rsidR="006B7BB6" w:rsidRPr="00897C09" w:rsidRDefault="006B7BB6" w:rsidP="006D6656">
            <w:pPr>
              <w:pStyle w:val="TableText"/>
            </w:pPr>
            <w:r w:rsidRPr="00897C09">
              <w:t>Inc., Boulder CO).</w:t>
            </w:r>
          </w:p>
        </w:tc>
        <w:tc>
          <w:tcPr>
            <w:tcW w:w="1586" w:type="dxa"/>
            <w:vMerge w:val="restart"/>
          </w:tcPr>
          <w:p w:rsidR="006B7BB6" w:rsidRPr="00897C09" w:rsidRDefault="006B7BB6" w:rsidP="006D6656">
            <w:pPr>
              <w:pStyle w:val="TableText"/>
            </w:pPr>
            <w:r w:rsidRPr="00897C09">
              <w:t>Montelukast sodium (5 mg chewable tablet) administered</w:t>
            </w:r>
          </w:p>
          <w:p w:rsidR="006B7BB6" w:rsidRPr="00897C09" w:rsidRDefault="006B7BB6" w:rsidP="006D6656">
            <w:pPr>
              <w:pStyle w:val="TableText"/>
            </w:pPr>
            <w:r w:rsidRPr="00897C09">
              <w:t xml:space="preserve">once daily at bedtime, and </w:t>
            </w:r>
            <w:r w:rsidRPr="00897C09">
              <w:lastRenderedPageBreak/>
              <w:t>after a 2-week posttreatment</w:t>
            </w:r>
          </w:p>
          <w:p w:rsidR="006B7BB6" w:rsidRPr="00897C09" w:rsidRDefault="006B7BB6" w:rsidP="006D6656">
            <w:pPr>
              <w:pStyle w:val="TableText"/>
            </w:pPr>
            <w:r w:rsidRPr="00897C09">
              <w:t>washout period</w:t>
            </w:r>
            <w:r>
              <w:t>.</w:t>
            </w:r>
          </w:p>
        </w:tc>
        <w:tc>
          <w:tcPr>
            <w:tcW w:w="1710" w:type="dxa"/>
          </w:tcPr>
          <w:p w:rsidR="006B7BB6" w:rsidRDefault="006B7BB6" w:rsidP="006D6656">
            <w:pPr>
              <w:pStyle w:val="TableText"/>
            </w:pPr>
            <w:r>
              <w:lastRenderedPageBreak/>
              <w:t xml:space="preserve">Change of  FeNO after </w:t>
            </w:r>
            <w:r w:rsidRPr="00B37013">
              <w:t>montelukast sodium</w:t>
            </w:r>
            <w:r>
              <w:t xml:space="preserve"> treatment</w:t>
            </w: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>Mean difference from baseline</w:t>
            </w:r>
          </w:p>
          <w:p w:rsidR="006B7BB6" w:rsidRPr="00B37013" w:rsidRDefault="006B7BB6" w:rsidP="006D6656">
            <w:pPr>
              <w:pStyle w:val="TableText"/>
            </w:pPr>
            <w:r w:rsidRPr="00B37013">
              <w:t xml:space="preserve"> 24 ppb</w:t>
            </w:r>
          </w:p>
          <w:p w:rsidR="006B7BB6" w:rsidRPr="007006A9" w:rsidRDefault="006B7BB6" w:rsidP="006D6656">
            <w:pPr>
              <w:pStyle w:val="TableText"/>
            </w:pPr>
            <w:r w:rsidRPr="00B37013">
              <w:t>(P &lt; 0.01)</w:t>
            </w:r>
          </w:p>
        </w:tc>
        <w:tc>
          <w:tcPr>
            <w:tcW w:w="1384" w:type="dxa"/>
            <w:vMerge w:val="restart"/>
          </w:tcPr>
          <w:p w:rsidR="006B7BB6" w:rsidRPr="00897C09" w:rsidRDefault="006B7BB6" w:rsidP="006D6656">
            <w:pPr>
              <w:pStyle w:val="TableText"/>
            </w:pPr>
            <w:r w:rsidRPr="00897C09">
              <w:t xml:space="preserve">In 12 children with chronic asthma, FeNO concentrations decreased </w:t>
            </w:r>
            <w:r w:rsidRPr="00897C09">
              <w:lastRenderedPageBreak/>
              <w:t>after 4 week treatment with montelukast sodium, which again rose after treatment was withdrawn.</w:t>
            </w:r>
          </w:p>
        </w:tc>
      </w:tr>
      <w:tr w:rsidR="006B7BB6" w:rsidRPr="00897C09" w:rsidTr="006D6656">
        <w:trPr>
          <w:trHeight w:val="1790"/>
        </w:trPr>
        <w:tc>
          <w:tcPr>
            <w:tcW w:w="990" w:type="dxa"/>
            <w:vMerge/>
          </w:tcPr>
          <w:p w:rsidR="006B7BB6" w:rsidRPr="00C31A3A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897C09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897C09" w:rsidRDefault="006B7BB6" w:rsidP="006D6656">
            <w:pPr>
              <w:pStyle w:val="TableText"/>
            </w:pPr>
            <w:r w:rsidRPr="00897C09">
              <w:t>Spirometery</w:t>
            </w:r>
            <w:r>
              <w:t>, N</w:t>
            </w:r>
            <w:r w:rsidRPr="00897C09">
              <w:t>=24</w:t>
            </w:r>
          </w:p>
        </w:tc>
        <w:tc>
          <w:tcPr>
            <w:tcW w:w="1620" w:type="dxa"/>
            <w:vMerge/>
          </w:tcPr>
          <w:p w:rsidR="006B7BB6" w:rsidRPr="00897C09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897C09" w:rsidRDefault="006B7BB6" w:rsidP="006D6656">
            <w:pPr>
              <w:pStyle w:val="TableText"/>
            </w:pPr>
          </w:p>
        </w:tc>
        <w:tc>
          <w:tcPr>
            <w:tcW w:w="1586" w:type="dxa"/>
            <w:vMerge/>
          </w:tcPr>
          <w:p w:rsidR="006B7BB6" w:rsidRPr="00897C09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Default="006B7BB6" w:rsidP="006D6656">
            <w:pPr>
              <w:pStyle w:val="TableText"/>
            </w:pPr>
            <w:r>
              <w:t>Change of FEV</w:t>
            </w:r>
            <w:r w:rsidRPr="0040195C">
              <w:rPr>
                <w:vertAlign w:val="subscript"/>
              </w:rPr>
              <w:t>1</w:t>
            </w:r>
            <w:r>
              <w:t xml:space="preserve"> (% predicted) after </w:t>
            </w:r>
            <w:r w:rsidRPr="00B37013">
              <w:t>montelukast sodium</w:t>
            </w:r>
            <w:r>
              <w:t xml:space="preserve"> treatment.</w:t>
            </w:r>
          </w:p>
        </w:tc>
        <w:tc>
          <w:tcPr>
            <w:tcW w:w="1620" w:type="dxa"/>
          </w:tcPr>
          <w:p w:rsidR="006B7BB6" w:rsidRPr="00897C09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>
              <w:t xml:space="preserve"> at baseline </w:t>
            </w:r>
            <w:r w:rsidRPr="00897C09">
              <w:t xml:space="preserve">81 </w:t>
            </w:r>
            <w:r>
              <w:t>% pred (SD:</w:t>
            </w:r>
            <w:r w:rsidRPr="00897C09">
              <w:t xml:space="preserve"> 4</w:t>
            </w:r>
            <w:r>
              <w:t>)</w:t>
            </w:r>
            <w:r w:rsidRPr="00897C09">
              <w:t xml:space="preserve"> </w:t>
            </w:r>
          </w:p>
          <w:p w:rsidR="006B7BB6" w:rsidRPr="00897C09" w:rsidRDefault="006B7BB6" w:rsidP="006D6656">
            <w:pPr>
              <w:pStyle w:val="TableText"/>
            </w:pPr>
            <w:r w:rsidRPr="00897C09">
              <w:t xml:space="preserve">After Montelukast </w:t>
            </w:r>
          </w:p>
          <w:p w:rsidR="006B7BB6" w:rsidRPr="007006A9" w:rsidRDefault="006B7BB6" w:rsidP="006D6656">
            <w:pPr>
              <w:pStyle w:val="TableText"/>
            </w:pPr>
            <w:r>
              <w:t>85 % pred (SD:</w:t>
            </w:r>
            <w:r w:rsidRPr="00897C09">
              <w:t xml:space="preserve"> 4</w:t>
            </w:r>
            <w:r>
              <w:t>).</w:t>
            </w:r>
          </w:p>
        </w:tc>
        <w:tc>
          <w:tcPr>
            <w:tcW w:w="1384" w:type="dxa"/>
            <w:vMerge/>
          </w:tcPr>
          <w:p w:rsidR="006B7BB6" w:rsidRPr="00897C09" w:rsidRDefault="006B7BB6" w:rsidP="006D6656">
            <w:pPr>
              <w:pStyle w:val="TableText"/>
            </w:pPr>
          </w:p>
        </w:tc>
      </w:tr>
      <w:tr w:rsidR="006B7BB6" w:rsidRPr="00180F01" w:rsidTr="006D6656">
        <w:trPr>
          <w:trHeight w:val="2690"/>
        </w:trPr>
        <w:tc>
          <w:tcPr>
            <w:tcW w:w="990" w:type="dxa"/>
            <w:vMerge w:val="restart"/>
          </w:tcPr>
          <w:p w:rsidR="006B7BB6" w:rsidRPr="00180F01" w:rsidRDefault="006B7BB6" w:rsidP="006D6656">
            <w:pPr>
              <w:pStyle w:val="TableText"/>
            </w:pPr>
            <w:r w:rsidRPr="00180F01">
              <w:lastRenderedPageBreak/>
              <w:t>Montuschi, 2007</w:t>
            </w:r>
            <w:r>
              <w:t xml:space="preserve"> </w:t>
            </w:r>
            <w:r w:rsidR="00FC4BD8">
              <w:fldChar w:fldCharType="begin">
                <w:fldData xml:space="preserve">PEVuZE5vdGU+PENpdGU+PEF1dGhvcj5Nb250dXNjaGk8L0F1dGhvcj48WWVhcj4yMDA3PC9ZZWFy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==
</w:fldData>
              </w:fldChar>
            </w:r>
            <w:r>
              <w:instrText xml:space="preserve"> ADDIN EN.CITE </w:instrText>
            </w:r>
            <w:r w:rsidR="00FC4BD8">
              <w:fldChar w:fldCharType="begin">
                <w:fldData xml:space="preserve">PEVuZE5vdGU+PENpdGU+PEF1dGhvcj5Nb250dXNjaGk8L0F1dGhvcj48WWVhcj4yMDA3PC9ZZWFy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==
</w:fldData>
              </w:fldChar>
            </w:r>
            <w:r>
              <w:instrText xml:space="preserve"> ADDIN EN.CITE.DATA </w:instrText>
            </w:r>
            <w:r w:rsidR="00FC4BD8">
              <w:fldChar w:fldCharType="end"/>
            </w:r>
            <w:r w:rsidR="00FC4BD8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126</w:t>
            </w:r>
            <w:r w:rsidR="00FC4BD8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52354" w:rsidRDefault="006B7BB6" w:rsidP="006D6656">
            <w:pPr>
              <w:pStyle w:val="TableText"/>
            </w:pPr>
            <w:r w:rsidRPr="00A52354">
              <w:t>Italy, RCT, outpatient setting, low risk of bias.</w:t>
            </w:r>
          </w:p>
        </w:tc>
        <w:tc>
          <w:tcPr>
            <w:tcW w:w="126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>FeNO, N= 26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Pr="00180F01" w:rsidRDefault="006B7BB6" w:rsidP="006D6656">
            <w:pPr>
              <w:pStyle w:val="TableText"/>
            </w:pPr>
            <w:r w:rsidRPr="00180F01">
              <w:t>Montelukast group (N= 14)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Mean age 10.8 years (SD: 0.5), 78.5%</w:t>
            </w:r>
            <w:r>
              <w:t xml:space="preserve"> </w:t>
            </w:r>
            <w:r w:rsidRPr="00180F01">
              <w:t xml:space="preserve">male 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  <w:r w:rsidRPr="00180F01">
              <w:t>Placebo group (N= 12)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 xml:space="preserve">Mean age 10.5 years (SD: 0.6), </w:t>
            </w:r>
            <w:r>
              <w:t xml:space="preserve">83% </w:t>
            </w:r>
            <w:r w:rsidRPr="00180F01">
              <w:t>male</w:t>
            </w:r>
          </w:p>
        </w:tc>
        <w:tc>
          <w:tcPr>
            <w:tcW w:w="225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 xml:space="preserve">Measured by online NIOX system (Aerocrine; Stockholm, Sweden), at 50 ml/sec. </w:t>
            </w:r>
          </w:p>
        </w:tc>
        <w:tc>
          <w:tcPr>
            <w:tcW w:w="1586" w:type="dxa"/>
            <w:vMerge w:val="restart"/>
          </w:tcPr>
          <w:p w:rsidR="006B7BB6" w:rsidRPr="00180F01" w:rsidRDefault="006B7BB6" w:rsidP="006D6656">
            <w:pPr>
              <w:pStyle w:val="TableText"/>
            </w:pPr>
            <w:r w:rsidRPr="00180F01">
              <w:t xml:space="preserve">1 month of montelukast 5mg/day or placebo then 2 weeks </w:t>
            </w:r>
            <w:r>
              <w:t xml:space="preserve">treatment </w:t>
            </w:r>
            <w:r w:rsidRPr="00180F01">
              <w:t>withdrawal.</w:t>
            </w:r>
          </w:p>
        </w:tc>
        <w:tc>
          <w:tcPr>
            <w:tcW w:w="171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>Montelukast showed a significant reduce in FeNO, however, it was increased 2 weeks after withdrawal. No changes were seen in placebo group.</w:t>
            </w:r>
          </w:p>
        </w:tc>
        <w:tc>
          <w:tcPr>
            <w:tcW w:w="162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>Montelukast group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1: 45.5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5: 37.9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7: 52.2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  <w:r w:rsidRPr="00180F01">
              <w:t>Placebo group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1: 37.5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5: 46.3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Week 7: 40.6</w:t>
            </w:r>
            <w:r>
              <w:t xml:space="preserve"> ppb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</w:p>
        </w:tc>
        <w:tc>
          <w:tcPr>
            <w:tcW w:w="1384" w:type="dxa"/>
            <w:vMerge w:val="restart"/>
          </w:tcPr>
          <w:p w:rsidR="006B7BB6" w:rsidRPr="00180F01" w:rsidRDefault="006B7BB6" w:rsidP="006D6656">
            <w:pPr>
              <w:pStyle w:val="TableText"/>
            </w:pPr>
            <w:r w:rsidRPr="00180F01">
              <w:t xml:space="preserve">Montelukast reduced FeNO concentrations in children with asthma, and withdrawal can result in increased FeNO values and worsening of </w:t>
            </w:r>
            <w:r>
              <w:t>Spirometry</w:t>
            </w:r>
            <w:r w:rsidRPr="00180F01">
              <w:t>.</w:t>
            </w:r>
          </w:p>
        </w:tc>
      </w:tr>
      <w:tr w:rsidR="006B7BB6" w:rsidRPr="00180F01" w:rsidTr="006D6656">
        <w:trPr>
          <w:trHeight w:val="350"/>
        </w:trPr>
        <w:tc>
          <w:tcPr>
            <w:tcW w:w="990" w:type="dxa"/>
            <w:vMerge/>
          </w:tcPr>
          <w:p w:rsidR="006B7BB6" w:rsidRPr="00180F01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180F01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180F01" w:rsidRDefault="006B7BB6" w:rsidP="006D6656">
            <w:pPr>
              <w:pStyle w:val="TableText"/>
            </w:pPr>
            <w:r>
              <w:t>Spirometry</w:t>
            </w:r>
            <w:r w:rsidRPr="00180F01">
              <w:t>, N= 26</w:t>
            </w:r>
          </w:p>
        </w:tc>
        <w:tc>
          <w:tcPr>
            <w:tcW w:w="1620" w:type="dxa"/>
            <w:vMerge/>
          </w:tcPr>
          <w:p w:rsidR="006B7BB6" w:rsidRPr="00180F01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>Spirometry (Pony FX; Cosmed; Rome, Italy), and the best of three consecutive maneuvers were chosen.</w:t>
            </w:r>
          </w:p>
        </w:tc>
        <w:tc>
          <w:tcPr>
            <w:tcW w:w="1586" w:type="dxa"/>
            <w:vMerge/>
          </w:tcPr>
          <w:p w:rsidR="006B7BB6" w:rsidRPr="00180F01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t xml:space="preserve">Montelukast had no effect on </w:t>
            </w:r>
            <w:r>
              <w:t xml:space="preserve">Spirometry test results in asthmatic </w:t>
            </w:r>
            <w:r w:rsidRPr="00180F01">
              <w:t>children</w:t>
            </w:r>
            <w:r>
              <w:t>, however, test results</w:t>
            </w:r>
            <w:r w:rsidRPr="00180F01">
              <w:t xml:space="preserve"> were </w:t>
            </w:r>
            <w:r w:rsidRPr="00180F01">
              <w:lastRenderedPageBreak/>
              <w:t xml:space="preserve">lower than baseline after the 2 week treatment withdrawal. Placebo treatment and its withdrawal had no effect on </w:t>
            </w:r>
            <w:r>
              <w:t>Spirometry</w:t>
            </w:r>
            <w:r w:rsidRPr="00180F01">
              <w:t xml:space="preserve"> tests.</w:t>
            </w:r>
          </w:p>
        </w:tc>
        <w:tc>
          <w:tcPr>
            <w:tcW w:w="1620" w:type="dxa"/>
          </w:tcPr>
          <w:p w:rsidR="006B7BB6" w:rsidRPr="00180F01" w:rsidRDefault="006B7BB6" w:rsidP="006D6656">
            <w:pPr>
              <w:pStyle w:val="TableText"/>
            </w:pPr>
            <w:r w:rsidRPr="00180F01">
              <w:lastRenderedPageBreak/>
              <w:t>Montelukast group</w:t>
            </w:r>
          </w:p>
          <w:p w:rsidR="006B7BB6" w:rsidRPr="00180F01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80F01">
              <w:t xml:space="preserve"> % pred 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1: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93.1   (SD: 3.1)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5: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92.9   (SD: 3.0)</w:t>
            </w:r>
          </w:p>
          <w:p w:rsidR="006B7BB6" w:rsidRDefault="006B7BB6" w:rsidP="006D6656">
            <w:pPr>
              <w:pStyle w:val="TableText"/>
            </w:pPr>
            <w:r w:rsidRPr="00180F01">
              <w:lastRenderedPageBreak/>
              <w:t xml:space="preserve">Week 7: </w:t>
            </w:r>
          </w:p>
          <w:p w:rsidR="006B7BB6" w:rsidRDefault="006B7BB6" w:rsidP="006D6656">
            <w:pPr>
              <w:pStyle w:val="TableText"/>
            </w:pPr>
            <w:r w:rsidRPr="00180F01">
              <w:t>90.7   (SD: 2.8)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80F01">
              <w:t>/FV</w:t>
            </w:r>
            <w:r>
              <w:t>C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1: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96.7   (SD: 2.2)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5: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95.9   (SD: 3.0)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7: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94.7   (SD: 3.0)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  <w:r w:rsidRPr="00180F01">
              <w:t>Placebo group</w:t>
            </w:r>
          </w:p>
          <w:p w:rsidR="006B7BB6" w:rsidRPr="00180F01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80F01">
              <w:t xml:space="preserve"> % pred 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1: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94.3   (SD: 2.4)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5: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95.7    (SD: 2.9)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7: </w:t>
            </w:r>
          </w:p>
          <w:p w:rsidR="006B7BB6" w:rsidRDefault="006B7BB6" w:rsidP="006D6656">
            <w:pPr>
              <w:pStyle w:val="TableText"/>
            </w:pPr>
            <w:r w:rsidRPr="00180F01">
              <w:t>90.6   (SD: 3.1).</w:t>
            </w:r>
          </w:p>
          <w:p w:rsidR="006B7BB6" w:rsidRPr="00180F01" w:rsidRDefault="006B7BB6" w:rsidP="006D6656">
            <w:pPr>
              <w:pStyle w:val="TableText"/>
            </w:pPr>
          </w:p>
          <w:p w:rsidR="006B7BB6" w:rsidRPr="00180F01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180F01">
              <w:t>/FV</w:t>
            </w:r>
            <w:r>
              <w:t>C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1: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99.2   (SD: 2.4)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5: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99.8   (SD: 2.8)</w:t>
            </w:r>
          </w:p>
          <w:p w:rsidR="006B7BB6" w:rsidRDefault="006B7BB6" w:rsidP="006D6656">
            <w:pPr>
              <w:pStyle w:val="TableText"/>
            </w:pPr>
            <w:r w:rsidRPr="00180F01">
              <w:t xml:space="preserve">Week 7: </w:t>
            </w:r>
          </w:p>
          <w:p w:rsidR="006B7BB6" w:rsidRPr="00180F01" w:rsidRDefault="006B7BB6" w:rsidP="006D6656">
            <w:pPr>
              <w:pStyle w:val="TableText"/>
            </w:pPr>
            <w:r w:rsidRPr="00180F01">
              <w:t>96.4   (SD: 2.8).</w:t>
            </w:r>
          </w:p>
        </w:tc>
        <w:tc>
          <w:tcPr>
            <w:tcW w:w="1384" w:type="dxa"/>
            <w:vMerge/>
          </w:tcPr>
          <w:p w:rsidR="006B7BB6" w:rsidRPr="00180F01" w:rsidRDefault="006B7BB6" w:rsidP="006D6656">
            <w:pPr>
              <w:pStyle w:val="TableText"/>
            </w:pPr>
          </w:p>
        </w:tc>
      </w:tr>
      <w:tr w:rsidR="006B7BB6" w:rsidRPr="0014417C" w:rsidTr="006D6656">
        <w:trPr>
          <w:trHeight w:val="1997"/>
        </w:trPr>
        <w:tc>
          <w:tcPr>
            <w:tcW w:w="990" w:type="dxa"/>
            <w:vMerge w:val="restart"/>
          </w:tcPr>
          <w:p w:rsidR="006B7BB6" w:rsidRPr="00C05A8A" w:rsidRDefault="006B7BB6" w:rsidP="006D6656">
            <w:pPr>
              <w:pStyle w:val="TableText"/>
            </w:pPr>
            <w:r w:rsidRPr="00C05A8A">
              <w:lastRenderedPageBreak/>
              <w:t>Ohkura, 2009</w:t>
            </w:r>
            <w:r>
              <w:t xml:space="preserve"> </w:t>
            </w:r>
            <w:r w:rsidR="00FC4BD8">
              <w:fldChar w:fldCharType="begin">
                <w:fldData xml:space="preserve">PEVuZE5vdGU+PENpdGU+PEF1dGhvcj5PaGt1cmE8L0F1dGhvcj48WWVhcj4yMDA5PC9ZZWFyPjxS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</w:fldData>
              </w:fldChar>
            </w:r>
            <w:r>
              <w:instrText xml:space="preserve"> ADDIN EN.CITE </w:instrText>
            </w:r>
            <w:r w:rsidR="00FC4BD8">
              <w:fldChar w:fldCharType="begin">
                <w:fldData xml:space="preserve">PEVuZE5vdGU+PENpdGU+PEF1dGhvcj5PaGt1cmE8L0F1dGhvcj48WWVhcj4yMDA5PC9ZZWFyPjxS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</w:fldData>
              </w:fldChar>
            </w:r>
            <w:r>
              <w:instrText xml:space="preserve"> ADDIN EN.CITE.DATA </w:instrText>
            </w:r>
            <w:r w:rsidR="00FC4BD8">
              <w:fldChar w:fldCharType="end"/>
            </w:r>
            <w:r w:rsidR="00FC4BD8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127</w:t>
            </w:r>
            <w:r w:rsidR="00FC4BD8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C05A8A" w:rsidRDefault="006B7BB6" w:rsidP="006D6656">
            <w:pPr>
              <w:pStyle w:val="TableText"/>
            </w:pPr>
            <w:r w:rsidRPr="00C05A8A">
              <w:t>Japan, longitudinal nonrandomized, outpatient setting</w:t>
            </w:r>
            <w:r>
              <w:t>,</w:t>
            </w:r>
            <w:r w:rsidRPr="00A52354">
              <w:t xml:space="preserve"> </w:t>
            </w:r>
            <w:r w:rsidRPr="00A52354">
              <w:rPr>
                <w:bCs/>
              </w:rPr>
              <w:t>low risk of bias.</w:t>
            </w:r>
          </w:p>
        </w:tc>
        <w:tc>
          <w:tcPr>
            <w:tcW w:w="1260" w:type="dxa"/>
          </w:tcPr>
          <w:p w:rsidR="006B7BB6" w:rsidRPr="00C05A8A" w:rsidRDefault="006B7BB6" w:rsidP="006D6656">
            <w:pPr>
              <w:pStyle w:val="TableText"/>
            </w:pPr>
            <w:r w:rsidRPr="00C05A8A">
              <w:t>FeNO, N= 20</w:t>
            </w:r>
          </w:p>
          <w:p w:rsidR="006B7BB6" w:rsidRPr="00C05A8A" w:rsidRDefault="006B7BB6" w:rsidP="006D6656">
            <w:pPr>
              <w:pStyle w:val="TableText"/>
            </w:pPr>
          </w:p>
          <w:p w:rsidR="006B7BB6" w:rsidRPr="00C05A8A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Pr="00C05A8A" w:rsidRDefault="006B7BB6" w:rsidP="006D6656">
            <w:pPr>
              <w:pStyle w:val="TableText"/>
            </w:pPr>
            <w:r w:rsidRPr="00C05A8A">
              <w:t xml:space="preserve">Mean age 68.1 years (SD: 12), </w:t>
            </w:r>
            <w:r>
              <w:t>75% male.</w:t>
            </w:r>
            <w:r w:rsidRPr="00C05A8A">
              <w:t xml:space="preserve"> </w:t>
            </w:r>
          </w:p>
        </w:tc>
        <w:tc>
          <w:tcPr>
            <w:tcW w:w="2250" w:type="dxa"/>
          </w:tcPr>
          <w:p w:rsidR="006B7BB6" w:rsidRPr="00C05A8A" w:rsidRDefault="006B7BB6" w:rsidP="006D6656">
            <w:pPr>
              <w:pStyle w:val="TableText"/>
            </w:pPr>
            <w:r w:rsidRPr="00C05A8A">
              <w:t>Measur</w:t>
            </w:r>
            <w:r>
              <w:t xml:space="preserve">ed by online chemiluminescence </w:t>
            </w:r>
            <w:r w:rsidRPr="00C05A8A">
              <w:t xml:space="preserve">at </w:t>
            </w:r>
            <w:r>
              <w:t>a flow rate of 0.05 L/sec.</w:t>
            </w:r>
            <w:r w:rsidRPr="00C05A8A">
              <w:t xml:space="preserve"> Steroid prior to test was 100%</w:t>
            </w:r>
            <w:r>
              <w:t>.</w:t>
            </w:r>
          </w:p>
        </w:tc>
        <w:tc>
          <w:tcPr>
            <w:tcW w:w="1586" w:type="dxa"/>
            <w:vMerge w:val="restart"/>
          </w:tcPr>
          <w:p w:rsidR="006B7BB6" w:rsidRPr="00C05A8A" w:rsidRDefault="006B7BB6" w:rsidP="006D6656">
            <w:pPr>
              <w:pStyle w:val="TableText"/>
            </w:pPr>
            <w:r w:rsidRPr="00C05A8A">
              <w:t>1 month of Pranlukast 450 mg/day added to ICS+LABA (salmeterol 100 μg/day), then 1 month of washout period (only ICS+LABA (salmeterol 100 μg/day).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 xml:space="preserve"> </w:t>
            </w:r>
          </w:p>
        </w:tc>
        <w:tc>
          <w:tcPr>
            <w:tcW w:w="1710" w:type="dxa"/>
          </w:tcPr>
          <w:p w:rsidR="006B7BB6" w:rsidRPr="00C05A8A" w:rsidRDefault="006B7BB6" w:rsidP="006D6656">
            <w:pPr>
              <w:pStyle w:val="TableText"/>
            </w:pPr>
            <w:r w:rsidRPr="00C05A8A">
              <w:t>FeNO decreased significantly after add</w:t>
            </w:r>
            <w:r>
              <w:t>ing p</w:t>
            </w:r>
            <w:r w:rsidRPr="00C05A8A">
              <w:t>ranlukast. FeNO after wash-out period was also lower than baseline.</w:t>
            </w: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 w:rsidRPr="00C05A8A">
              <w:t xml:space="preserve">Baseline 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>26.6</w:t>
            </w:r>
            <w:r>
              <w:t xml:space="preserve"> ppb</w:t>
            </w:r>
            <w:r w:rsidRPr="00C05A8A">
              <w:t xml:space="preserve"> (SD: 1.1).</w:t>
            </w:r>
          </w:p>
          <w:p w:rsidR="006B7BB6" w:rsidRDefault="006B7BB6" w:rsidP="006D6656">
            <w:pPr>
              <w:pStyle w:val="TableText"/>
            </w:pPr>
            <w:r w:rsidRPr="00C05A8A">
              <w:t xml:space="preserve">Pranlukast + ICS+ LABA 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>18.3</w:t>
            </w:r>
            <w:r>
              <w:t xml:space="preserve"> ppb</w:t>
            </w:r>
            <w:r w:rsidRPr="00C05A8A">
              <w:t xml:space="preserve"> (SD: 1.9).</w:t>
            </w:r>
          </w:p>
          <w:p w:rsidR="006B7BB6" w:rsidRDefault="006B7BB6" w:rsidP="006D6656">
            <w:pPr>
              <w:pStyle w:val="TableText"/>
            </w:pPr>
            <w:r w:rsidRPr="00C05A8A">
              <w:t xml:space="preserve">ICS+LABA 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 xml:space="preserve">21.1 </w:t>
            </w:r>
            <w:r>
              <w:t>ppb</w:t>
            </w:r>
            <w:r w:rsidRPr="00C05A8A">
              <w:t xml:space="preserve"> (SD: 1.1).</w:t>
            </w:r>
          </w:p>
        </w:tc>
        <w:tc>
          <w:tcPr>
            <w:tcW w:w="1384" w:type="dxa"/>
            <w:vMerge w:val="restart"/>
          </w:tcPr>
          <w:p w:rsidR="006B7BB6" w:rsidRPr="00C05A8A" w:rsidRDefault="006B7BB6" w:rsidP="006D6656">
            <w:pPr>
              <w:pStyle w:val="TableText"/>
            </w:pPr>
            <w:r w:rsidRPr="00C05A8A">
              <w:t>Pranlukast added to ICS and inhaled LABA reduced FeNO.</w:t>
            </w:r>
          </w:p>
        </w:tc>
      </w:tr>
      <w:tr w:rsidR="006B7BB6" w:rsidRPr="0014417C" w:rsidTr="006D6656">
        <w:trPr>
          <w:trHeight w:val="1700"/>
        </w:trPr>
        <w:tc>
          <w:tcPr>
            <w:tcW w:w="990" w:type="dxa"/>
            <w:vMerge/>
          </w:tcPr>
          <w:p w:rsidR="006B7BB6" w:rsidRPr="00C05A8A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C05A8A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Pr="00C05A8A" w:rsidRDefault="006B7BB6" w:rsidP="006D6656">
            <w:pPr>
              <w:pStyle w:val="TableText"/>
            </w:pPr>
            <w:r>
              <w:t>Spirometry</w:t>
            </w:r>
            <w:r w:rsidRPr="00C05A8A">
              <w:t>, N= 20</w:t>
            </w:r>
          </w:p>
        </w:tc>
        <w:tc>
          <w:tcPr>
            <w:tcW w:w="1620" w:type="dxa"/>
          </w:tcPr>
          <w:p w:rsidR="006B7BB6" w:rsidRPr="00C05A8A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C05A8A" w:rsidRDefault="006B7BB6" w:rsidP="006D6656">
            <w:pPr>
              <w:pStyle w:val="TableText"/>
            </w:pPr>
          </w:p>
        </w:tc>
        <w:tc>
          <w:tcPr>
            <w:tcW w:w="1586" w:type="dxa"/>
            <w:vMerge/>
          </w:tcPr>
          <w:p w:rsidR="006B7BB6" w:rsidRPr="00C05A8A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Pr="00C05A8A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 w:rsidRPr="00C05A8A">
              <w:t xml:space="preserve"> increased significantly after </w:t>
            </w:r>
            <w:r>
              <w:t>p</w:t>
            </w:r>
            <w:r w:rsidRPr="00C05A8A">
              <w:t>ranlukast was added and decreased significantly after wash-out period.</w:t>
            </w: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 w:rsidRPr="00C05A8A">
              <w:t xml:space="preserve">Baseline 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>2.08 L (SD: 0.12).</w:t>
            </w:r>
          </w:p>
          <w:p w:rsidR="006B7BB6" w:rsidRDefault="006B7BB6" w:rsidP="006D6656">
            <w:pPr>
              <w:pStyle w:val="TableText"/>
            </w:pPr>
            <w:r w:rsidRPr="00C05A8A">
              <w:t xml:space="preserve">Pranlukast + ICS+ LABA 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>2.14 L (SD: 0.56).</w:t>
            </w:r>
          </w:p>
          <w:p w:rsidR="006B7BB6" w:rsidRDefault="006B7BB6" w:rsidP="006D6656">
            <w:pPr>
              <w:pStyle w:val="TableText"/>
            </w:pPr>
            <w:r w:rsidRPr="00C05A8A">
              <w:t>ICS+LABA</w:t>
            </w:r>
          </w:p>
          <w:p w:rsidR="006B7BB6" w:rsidRPr="00C05A8A" w:rsidRDefault="006B7BB6" w:rsidP="006D6656">
            <w:pPr>
              <w:pStyle w:val="TableText"/>
            </w:pPr>
            <w:r w:rsidRPr="00C05A8A">
              <w:t xml:space="preserve"> 2.08 L (SD: 0.58).</w:t>
            </w:r>
          </w:p>
        </w:tc>
        <w:tc>
          <w:tcPr>
            <w:tcW w:w="1384" w:type="dxa"/>
            <w:vMerge/>
          </w:tcPr>
          <w:p w:rsidR="006B7BB6" w:rsidRPr="00C05A8A" w:rsidRDefault="006B7BB6" w:rsidP="006D6656">
            <w:pPr>
              <w:pStyle w:val="TableText"/>
            </w:pPr>
          </w:p>
        </w:tc>
      </w:tr>
      <w:tr w:rsidR="006B7BB6" w:rsidRPr="00CA0544" w:rsidTr="006D6656">
        <w:trPr>
          <w:trHeight w:val="4290"/>
        </w:trPr>
        <w:tc>
          <w:tcPr>
            <w:tcW w:w="990" w:type="dxa"/>
            <w:vMerge w:val="restart"/>
          </w:tcPr>
          <w:p w:rsidR="006B7BB6" w:rsidRDefault="006B7BB6" w:rsidP="006D6656">
            <w:pPr>
              <w:pStyle w:val="TableText"/>
            </w:pPr>
            <w:r>
              <w:lastRenderedPageBreak/>
              <w:t xml:space="preserve">Sandrini, 2003 </w:t>
            </w:r>
            <w:r w:rsidR="00FC4BD8">
              <w:fldChar w:fldCharType="begin">
                <w:fldData xml:space="preserve">PEVuZE5vdGU+PENpdGU+PEF1dGhvcj5TYW5kcmluaTwvQXV0aG9yPjxZZWFyPjIwMDM8L1llYXI+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</w:fldData>
              </w:fldChar>
            </w:r>
            <w:r>
              <w:instrText xml:space="preserve"> ADDIN EN.CITE </w:instrText>
            </w:r>
            <w:r w:rsidR="00FC4BD8">
              <w:fldChar w:fldCharType="begin">
                <w:fldData xml:space="preserve">PEVuZE5vdGU+PENpdGU+PEF1dGhvcj5TYW5kcmluaTwvQXV0aG9yPjxZZWFyPjIwMDM8L1llYXI+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</w:fldData>
              </w:fldChar>
            </w:r>
            <w:r>
              <w:instrText xml:space="preserve"> ADDIN EN.CITE.DATA </w:instrText>
            </w:r>
            <w:r w:rsidR="00FC4BD8">
              <w:fldChar w:fldCharType="end"/>
            </w:r>
            <w:r w:rsidR="00FC4BD8">
              <w:fldChar w:fldCharType="separate"/>
            </w:r>
            <w:r w:rsidRPr="00730075">
              <w:rPr>
                <w:rFonts w:ascii="Times New Roman" w:hAnsi="Times New Roman" w:cs="Times New Roman"/>
                <w:noProof/>
                <w:vertAlign w:val="superscript"/>
              </w:rPr>
              <w:t>128</w:t>
            </w:r>
            <w:r w:rsidR="00FC4BD8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Default="006B7BB6" w:rsidP="006D6656">
            <w:pPr>
              <w:pStyle w:val="TableText"/>
            </w:pPr>
            <w:r>
              <w:t>Canada, RCT with crossover, outpatient setting,</w:t>
            </w:r>
            <w:r w:rsidRPr="00A52354">
              <w:t xml:space="preserve"> unclear risk of bias.</w:t>
            </w:r>
          </w:p>
        </w:tc>
        <w:tc>
          <w:tcPr>
            <w:tcW w:w="1260" w:type="dxa"/>
          </w:tcPr>
          <w:p w:rsidR="006B7BB6" w:rsidRDefault="006B7BB6" w:rsidP="006D6656">
            <w:pPr>
              <w:pStyle w:val="TableText"/>
            </w:pPr>
            <w:r>
              <w:t>FeNO, N=20</w:t>
            </w:r>
            <w:r>
              <w:br/>
            </w:r>
            <w:r>
              <w:br/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</w:tc>
        <w:tc>
          <w:tcPr>
            <w:tcW w:w="1620" w:type="dxa"/>
            <w:vMerge w:val="restart"/>
          </w:tcPr>
          <w:p w:rsidR="006B7BB6" w:rsidRDefault="006B7BB6" w:rsidP="006D6656">
            <w:pPr>
              <w:pStyle w:val="TableText"/>
            </w:pPr>
            <w:r>
              <w:t>mean age 34.8 years (SD: 12.6),</w:t>
            </w:r>
          </w:p>
          <w:p w:rsidR="006B7BB6" w:rsidRDefault="006B7BB6" w:rsidP="006D6656">
            <w:pPr>
              <w:pStyle w:val="TableText"/>
            </w:pPr>
            <w:r>
              <w:t>25% males,</w:t>
            </w:r>
          </w:p>
          <w:p w:rsidR="006B7BB6" w:rsidRDefault="006B7BB6" w:rsidP="006D6656">
            <w:pPr>
              <w:pStyle w:val="TableText"/>
            </w:pPr>
            <w:r>
              <w:t>5% smoker.</w:t>
            </w:r>
          </w:p>
          <w:p w:rsidR="006B7BB6" w:rsidRDefault="006B7BB6" w:rsidP="006D6656">
            <w:pPr>
              <w:pStyle w:val="TableText"/>
            </w:pPr>
          </w:p>
          <w:p w:rsidR="006B7BB6" w:rsidRPr="00CA0544" w:rsidRDefault="006B7BB6" w:rsidP="006D6656">
            <w:pPr>
              <w:pStyle w:val="TableText"/>
            </w:pPr>
            <w:r>
              <w:t xml:space="preserve">12 received placebo and 8 received Montelukast. </w:t>
            </w:r>
          </w:p>
        </w:tc>
        <w:tc>
          <w:tcPr>
            <w:tcW w:w="2250" w:type="dxa"/>
          </w:tcPr>
          <w:p w:rsidR="006B7BB6" w:rsidRDefault="006B7BB6" w:rsidP="006D6656">
            <w:pPr>
              <w:pStyle w:val="TableText"/>
            </w:pPr>
            <w:r w:rsidRPr="00E44811">
              <w:t>Performed according to ATS recommendations, using an expiratory flow rate of 0.046 L/s.</w:t>
            </w:r>
            <w:hyperlink r:id="rId8" w:anchor="bib20" w:history="1">
              <w:r w:rsidRPr="00E44811">
                <w:t>20</w:t>
              </w:r>
            </w:hyperlink>
            <w:r w:rsidRPr="00E44811">
              <w:t>The exhaled breath condensate was collected using a commercial apparatus (Cryocond; Boehringer Ingelheim; Burlington, ON, Canada) that cools and freezes the exhaled air to −30°C while patients breathe at tidal volume, wearing nose clips, for 5 min. Frozen samples were stored at −70°C. H2O2 was measured as described previously</w:t>
            </w:r>
            <w:r>
              <w:t>.</w:t>
            </w:r>
          </w:p>
          <w:p w:rsidR="006B7BB6" w:rsidRDefault="006B7BB6" w:rsidP="006D6656">
            <w:pPr>
              <w:pStyle w:val="TableText"/>
            </w:pPr>
          </w:p>
          <w:p w:rsidR="006B7BB6" w:rsidRDefault="006B7BB6" w:rsidP="006D6656">
            <w:pPr>
              <w:pStyle w:val="TableText"/>
            </w:pPr>
          </w:p>
          <w:p w:rsidR="006B7BB6" w:rsidRPr="00CA0544" w:rsidRDefault="006B7BB6" w:rsidP="006D6656">
            <w:pPr>
              <w:pStyle w:val="TableText"/>
            </w:pPr>
          </w:p>
        </w:tc>
        <w:tc>
          <w:tcPr>
            <w:tcW w:w="1586" w:type="dxa"/>
            <w:vMerge w:val="restart"/>
          </w:tcPr>
          <w:p w:rsidR="006B7BB6" w:rsidRPr="00CA0544" w:rsidRDefault="006B7BB6" w:rsidP="006D6656">
            <w:pPr>
              <w:pStyle w:val="TableText"/>
            </w:pPr>
            <w:r>
              <w:t>T</w:t>
            </w:r>
            <w:r w:rsidRPr="00EE2C4C">
              <w:t>wo 2-week treatment periods with Montelukast (10 mg daily) or matching placebo, with each treatment being followed by 1 week of washout. The tablets were taken in the evening, and visit 2 was considered to be the initial day of the first treatment arm.</w:t>
            </w:r>
          </w:p>
        </w:tc>
        <w:tc>
          <w:tcPr>
            <w:tcW w:w="1710" w:type="dxa"/>
          </w:tcPr>
          <w:p w:rsidR="006B7BB6" w:rsidRDefault="006B7BB6" w:rsidP="006D6656">
            <w:pPr>
              <w:pStyle w:val="TableText"/>
            </w:pPr>
            <w:r>
              <w:t xml:space="preserve">Montelukast </w:t>
            </w:r>
            <w:r w:rsidRPr="00F258EA">
              <w:t>resulted</w:t>
            </w:r>
            <w:r>
              <w:t xml:space="preserve"> in a significant reduction of FeNO </w:t>
            </w:r>
            <w:r w:rsidRPr="00F258EA">
              <w:t xml:space="preserve">from day 1 of treatment to </w:t>
            </w:r>
            <w:r>
              <w:t>day 14, however, Fe</w:t>
            </w:r>
            <w:r w:rsidRPr="00F258EA">
              <w:t>NO remained lower in comparison to baseline during the washout period. The maximal effect was obs</w:t>
            </w:r>
            <w:r>
              <w:t>erved on day 7.</w:t>
            </w:r>
            <w:r w:rsidRPr="00F258EA">
              <w:t xml:space="preserve"> Montelukast </w:t>
            </w:r>
            <w:r>
              <w:t>m</w:t>
            </w:r>
            <w:r w:rsidRPr="00F258EA">
              <w:t>edi</w:t>
            </w:r>
            <w:r>
              <w:t>an difference from baseline at day 7 was</w:t>
            </w:r>
            <w:r w:rsidRPr="00F258EA">
              <w:t xml:space="preserve"> −11.</w:t>
            </w:r>
            <w:r>
              <w:t>3 ppb (25th to 75</w:t>
            </w:r>
            <w:r w:rsidRPr="00F258EA">
              <w:rPr>
                <w:vertAlign w:val="superscript"/>
              </w:rPr>
              <w:t>th</w:t>
            </w:r>
            <w:r>
              <w:t xml:space="preserve"> percentile, </w:t>
            </w:r>
            <w:r w:rsidRPr="00F258EA">
              <w:t>−</w:t>
            </w:r>
            <w:r>
              <w:t>16.8 to −4.6), and the</w:t>
            </w:r>
            <w:r w:rsidRPr="00F258EA">
              <w:t xml:space="preserve"> me</w:t>
            </w:r>
            <w:r>
              <w:t>dian difference for placebo was 1.5 (25th to 75</w:t>
            </w:r>
            <w:r w:rsidRPr="00DC6001">
              <w:rPr>
                <w:vertAlign w:val="superscript"/>
              </w:rPr>
              <w:t>th</w:t>
            </w:r>
            <w:r>
              <w:t xml:space="preserve"> percentile, −1 to 9.9</w:t>
            </w:r>
            <w:r w:rsidRPr="00F258EA">
              <w:t>).</w:t>
            </w:r>
            <w:r>
              <w:rPr>
                <w:rStyle w:val="apple-converted-space"/>
                <w:color w:val="2E2E2E"/>
                <w:shd w:val="clear" w:color="auto" w:fill="FFFFFF"/>
              </w:rPr>
              <w:t> </w:t>
            </w:r>
          </w:p>
          <w:p w:rsidR="006B7BB6" w:rsidRPr="00CA0544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 xml:space="preserve">FeNO in Montelukast group (N= 8): </w:t>
            </w:r>
          </w:p>
          <w:p w:rsidR="006B7BB6" w:rsidRDefault="006B7BB6" w:rsidP="006D6656">
            <w:pPr>
              <w:pStyle w:val="TableText"/>
            </w:pPr>
            <w:r>
              <w:t>52.5 (38 to 102).</w:t>
            </w:r>
          </w:p>
          <w:p w:rsidR="006B7BB6" w:rsidRDefault="006B7BB6" w:rsidP="006D6656">
            <w:pPr>
              <w:pStyle w:val="TableText"/>
            </w:pPr>
            <w:r>
              <w:t xml:space="preserve">Placebo group (N=12): </w:t>
            </w:r>
          </w:p>
          <w:p w:rsidR="006B7BB6" w:rsidRDefault="006B7BB6" w:rsidP="006D6656">
            <w:pPr>
              <w:pStyle w:val="TableText"/>
            </w:pPr>
            <w:r>
              <w:t>44 (28 to 95).</w:t>
            </w:r>
          </w:p>
          <w:p w:rsidR="006B7BB6" w:rsidRDefault="006B7BB6" w:rsidP="006D6656">
            <w:pPr>
              <w:pStyle w:val="TableText"/>
            </w:pPr>
          </w:p>
          <w:p w:rsidR="006B7BB6" w:rsidRPr="00CA0544" w:rsidRDefault="006B7BB6" w:rsidP="006D6656">
            <w:pPr>
              <w:pStyle w:val="TableText"/>
            </w:pPr>
          </w:p>
        </w:tc>
        <w:tc>
          <w:tcPr>
            <w:tcW w:w="1384" w:type="dxa"/>
            <w:vMerge w:val="restart"/>
          </w:tcPr>
          <w:p w:rsidR="006B7BB6" w:rsidRPr="004D36E1" w:rsidRDefault="006B7BB6" w:rsidP="006D6656">
            <w:pPr>
              <w:pStyle w:val="TableText"/>
            </w:pPr>
            <w:r>
              <w:t>Montelukast re</w:t>
            </w:r>
            <w:r w:rsidRPr="0000316C">
              <w:t>duced FeNO in adults with mild asthma in an RCT, reduction was noted as early as day 1 with a maximum effect on day 7.</w:t>
            </w:r>
          </w:p>
        </w:tc>
      </w:tr>
      <w:tr w:rsidR="006B7BB6" w:rsidRPr="00CA0544" w:rsidTr="006D6656">
        <w:trPr>
          <w:trHeight w:val="1743"/>
        </w:trPr>
        <w:tc>
          <w:tcPr>
            <w:tcW w:w="990" w:type="dxa"/>
            <w:vMerge/>
          </w:tcPr>
          <w:p w:rsidR="006B7BB6" w:rsidRDefault="006B7BB6" w:rsidP="006D6656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Default="006B7BB6" w:rsidP="006D6656">
            <w:pPr>
              <w:pStyle w:val="TableText"/>
            </w:pPr>
          </w:p>
        </w:tc>
        <w:tc>
          <w:tcPr>
            <w:tcW w:w="1260" w:type="dxa"/>
          </w:tcPr>
          <w:p w:rsidR="006B7BB6" w:rsidRDefault="006B7BB6" w:rsidP="006D6656">
            <w:pPr>
              <w:pStyle w:val="TableText"/>
            </w:pPr>
            <w:r>
              <w:t>Spirometry, N=20</w:t>
            </w:r>
          </w:p>
        </w:tc>
        <w:tc>
          <w:tcPr>
            <w:tcW w:w="1620" w:type="dxa"/>
            <w:vMerge/>
          </w:tcPr>
          <w:p w:rsidR="006B7BB6" w:rsidRDefault="006B7BB6" w:rsidP="006D6656">
            <w:pPr>
              <w:pStyle w:val="TableText"/>
            </w:pPr>
          </w:p>
        </w:tc>
        <w:tc>
          <w:tcPr>
            <w:tcW w:w="2250" w:type="dxa"/>
          </w:tcPr>
          <w:p w:rsidR="006B7BB6" w:rsidRPr="00E44811" w:rsidRDefault="006B7BB6" w:rsidP="006D6656">
            <w:pPr>
              <w:pStyle w:val="TableText"/>
            </w:pPr>
            <w:r w:rsidRPr="002E6DDC">
              <w:t>Spirometry was performed after ENO measurement and breath condensate collection using ATS standards.</w:t>
            </w:r>
          </w:p>
        </w:tc>
        <w:tc>
          <w:tcPr>
            <w:tcW w:w="1586" w:type="dxa"/>
            <w:vMerge/>
          </w:tcPr>
          <w:p w:rsidR="006B7BB6" w:rsidRDefault="006B7BB6" w:rsidP="006D6656">
            <w:pPr>
              <w:pStyle w:val="TableText"/>
            </w:pPr>
          </w:p>
        </w:tc>
        <w:tc>
          <w:tcPr>
            <w:tcW w:w="1710" w:type="dxa"/>
          </w:tcPr>
          <w:p w:rsidR="006B7BB6" w:rsidRDefault="006B7BB6" w:rsidP="006D6656">
            <w:pPr>
              <w:pStyle w:val="TableText"/>
            </w:pPr>
          </w:p>
        </w:tc>
        <w:tc>
          <w:tcPr>
            <w:tcW w:w="1620" w:type="dxa"/>
          </w:tcPr>
          <w:p w:rsidR="006B7BB6" w:rsidRDefault="006B7BB6" w:rsidP="006D6656">
            <w:pPr>
              <w:pStyle w:val="TableText"/>
            </w:pPr>
            <w:r>
              <w:t>FEV</w:t>
            </w:r>
            <w:r w:rsidRPr="0040195C">
              <w:rPr>
                <w:vertAlign w:val="subscript"/>
              </w:rPr>
              <w:t>1</w:t>
            </w:r>
            <w:r>
              <w:t xml:space="preserve"> % in Montelukast(N= 8) :</w:t>
            </w:r>
          </w:p>
          <w:p w:rsidR="006B7BB6" w:rsidRDefault="006B7BB6" w:rsidP="006D6656">
            <w:pPr>
              <w:pStyle w:val="TableText"/>
            </w:pPr>
            <w:r>
              <w:t>88% (range 83 to 95)</w:t>
            </w:r>
          </w:p>
          <w:p w:rsidR="006B7BB6" w:rsidRDefault="006B7BB6" w:rsidP="006D6656">
            <w:pPr>
              <w:pStyle w:val="TableText"/>
            </w:pPr>
            <w:r>
              <w:t>Placebo group (N=12):</w:t>
            </w:r>
          </w:p>
          <w:p w:rsidR="006B7BB6" w:rsidRDefault="006B7BB6" w:rsidP="006D6656">
            <w:pPr>
              <w:pStyle w:val="TableText"/>
            </w:pPr>
            <w:r>
              <w:t>91% (range 83 to 98)</w:t>
            </w:r>
          </w:p>
        </w:tc>
        <w:tc>
          <w:tcPr>
            <w:tcW w:w="1384" w:type="dxa"/>
            <w:vMerge/>
          </w:tcPr>
          <w:p w:rsidR="006B7BB6" w:rsidRDefault="006B7BB6" w:rsidP="006D6656">
            <w:pPr>
              <w:pStyle w:val="TableText"/>
            </w:pPr>
          </w:p>
        </w:tc>
      </w:tr>
    </w:tbl>
    <w:p w:rsidR="006B7BB6" w:rsidRPr="00D456A0" w:rsidRDefault="006B7BB6" w:rsidP="006B7BB6">
      <w:pPr>
        <w:pStyle w:val="TableNote"/>
        <w:rPr>
          <w:rFonts w:asciiTheme="majorBidi" w:hAnsiTheme="majorBidi" w:cstheme="majorBidi"/>
          <w:szCs w:val="18"/>
        </w:rPr>
      </w:pPr>
      <w:r>
        <w:t xml:space="preserve">ATS standards: American Thorcic Society standards; </w:t>
      </w:r>
      <w:r w:rsidRPr="00D456A0">
        <w:t xml:space="preserve">FeNO: fraction exhaled nitric oxide; </w:t>
      </w:r>
      <w:r>
        <w:t>FEV</w:t>
      </w:r>
      <w:r w:rsidRPr="0040195C">
        <w:rPr>
          <w:vertAlign w:val="subscript"/>
        </w:rPr>
        <w:t>1</w:t>
      </w:r>
      <w:r w:rsidRPr="00F079AE">
        <w:t xml:space="preserve">: forced expiratory volume in the first second; </w:t>
      </w:r>
      <w:r>
        <w:t>FEV</w:t>
      </w:r>
      <w:r w:rsidRPr="0040195C">
        <w:rPr>
          <w:vertAlign w:val="subscript"/>
        </w:rPr>
        <w:t>1</w:t>
      </w:r>
      <w:r w:rsidRPr="00F079AE">
        <w:t>% pred: forced expiratory volume in the first second percentage predicted</w:t>
      </w:r>
      <w:r w:rsidRPr="00D456A0">
        <w:t xml:space="preserve">; </w:t>
      </w:r>
      <w:r>
        <w:t xml:space="preserve">FVC: forced vital capacity; </w:t>
      </w:r>
      <w:r w:rsidRPr="00D456A0">
        <w:t>ICS: inhaled corticosteroid; LABA: long acting beta agonist</w:t>
      </w:r>
      <w:r w:rsidRPr="00D456A0">
        <w:rPr>
          <w:rFonts w:asciiTheme="majorBidi" w:hAnsiTheme="majorBidi" w:cstheme="majorBidi"/>
          <w:szCs w:val="18"/>
        </w:rPr>
        <w:t xml:space="preserve">; </w:t>
      </w:r>
      <w:r>
        <w:t>RCT: randomized clinical trial</w:t>
      </w:r>
      <w:r w:rsidRPr="00D456A0">
        <w:t>; SD: standard deviation.</w:t>
      </w:r>
    </w:p>
    <w:sectPr w:rsidR="006B7BB6" w:rsidRPr="00D456A0" w:rsidSect="00D6400F">
      <w:footerReference w:type="default" r:id="rId9"/>
      <w:footerReference w:type="first" r:id="rId10"/>
      <w:pgSz w:w="15840" w:h="12240" w:orient="landscape" w:code="1"/>
      <w:pgMar w:top="1440" w:right="1440" w:bottom="1440" w:left="1440" w:header="720" w:footer="720" w:gutter="0"/>
      <w:pgNumType w:start="13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0F" w:rsidRDefault="00BA350F">
      <w:r>
        <w:separator/>
      </w:r>
    </w:p>
  </w:endnote>
  <w:endnote w:type="continuationSeparator" w:id="1">
    <w:p w:rsidR="00BA350F" w:rsidRDefault="00BA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2E6C9E" w:rsidP="00361980">
    <w:pPr>
      <w:pStyle w:val="PageNumber"/>
    </w:pPr>
    <w:r>
      <w:t>C</w:t>
    </w:r>
    <w:r w:rsidR="006B7BB6">
      <w:t>-</w:t>
    </w:r>
    <w:r w:rsidR="00FC4BD8">
      <w:fldChar w:fldCharType="begin"/>
    </w:r>
    <w:r w:rsidR="006B7BB6">
      <w:instrText xml:space="preserve"> PAGE   \* MERGEFORMAT </w:instrText>
    </w:r>
    <w:r w:rsidR="00FC4BD8">
      <w:fldChar w:fldCharType="separate"/>
    </w:r>
    <w:r w:rsidR="00A52354">
      <w:rPr>
        <w:noProof/>
      </w:rPr>
      <w:t>134</w:t>
    </w:r>
    <w:r w:rsidR="00FC4BD8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B6" w:rsidRDefault="006B7BB6" w:rsidP="00C03DD5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0F" w:rsidRDefault="00BA350F">
      <w:r>
        <w:separator/>
      </w:r>
    </w:p>
  </w:footnote>
  <w:footnote w:type="continuationSeparator" w:id="1">
    <w:p w:rsidR="00BA350F" w:rsidRDefault="00BA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4665"/>
    <w:rsid w:val="000A5EE2"/>
    <w:rsid w:val="000A6F7C"/>
    <w:rsid w:val="000A7436"/>
    <w:rsid w:val="000B0125"/>
    <w:rsid w:val="000B1090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71FB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BBD"/>
    <w:rsid w:val="001A3D90"/>
    <w:rsid w:val="001A50E5"/>
    <w:rsid w:val="001A624D"/>
    <w:rsid w:val="001A6DD2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7BE6"/>
    <w:rsid w:val="002C10ED"/>
    <w:rsid w:val="002C22AD"/>
    <w:rsid w:val="002C486F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10CB1"/>
    <w:rsid w:val="00311885"/>
    <w:rsid w:val="00311D6F"/>
    <w:rsid w:val="00312ECA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7742"/>
    <w:rsid w:val="003B58E3"/>
    <w:rsid w:val="003B6456"/>
    <w:rsid w:val="003B65FA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11CD"/>
    <w:rsid w:val="00472B56"/>
    <w:rsid w:val="00473ACB"/>
    <w:rsid w:val="004749E2"/>
    <w:rsid w:val="0047552F"/>
    <w:rsid w:val="00476DDE"/>
    <w:rsid w:val="0048028C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33A4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98F"/>
    <w:rsid w:val="00911FCF"/>
    <w:rsid w:val="00914E85"/>
    <w:rsid w:val="00920F6B"/>
    <w:rsid w:val="00921D0B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7750"/>
    <w:rsid w:val="00971952"/>
    <w:rsid w:val="009740E7"/>
    <w:rsid w:val="009747F7"/>
    <w:rsid w:val="00975075"/>
    <w:rsid w:val="00977059"/>
    <w:rsid w:val="00980D66"/>
    <w:rsid w:val="00982DBC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354"/>
    <w:rsid w:val="00A52528"/>
    <w:rsid w:val="00A53A89"/>
    <w:rsid w:val="00A55E85"/>
    <w:rsid w:val="00A5764D"/>
    <w:rsid w:val="00A57E1C"/>
    <w:rsid w:val="00A612AC"/>
    <w:rsid w:val="00A614BB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50F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50D8"/>
    <w:rsid w:val="00C370BC"/>
    <w:rsid w:val="00C41348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7F2F"/>
    <w:rsid w:val="00D60666"/>
    <w:rsid w:val="00D61CFD"/>
    <w:rsid w:val="00D62F4B"/>
    <w:rsid w:val="00D6400F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3995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3A06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3083D"/>
    <w:rsid w:val="00F32645"/>
    <w:rsid w:val="00F32733"/>
    <w:rsid w:val="00F32A01"/>
    <w:rsid w:val="00F32FE7"/>
    <w:rsid w:val="00F34801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A59"/>
    <w:rsid w:val="00F73D58"/>
    <w:rsid w:val="00F74E90"/>
    <w:rsid w:val="00F7654F"/>
    <w:rsid w:val="00F7686F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4BD8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12369216486769" TargetMode="Externa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55A5-477D-406B-B3AA-67572CF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7315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4</cp:revision>
  <cp:lastPrinted>2015-01-16T21:30:00Z</cp:lastPrinted>
  <dcterms:created xsi:type="dcterms:W3CDTF">2018-03-03T05:02:00Z</dcterms:created>
  <dcterms:modified xsi:type="dcterms:W3CDTF">2018-03-03T08:16:00Z</dcterms:modified>
</cp:coreProperties>
</file>