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720"/>
        <w:gridCol w:w="1080"/>
        <w:gridCol w:w="1080"/>
        <w:gridCol w:w="2430"/>
        <w:gridCol w:w="3185"/>
        <w:gridCol w:w="2560"/>
        <w:gridCol w:w="1540"/>
      </w:tblGrid>
      <w:tr w:rsidR="00A35F65" w:rsidRPr="00A35F65" w:rsidTr="00A35F65">
        <w:trPr>
          <w:trHeight w:val="64"/>
        </w:trPr>
        <w:tc>
          <w:tcPr>
            <w:tcW w:w="1365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ind w:right="-14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esign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ind w:left="-108" w:right="-10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enters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Duration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of F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ollowup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Interventions</w:t>
            </w:r>
          </w:p>
        </w:tc>
        <w:tc>
          <w:tcPr>
            <w:tcW w:w="3185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Patient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haracteristics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bottom"/>
            <w:hideMark/>
          </w:tcPr>
          <w:p w:rsidR="00A35F65" w:rsidRPr="00A35F65" w:rsidRDefault="00A35F65" w:rsidP="00A35F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Randomized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Analyzed</w:t>
            </w: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Attrition</w:t>
            </w:r>
          </w:p>
        </w:tc>
      </w:tr>
      <w:tr w:rsidR="00A35F65" w:rsidRPr="00A35F65" w:rsidTr="00A35F65">
        <w:trPr>
          <w:trHeight w:val="2069"/>
        </w:trPr>
        <w:tc>
          <w:tcPr>
            <w:tcW w:w="1365" w:type="dxa"/>
            <w:shd w:val="clear" w:color="auto" w:fill="auto"/>
            <w:hideMark/>
          </w:tcPr>
          <w:p w:rsidR="00A35F65" w:rsidRPr="00A35F65" w:rsidRDefault="00A35F65" w:rsidP="00A35F65">
            <w:pPr>
              <w:ind w:right="-143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Bressler, 2013</w:t>
            </w:r>
            <w:r w:rsidRPr="00A35F6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126 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MARINA (post-hoc analysis)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720" w:type="dxa"/>
            <w:shd w:val="clear" w:color="auto" w:fill="auto"/>
            <w:hideMark/>
          </w:tcPr>
          <w:p w:rsidR="00A35F65" w:rsidRPr="00A35F65" w:rsidRDefault="00A35F65" w:rsidP="00A35F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080" w:type="dxa"/>
            <w:shd w:val="clear" w:color="auto" w:fill="auto"/>
            <w:hideMark/>
          </w:tcPr>
          <w:p w:rsidR="00A35F65" w:rsidRPr="00A35F65" w:rsidRDefault="00A35F65" w:rsidP="00A35F6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Multicenter (96 sites)</w:t>
            </w: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United States</w:t>
            </w:r>
          </w:p>
        </w:tc>
        <w:tc>
          <w:tcPr>
            <w:tcW w:w="1080" w:type="dxa"/>
            <w:shd w:val="clear" w:color="auto" w:fill="auto"/>
            <w:hideMark/>
          </w:tcPr>
          <w:p w:rsidR="00A35F65" w:rsidRPr="00A35F65" w:rsidRDefault="00A35F65" w:rsidP="00A35F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2430" w:type="dxa"/>
            <w:shd w:val="clear" w:color="auto" w:fill="auto"/>
            <w:hideMark/>
          </w:tcPr>
          <w:p w:rsidR="00A35F65" w:rsidRPr="00A35F65" w:rsidRDefault="00A35F65" w:rsidP="00A35F65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A. Ranibizumab injection 0.5 mg/month (n=240)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B. Ranibizumab injection 0.3 mg/month (n=238)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C. Sham injection (n=238)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3185" w:type="dxa"/>
            <w:shd w:val="clear" w:color="auto" w:fill="auto"/>
            <w:hideMark/>
          </w:tcPr>
          <w:p w:rsidR="00A35F65" w:rsidRPr="00A35F65" w:rsidRDefault="00A35F65" w:rsidP="00A35F65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A vs. B vs. C (post-hoc analysis)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responding "yes" to NEI VFQ-25 question "are you currently driving at least once in while?": 68.1% vs. 68.2%  vs. 69.6%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B vs. C (group A not reported)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VA better than 20/40 in one or both eyes: n=110 vs. 133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VA worse than 20/40 in both eyes: </w:t>
            </w:r>
            <w:r w:rsidR="009267E8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n= 129 vs. 104</w:t>
            </w:r>
          </w:p>
        </w:tc>
        <w:tc>
          <w:tcPr>
            <w:tcW w:w="2560" w:type="dxa"/>
            <w:shd w:val="clear" w:color="auto" w:fill="auto"/>
            <w:hideMark/>
          </w:tcPr>
          <w:p w:rsidR="00A35F65" w:rsidRPr="00A35F65" w:rsidRDefault="00A35F65" w:rsidP="009267E8">
            <w:pPr>
              <w:ind w:right="-1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≥50 years with subfoveal CNV secondary to AMD and best corrected VA 20/40 to 20/320 with primary of recurrent CNV secondary to AMD with maximum lesion size 12 disk areas, presumed recent progression</w:t>
            </w:r>
          </w:p>
        </w:tc>
        <w:tc>
          <w:tcPr>
            <w:tcW w:w="1540" w:type="dxa"/>
            <w:shd w:val="clear" w:color="auto" w:fill="auto"/>
            <w:hideMark/>
          </w:tcPr>
          <w:p w:rsidR="00A35F65" w:rsidRPr="00A35F65" w:rsidRDefault="00A35F65" w:rsidP="009267E8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Randomized: 716</w:t>
            </w: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Analyzed: 716</w:t>
            </w:r>
            <w:r w:rsidRPr="00A35F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Attrition: 0%</w:t>
            </w:r>
          </w:p>
        </w:tc>
      </w:tr>
    </w:tbl>
    <w:p w:rsidR="00B05A05" w:rsidRDefault="00B05A05" w:rsidP="00F169DD">
      <w:pPr>
        <w:ind w:right="-450"/>
        <w:rPr>
          <w:rFonts w:ascii="Arial" w:hAnsi="Arial" w:cs="Arial"/>
          <w:sz w:val="18"/>
          <w:szCs w:val="18"/>
        </w:rPr>
        <w:sectPr w:rsidR="00B05A05" w:rsidSect="00A95B50">
          <w:headerReference w:type="default" r:id="rId8"/>
          <w:footerReference w:type="default" r:id="rId9"/>
          <w:pgSz w:w="15840" w:h="12240" w:orient="landscape"/>
          <w:pgMar w:top="1260" w:right="1440" w:bottom="1260" w:left="1440" w:header="720" w:footer="720" w:gutter="0"/>
          <w:pgNumType w:start="106"/>
          <w:cols w:space="720"/>
          <w:noEndnote/>
          <w:docGrid w:linePitch="326"/>
        </w:sectPr>
      </w:pPr>
    </w:p>
    <w:p w:rsidR="001A3792" w:rsidRDefault="001A3792" w:rsidP="00F169DD">
      <w:pPr>
        <w:ind w:right="-450"/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8640"/>
        <w:gridCol w:w="1873"/>
        <w:gridCol w:w="827"/>
        <w:gridCol w:w="1260"/>
      </w:tblGrid>
      <w:tr w:rsidR="009267E8" w:rsidRPr="00A35F65" w:rsidTr="009267E8">
        <w:trPr>
          <w:trHeight w:val="64"/>
        </w:trPr>
        <w:tc>
          <w:tcPr>
            <w:tcW w:w="1365" w:type="dxa"/>
            <w:shd w:val="clear" w:color="auto" w:fill="D9D9D9" w:themeFill="background1" w:themeFillShade="D9"/>
            <w:vAlign w:val="bottom"/>
          </w:tcPr>
          <w:p w:rsidR="009267E8" w:rsidRPr="00A35F65" w:rsidRDefault="009267E8" w:rsidP="00593F76">
            <w:pPr>
              <w:ind w:right="-14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8640" w:type="dxa"/>
            <w:shd w:val="clear" w:color="auto" w:fill="D9D9D9" w:themeFill="background1" w:themeFillShade="D9"/>
            <w:vAlign w:val="bottom"/>
            <w:hideMark/>
          </w:tcPr>
          <w:p w:rsidR="009267E8" w:rsidRPr="00A35F65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Clinical Health Outcomes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bottom"/>
            <w:hideMark/>
          </w:tcPr>
          <w:p w:rsidR="009267E8" w:rsidRPr="00A35F65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Adverse Events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bottom"/>
            <w:hideMark/>
          </w:tcPr>
          <w:p w:rsidR="009267E8" w:rsidRPr="00A35F65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9267E8" w:rsidRPr="00A35F65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9267E8" w:rsidRPr="00A35F65" w:rsidTr="009267E8">
        <w:trPr>
          <w:trHeight w:val="5669"/>
        </w:trPr>
        <w:tc>
          <w:tcPr>
            <w:tcW w:w="1365" w:type="dxa"/>
          </w:tcPr>
          <w:p w:rsidR="009267E8" w:rsidRPr="00A35F65" w:rsidRDefault="009267E8" w:rsidP="00593F76">
            <w:pPr>
              <w:ind w:right="-143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Bressler, 2013</w:t>
            </w:r>
            <w:r w:rsidRPr="00A35F6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126 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MARINA (post-hoc analysis)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640" w:type="dxa"/>
            <w:shd w:val="clear" w:color="auto" w:fill="auto"/>
            <w:hideMark/>
          </w:tcPr>
          <w:p w:rsidR="009267E8" w:rsidRPr="00A35F65" w:rsidRDefault="009267E8" w:rsidP="009267E8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 vs. C (1 year followup)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responding "yes" to NEI VFQ-25 question "are you currently driving at least once in while?": 65.5% vs. 64.3% vs. 52.1% (n/N not reported); change from baseline  -2.6% vs. -3.9% vs. -17.5%; A vs. C p=0.0005; B vs. C p=0.010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reporting driving at baseline and still driving at followup: 87.8% vs. 87.8% vs. 74.0% (n/N not reported); A vs. C p=0.002; B vs. C p=0.002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Mean change from baseline in NEI VFQ-25 driving function subscale (scale 0-100; higher score = better function): -2.1 vs. -0.4 vs. -12.5; A vs. C p=0.0004, mean treatment difference 12.1 (95% CI 7.1 to 17.1); B vs. C p&lt;0.001, mean treatment difference 10.4 (95% CI 5.2 to 15.7)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35F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 vs. C (2 year followup)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responding "yes" to NEI VFQ-25 question "are you currently driving at least once in while?": 60.4% vs. 57.5% vs. 49.2% (n/N not reported); change from baseline  -7.7% vs. -10.7% vs. -20.4%; A vs. C p=0.026; B vs. C p=0.010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reporting driving at baseline and still driving at followup (n/N not reported): 81.3% vs. 78.4% vs. 67.2%; A vs. C p=0.008; B vs. C p=0.090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Mean change from baseline in NEI VFQ-25 driving function subscale: -2.1 vs. -2.8 vs. -17.3; A vs. C p&lt;0.001, mean treatment difference 14.5 (95% CI 8.9 to 20.1); B vs. C p&lt;0.001, mean treatment difference 15.2 (95% CI 9.4 to 21.0)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35F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C (1 year followup; results for group B not reported)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with VA better than 20/40 in one or both eyes at baseline and at followup: 82.7% (91/110) vs. 62.4% (83/133); RR 1.33 (95% CI 1.13 to 1.55)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with VA worse than 20/40 in both eyes at baseline improved to VA better than 20/40 in one or both eyes at followup: 27.9% (36/129) vs 10.6% (11/104); RR 2.64 (95% CI 1.41 to 4.92)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35F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C (2 year followup; results for group B not reported)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with VA better than 20/40 in one or both eyes at baseline and at followup: 77.2% (85/110) vs. 56.4% (75/133); RR 1.37 (95% CI 1.14 to 1.64)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with VA worse than 20/40 in both eyes at baseline improved to VA better than 20/40 in one or both eyes at followup: 31.9% (41/129) vs. 7.7% (8/104); RR 4.13 (95% CI 2.03 to 8.42)</w:t>
            </w:r>
          </w:p>
        </w:tc>
        <w:tc>
          <w:tcPr>
            <w:tcW w:w="1873" w:type="dxa"/>
            <w:shd w:val="clear" w:color="auto" w:fill="auto"/>
            <w:hideMark/>
          </w:tcPr>
          <w:p w:rsidR="009267E8" w:rsidRDefault="009267E8" w:rsidP="009267E8">
            <w:pPr>
              <w:ind w:right="-35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A vs B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br/>
              <w:t>CVA: 3.3% (8/239) vs. 1.3% (3/236); RR 2.63 (95% CI 0.71 to 9.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267E8" w:rsidRPr="00A35F65" w:rsidRDefault="009267E8" w:rsidP="009267E8">
            <w:pPr>
              <w:ind w:right="-3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 vs. 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CVA: 1.3% (3/238) v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A35F65">
              <w:rPr>
                <w:rFonts w:ascii="Arial" w:eastAsia="Times New Roman" w:hAnsi="Arial" w:cs="Arial"/>
                <w:sz w:val="18"/>
                <w:szCs w:val="18"/>
              </w:rPr>
              <w:t xml:space="preserve"> 1.3% (3/326); RR 0.99 (95% CI 0.20 to 4.86)</w:t>
            </w:r>
          </w:p>
        </w:tc>
        <w:tc>
          <w:tcPr>
            <w:tcW w:w="827" w:type="dxa"/>
            <w:shd w:val="clear" w:color="auto" w:fill="auto"/>
            <w:hideMark/>
          </w:tcPr>
          <w:p w:rsidR="009267E8" w:rsidRPr="00A35F65" w:rsidRDefault="009267E8" w:rsidP="00A35F6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1260" w:type="dxa"/>
            <w:shd w:val="clear" w:color="auto" w:fill="auto"/>
            <w:hideMark/>
          </w:tcPr>
          <w:p w:rsidR="009267E8" w:rsidRPr="00A35F65" w:rsidRDefault="009267E8" w:rsidP="009267E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A35F65">
              <w:rPr>
                <w:rFonts w:ascii="Arial" w:eastAsia="Times New Roman" w:hAnsi="Arial" w:cs="Arial"/>
                <w:sz w:val="18"/>
                <w:szCs w:val="18"/>
              </w:rPr>
              <w:t>ANCHOR results outside the scope of this report (ranibizumab vs. verteporfin)</w:t>
            </w:r>
          </w:p>
        </w:tc>
      </w:tr>
    </w:tbl>
    <w:p w:rsidR="00A35F65" w:rsidRPr="00A35F65" w:rsidRDefault="00A35F65" w:rsidP="00A35F65">
      <w:pPr>
        <w:ind w:right="-450"/>
        <w:rPr>
          <w:rFonts w:ascii="Arial" w:hAnsi="Arial" w:cs="Arial"/>
          <w:sz w:val="18"/>
          <w:szCs w:val="18"/>
        </w:rPr>
      </w:pPr>
      <w:r w:rsidRPr="009267E8">
        <w:rPr>
          <w:rFonts w:ascii="Arial" w:hAnsi="Arial" w:cs="Arial"/>
          <w:b/>
          <w:sz w:val="18"/>
          <w:szCs w:val="18"/>
        </w:rPr>
        <w:t xml:space="preserve">Abbreviations: </w:t>
      </w:r>
      <w:r w:rsidRPr="00A35F65">
        <w:rPr>
          <w:rFonts w:ascii="Arial" w:hAnsi="Arial" w:cs="Arial"/>
          <w:sz w:val="18"/>
          <w:szCs w:val="18"/>
        </w:rPr>
        <w:t>AMD = age-related macular degeneration; CI = confidence interval, CNV = choroidal neovascularization; CVA = cerebrovascular accident; MI = myocardial infarction, NEI VFQ-25 = National Eye Institute Visual Function Questionairre 25, RCT = randmized controlled trial, RR = risk ratio, VA = visual acuity.</w:t>
      </w:r>
    </w:p>
    <w:p w:rsidR="009267E8" w:rsidRDefault="00A35F65" w:rsidP="00A95B50">
      <w:pPr>
        <w:ind w:right="-450"/>
        <w:rPr>
          <w:rFonts w:ascii="Arial" w:hAnsi="Arial" w:cs="Arial"/>
          <w:sz w:val="18"/>
          <w:szCs w:val="18"/>
        </w:rPr>
      </w:pPr>
      <w:r w:rsidRPr="009267E8">
        <w:rPr>
          <w:rFonts w:ascii="Arial" w:hAnsi="Arial" w:cs="Arial"/>
          <w:b/>
          <w:sz w:val="18"/>
          <w:szCs w:val="18"/>
        </w:rPr>
        <w:t>Note:</w:t>
      </w:r>
      <w:r w:rsidRPr="00A35F65">
        <w:rPr>
          <w:rFonts w:ascii="Arial" w:hAnsi="Arial" w:cs="Arial"/>
          <w:sz w:val="18"/>
          <w:szCs w:val="18"/>
        </w:rPr>
        <w:t xml:space="preserve"> Prior report studies abstracted in Appendix B.</w:t>
      </w:r>
    </w:p>
    <w:sectPr w:rsidR="009267E8" w:rsidSect="00407404">
      <w:head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A7" w:rsidRDefault="00315FA7">
      <w:r>
        <w:separator/>
      </w:r>
    </w:p>
  </w:endnote>
  <w:endnote w:type="continuationSeparator" w:id="1">
    <w:p w:rsidR="00315FA7" w:rsidRDefault="0031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50" w:rsidRDefault="00A95B50" w:rsidP="00A95B50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="004B6ACA"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="004B6ACA" w:rsidRPr="000876B6">
      <w:rPr>
        <w:rFonts w:ascii="Arial" w:hAnsi="Arial" w:cs="Arial"/>
        <w:sz w:val="16"/>
        <w:szCs w:val="16"/>
      </w:rPr>
      <w:fldChar w:fldCharType="separate"/>
    </w:r>
    <w:r w:rsidR="00F8699D">
      <w:rPr>
        <w:rFonts w:ascii="Arial" w:hAnsi="Arial" w:cs="Arial"/>
        <w:noProof/>
        <w:sz w:val="16"/>
        <w:szCs w:val="16"/>
      </w:rPr>
      <w:t>106</w:t>
    </w:r>
    <w:r w:rsidR="004B6ACA"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A7" w:rsidRDefault="00315FA7">
      <w:r>
        <w:separator/>
      </w:r>
    </w:p>
  </w:footnote>
  <w:footnote w:type="continuationSeparator" w:id="1">
    <w:p w:rsidR="00315FA7" w:rsidRDefault="0031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A35F65" w:rsidRDefault="00F3542A" w:rsidP="00A35F65">
    <w:pPr>
      <w:pStyle w:val="Header"/>
    </w:pPr>
    <w:r w:rsidRPr="00A35F65">
      <w:rPr>
        <w:rFonts w:ascii="Arial" w:hAnsi="Arial" w:cs="Arial"/>
        <w:b/>
        <w:sz w:val="20"/>
        <w:szCs w:val="20"/>
      </w:rPr>
      <w:t xml:space="preserve">Appendix C9. Studies of </w:t>
    </w:r>
    <w:r w:rsidRPr="009267E8">
      <w:rPr>
        <w:rFonts w:ascii="Arial" w:hAnsi="Arial" w:cs="Arial"/>
        <w:b/>
        <w:sz w:val="20"/>
        <w:szCs w:val="20"/>
      </w:rPr>
      <w:t>Vascular Endothelial Growth Factor</w:t>
    </w:r>
    <w:r w:rsidRPr="00A35F65">
      <w:rPr>
        <w:rFonts w:ascii="Arial" w:hAnsi="Arial" w:cs="Arial"/>
        <w:b/>
        <w:sz w:val="20"/>
        <w:szCs w:val="20"/>
      </w:rPr>
      <w:t xml:space="preserve"> Inhibitors for </w:t>
    </w:r>
    <w:r>
      <w:rPr>
        <w:rFonts w:ascii="Arial" w:hAnsi="Arial" w:cs="Arial"/>
        <w:b/>
        <w:sz w:val="20"/>
        <w:szCs w:val="20"/>
      </w:rPr>
      <w:t>Age-Related Macular Degeneration</w:t>
    </w:r>
    <w:r w:rsidRPr="00A35F65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F8699D" w:rsidP="00407404">
    <w:pPr>
      <w:pStyle w:val="Header"/>
    </w:pPr>
    <w:r w:rsidRPr="00A35F65">
      <w:rPr>
        <w:rFonts w:ascii="Arial" w:hAnsi="Arial" w:cs="Arial"/>
        <w:b/>
        <w:sz w:val="20"/>
        <w:szCs w:val="20"/>
      </w:rPr>
      <w:t xml:space="preserve">Appendix C9. Studies of </w:t>
    </w:r>
    <w:r w:rsidRPr="009267E8">
      <w:rPr>
        <w:rFonts w:ascii="Arial" w:hAnsi="Arial" w:cs="Arial"/>
        <w:b/>
        <w:sz w:val="20"/>
        <w:szCs w:val="20"/>
      </w:rPr>
      <w:t>Vascular Endothelial Growth Factor</w:t>
    </w:r>
    <w:r w:rsidRPr="00A35F65">
      <w:rPr>
        <w:rFonts w:ascii="Arial" w:hAnsi="Arial" w:cs="Arial"/>
        <w:b/>
        <w:sz w:val="20"/>
        <w:szCs w:val="20"/>
      </w:rPr>
      <w:t xml:space="preserve"> Inhibitors for </w:t>
    </w:r>
    <w:r>
      <w:rPr>
        <w:rFonts w:ascii="Arial" w:hAnsi="Arial" w:cs="Arial"/>
        <w:b/>
        <w:sz w:val="20"/>
        <w:szCs w:val="20"/>
      </w:rPr>
      <w:t>Age-Related Macular Degeneration</w:t>
    </w:r>
    <w:r w:rsidRPr="00A35F65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56599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15FA7"/>
    <w:rsid w:val="00333B81"/>
    <w:rsid w:val="00375B49"/>
    <w:rsid w:val="00383F7E"/>
    <w:rsid w:val="00385BF0"/>
    <w:rsid w:val="003B60EB"/>
    <w:rsid w:val="00407404"/>
    <w:rsid w:val="00415EA0"/>
    <w:rsid w:val="004B6ACA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95B50"/>
    <w:rsid w:val="00AA6FD8"/>
    <w:rsid w:val="00AA7CDB"/>
    <w:rsid w:val="00AD2D25"/>
    <w:rsid w:val="00AD5FA2"/>
    <w:rsid w:val="00B029C5"/>
    <w:rsid w:val="00B05A05"/>
    <w:rsid w:val="00B16198"/>
    <w:rsid w:val="00B1680D"/>
    <w:rsid w:val="00B41B82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8699D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9</cp:revision>
  <dcterms:created xsi:type="dcterms:W3CDTF">2016-02-19T14:28:00Z</dcterms:created>
  <dcterms:modified xsi:type="dcterms:W3CDTF">2016-03-10T04:56:00Z</dcterms:modified>
</cp:coreProperties>
</file>