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1157"/>
        <w:gridCol w:w="1347"/>
        <w:gridCol w:w="1800"/>
        <w:gridCol w:w="1980"/>
        <w:gridCol w:w="1440"/>
        <w:gridCol w:w="3240"/>
        <w:gridCol w:w="1105"/>
      </w:tblGrid>
      <w:tr w:rsidR="002D594F" w:rsidRPr="00F169DD" w:rsidTr="002D594F">
        <w:trPr>
          <w:trHeight w:val="64"/>
          <w:tblHeader/>
        </w:trPr>
        <w:tc>
          <w:tcPr>
            <w:tcW w:w="1291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esign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ind w:left="-108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Country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Number of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enters and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etting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Inclusion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riteria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ind w:left="-137" w:right="-1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Number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116409"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Randomized, Analyzed</w:t>
            </w:r>
            <w:r w:rsidR="00116409"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 (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articipants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bottom"/>
            <w:hideMark/>
          </w:tcPr>
          <w:p w:rsidR="00F169DD" w:rsidRPr="00F169DD" w:rsidRDefault="00F169DD" w:rsidP="0011640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 </w:t>
            </w:r>
            <w:r w:rsidR="00116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easures</w:t>
            </w:r>
          </w:p>
        </w:tc>
      </w:tr>
      <w:tr w:rsidR="00F169DD" w:rsidRPr="00F169DD" w:rsidTr="00116409">
        <w:trPr>
          <w:trHeight w:val="64"/>
        </w:trPr>
        <w:tc>
          <w:tcPr>
            <w:tcW w:w="13360" w:type="dxa"/>
            <w:gridSpan w:val="8"/>
            <w:shd w:val="clear" w:color="auto" w:fill="F2F2F2" w:themeFill="background1" w:themeFillShade="F2"/>
            <w:hideMark/>
          </w:tcPr>
          <w:p w:rsidR="00F169DD" w:rsidRPr="00F169DD" w:rsidRDefault="00F169DD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Refractive error</w:t>
            </w:r>
          </w:p>
        </w:tc>
      </w:tr>
      <w:tr w:rsidR="002D594F" w:rsidRPr="00F169DD" w:rsidTr="002D594F">
        <w:trPr>
          <w:trHeight w:val="1718"/>
        </w:trPr>
        <w:tc>
          <w:tcPr>
            <w:tcW w:w="1291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Elliott, 2009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Also cataract</w:t>
            </w:r>
            <w:r w:rsidR="00116409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1157" w:type="dxa"/>
            <w:shd w:val="clear" w:color="auto" w:fill="auto"/>
            <w:hideMark/>
          </w:tcPr>
          <w:p w:rsidR="00F169DD" w:rsidRPr="00F169DD" w:rsidRDefault="00F169DD" w:rsidP="00116409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347" w:type="dxa"/>
            <w:shd w:val="clear" w:color="auto" w:fill="auto"/>
            <w:hideMark/>
          </w:tcPr>
          <w:p w:rsidR="00F169DD" w:rsidRPr="00F169DD" w:rsidRDefault="00F169DD" w:rsidP="00116409">
            <w:pPr>
              <w:ind w:right="-6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17 nursing homes</w:t>
            </w:r>
          </w:p>
        </w:tc>
        <w:tc>
          <w:tcPr>
            <w:tcW w:w="1800" w:type="dxa"/>
            <w:shd w:val="clear" w:color="auto" w:fill="auto"/>
            <w:hideMark/>
          </w:tcPr>
          <w:p w:rsidR="00F169DD" w:rsidRPr="00F169DD" w:rsidRDefault="00F169DD" w:rsidP="00116409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Age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55 years, with a MMSE score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80" w:type="dxa"/>
            <w:shd w:val="clear" w:color="auto" w:fill="auto"/>
            <w:hideMark/>
          </w:tcPr>
          <w:p w:rsidR="00F169DD" w:rsidRPr="00F169DD" w:rsidRDefault="00F169DD" w:rsidP="00116409">
            <w:pPr>
              <w:ind w:right="-130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Screened: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Eligible: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Enrolled: 187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Analyzed: 187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Attrition: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Loss to followup: NR</w:t>
            </w:r>
          </w:p>
        </w:tc>
        <w:tc>
          <w:tcPr>
            <w:tcW w:w="1440" w:type="dxa"/>
            <w:shd w:val="clear" w:color="auto" w:fill="auto"/>
            <w:hideMark/>
          </w:tcPr>
          <w:p w:rsidR="00F169DD" w:rsidRPr="00F169DD" w:rsidRDefault="00F169DD" w:rsidP="00116409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A. Immediate treatment of refractive error with new bifocal glasses (n=78)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B. Delayed treatment of refractive error by 2 months (n=64)</w:t>
            </w:r>
          </w:p>
        </w:tc>
        <w:tc>
          <w:tcPr>
            <w:tcW w:w="3240" w:type="dxa"/>
            <w:shd w:val="clear" w:color="auto" w:fill="auto"/>
            <w:hideMark/>
          </w:tcPr>
          <w:p w:rsidR="00F169DD" w:rsidRPr="00F169DD" w:rsidRDefault="00F169DD" w:rsidP="00116409">
            <w:pPr>
              <w:ind w:right="-6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Mean age: 79 vs. 78 years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Female sex: 77% vs. 75%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Race: 62% </w:t>
            </w:r>
            <w:r w:rsidR="00116409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hite, 37% </w:t>
            </w:r>
            <w:r w:rsidR="00116409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lack, 1% Hispanic vs. 75% </w:t>
            </w:r>
            <w:r w:rsidR="00116409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hite, 25% </w:t>
            </w:r>
            <w:r w:rsidR="00116409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lack, 0% Hispanic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Comorbidities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Glaucoma: 1.3% vs. 6.5%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AMD: 16.7% vs. 14.5%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Cataract: 68.0% vs. 60.3%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Diabetic retinopathy: 3.9% vs. 9.7%</w:t>
            </w:r>
          </w:p>
        </w:tc>
        <w:tc>
          <w:tcPr>
            <w:tcW w:w="1105" w:type="dxa"/>
            <w:shd w:val="clear" w:color="auto" w:fill="auto"/>
            <w:hideMark/>
          </w:tcPr>
          <w:p w:rsidR="00F169DD" w:rsidRPr="00F169DD" w:rsidRDefault="00F169DD" w:rsidP="00116409">
            <w:pPr>
              <w:ind w:right="-83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Physical function, cognitive status, fear of falling</w:t>
            </w:r>
          </w:p>
        </w:tc>
      </w:tr>
      <w:tr w:rsidR="00116409" w:rsidRPr="00F169DD" w:rsidTr="00116409">
        <w:trPr>
          <w:trHeight w:val="64"/>
        </w:trPr>
        <w:tc>
          <w:tcPr>
            <w:tcW w:w="13360" w:type="dxa"/>
            <w:gridSpan w:val="8"/>
            <w:shd w:val="clear" w:color="auto" w:fill="F2F2F2" w:themeFill="background1" w:themeFillShade="F2"/>
            <w:hideMark/>
          </w:tcPr>
          <w:p w:rsidR="00116409" w:rsidRPr="00F169DD" w:rsidRDefault="00116409" w:rsidP="0011640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Cataract</w:t>
            </w:r>
            <w:r w:rsidRPr="0011640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D594F" w:rsidRPr="00F169DD" w:rsidTr="002D594F">
        <w:trPr>
          <w:trHeight w:val="64"/>
        </w:trPr>
        <w:tc>
          <w:tcPr>
            <w:tcW w:w="1291" w:type="dxa"/>
            <w:shd w:val="clear" w:color="auto" w:fill="auto"/>
            <w:hideMark/>
          </w:tcPr>
          <w:p w:rsidR="00F169DD" w:rsidRPr="00F169DD" w:rsidRDefault="00F169DD" w:rsidP="002D594F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Elliott, 2009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See also Owsley, 2007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157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5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347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17 nursing homes</w:t>
            </w:r>
          </w:p>
        </w:tc>
        <w:tc>
          <w:tcPr>
            <w:tcW w:w="180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Age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55 years, with a MMSE score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13; cataract patients had to have cataract in one or both eyes that caused functional problems</w:t>
            </w:r>
          </w:p>
        </w:tc>
        <w:tc>
          <w:tcPr>
            <w:tcW w:w="198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Screened: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Eligible: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Enrolled: 187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Analyzed: 187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Attrition: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Loss to followup: NR</w:t>
            </w:r>
          </w:p>
        </w:tc>
        <w:tc>
          <w:tcPr>
            <w:tcW w:w="144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A. Cataract surgery (n=30)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B. No cataract treatment (n=15)</w:t>
            </w:r>
          </w:p>
        </w:tc>
        <w:tc>
          <w:tcPr>
            <w:tcW w:w="324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Mean age: 81 vs. 87 years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Female sex: 73% vs. 87%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Race: 77%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hite, 23%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lack vs. 80%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hite, 20%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lack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Visual acuity: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Comorbidities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Glaucoma: 0% vs. 6.7%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AMD: 10% vs. 20%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Cataract: 100% vs. 100%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Diabetic retinopathy: 0% vs. 0%</w:t>
            </w:r>
          </w:p>
        </w:tc>
        <w:tc>
          <w:tcPr>
            <w:tcW w:w="1105" w:type="dxa"/>
            <w:shd w:val="clear" w:color="auto" w:fill="auto"/>
            <w:hideMark/>
          </w:tcPr>
          <w:p w:rsidR="00F169DD" w:rsidRPr="00F169DD" w:rsidRDefault="00F169DD" w:rsidP="002D594F">
            <w:pPr>
              <w:ind w:right="-83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Physical function, cognitive status, fear of falling</w:t>
            </w:r>
          </w:p>
        </w:tc>
      </w:tr>
      <w:tr w:rsidR="002D594F" w:rsidRPr="00F169DD" w:rsidTr="002D594F">
        <w:trPr>
          <w:trHeight w:val="1970"/>
        </w:trPr>
        <w:tc>
          <w:tcPr>
            <w:tcW w:w="1291" w:type="dxa"/>
            <w:shd w:val="clear" w:color="auto" w:fill="auto"/>
            <w:hideMark/>
          </w:tcPr>
          <w:p w:rsidR="002D594F" w:rsidRDefault="00F169DD" w:rsidP="00116409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Hall, 2005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95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Impact of Cataract on Mobility Study </w:t>
            </w:r>
          </w:p>
          <w:p w:rsidR="00F169DD" w:rsidRPr="00F169DD" w:rsidRDefault="00F169DD" w:rsidP="006B5569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(also included in prior </w:t>
            </w:r>
            <w:r w:rsidR="006B5569" w:rsidRPr="00F169DD">
              <w:rPr>
                <w:rFonts w:ascii="Arial" w:eastAsia="Times New Roman" w:hAnsi="Arial" w:cs="Arial"/>
                <w:sz w:val="18"/>
                <w:szCs w:val="18"/>
              </w:rPr>
              <w:t>re</w:t>
            </w:r>
            <w:r w:rsidR="006B5569">
              <w:rPr>
                <w:rFonts w:ascii="Arial" w:eastAsia="Times New Roman" w:hAnsi="Arial" w:cs="Arial"/>
                <w:sz w:val="18"/>
                <w:szCs w:val="18"/>
              </w:rPr>
              <w:t>view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57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5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Prospective cohort</w:t>
            </w:r>
          </w:p>
        </w:tc>
        <w:tc>
          <w:tcPr>
            <w:tcW w:w="1347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10 ophthalmology practice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 and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2 optometry clinics</w:t>
            </w:r>
          </w:p>
        </w:tc>
        <w:tc>
          <w:tcPr>
            <w:tcW w:w="180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Age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&gt;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55 years with cataract in one or both eyes (for those with cataract), visual acuity 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&lt;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20/40, no previous cataract surgery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Exclude: amblyopia, dementia, Parkinson disease, or psychosis</w:t>
            </w:r>
          </w:p>
        </w:tc>
        <w:tc>
          <w:tcPr>
            <w:tcW w:w="198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Screened: NR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Eligible: NR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Enrolled: 301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Analyzed: 301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Attrition: NR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Loss to followup: NR</w:t>
            </w:r>
          </w:p>
        </w:tc>
        <w:tc>
          <w:tcPr>
            <w:tcW w:w="144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A. Cataract, treated with surgery (n=122)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B. Cataract, no treatment (n=87)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C. No cataract (n=92)</w:t>
            </w:r>
          </w:p>
        </w:tc>
        <w:tc>
          <w:tcPr>
            <w:tcW w:w="3240" w:type="dxa"/>
            <w:shd w:val="clear" w:color="auto" w:fill="auto"/>
            <w:hideMark/>
          </w:tcPr>
          <w:p w:rsidR="00F169DD" w:rsidRPr="00F169DD" w:rsidRDefault="00F169DD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 vs. C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age: 70.9 vs. 71.1 vs. 66.8 years; p&lt;0.001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Female sex: 58% vs. 40% vs. 51%; p=0.04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Race: 90.2% vs. 81.6% vs. 82.6% White (others NR)</w:t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  <w:t>Mean visual acuity, better eye: 0.28 vs. 0.16 vs. -0.02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visual acuity, worse eye: 0.55 vs. 0.35 vs. 0.09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2D594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CES depression scale score: 6.9 vs. 8.2 vs. 5.4; p=0.03</w:t>
            </w:r>
          </w:p>
        </w:tc>
        <w:tc>
          <w:tcPr>
            <w:tcW w:w="1105" w:type="dxa"/>
            <w:shd w:val="clear" w:color="auto" w:fill="auto"/>
            <w:hideMark/>
          </w:tcPr>
          <w:p w:rsidR="00F169DD" w:rsidRPr="00F169DD" w:rsidRDefault="00F169DD" w:rsidP="002D594F">
            <w:pPr>
              <w:ind w:right="-83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Cognitive function, visual acuity</w:t>
            </w:r>
          </w:p>
        </w:tc>
      </w:tr>
    </w:tbl>
    <w:p w:rsidR="00AA6FD8" w:rsidRDefault="00AA6FD8" w:rsidP="00F169DD">
      <w:pPr>
        <w:ind w:right="-450"/>
        <w:rPr>
          <w:rFonts w:ascii="Arial" w:hAnsi="Arial" w:cs="Arial"/>
          <w:sz w:val="18"/>
          <w:szCs w:val="18"/>
        </w:rPr>
      </w:pP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080"/>
        <w:gridCol w:w="7110"/>
        <w:gridCol w:w="810"/>
        <w:gridCol w:w="2070"/>
        <w:gridCol w:w="900"/>
      </w:tblGrid>
      <w:tr w:rsidR="002D594F" w:rsidRPr="00F169DD" w:rsidTr="0060348E">
        <w:trPr>
          <w:trHeight w:val="64"/>
        </w:trPr>
        <w:tc>
          <w:tcPr>
            <w:tcW w:w="1365" w:type="dxa"/>
            <w:shd w:val="clear" w:color="auto" w:fill="D9D9D9" w:themeFill="background1" w:themeFillShade="D9"/>
            <w:vAlign w:val="bottom"/>
          </w:tcPr>
          <w:p w:rsidR="002D594F" w:rsidRPr="00F169DD" w:rsidRDefault="002D594F" w:rsidP="002D594F">
            <w:pPr>
              <w:keepNext/>
              <w:ind w:right="-13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Author, Year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2D594F" w:rsidRPr="00F169DD" w:rsidRDefault="002D594F" w:rsidP="002D594F">
            <w:pPr>
              <w:keepNext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Duration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ollowup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bottom"/>
            <w:hideMark/>
          </w:tcPr>
          <w:p w:rsidR="002D594F" w:rsidRPr="00F169DD" w:rsidRDefault="002D594F" w:rsidP="002D594F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2D594F" w:rsidRPr="00F169DD" w:rsidRDefault="002D594F" w:rsidP="0060348E">
            <w:pPr>
              <w:keepNext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Adverse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vents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:rsidR="002D594F" w:rsidRPr="00F169DD" w:rsidRDefault="002D594F" w:rsidP="002D594F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2D594F" w:rsidRPr="00F169DD" w:rsidRDefault="002D594F" w:rsidP="002D594F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</w:p>
        </w:tc>
      </w:tr>
      <w:tr w:rsidR="002D594F" w:rsidRPr="00F169DD" w:rsidTr="002D594F">
        <w:trPr>
          <w:trHeight w:val="80"/>
        </w:trPr>
        <w:tc>
          <w:tcPr>
            <w:tcW w:w="13335" w:type="dxa"/>
            <w:gridSpan w:val="6"/>
            <w:shd w:val="clear" w:color="auto" w:fill="F2F2F2" w:themeFill="background1" w:themeFillShade="F2"/>
          </w:tcPr>
          <w:p w:rsidR="002D594F" w:rsidRPr="00F169DD" w:rsidRDefault="002D594F" w:rsidP="002D594F">
            <w:pPr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Refractive error</w:t>
            </w:r>
          </w:p>
        </w:tc>
      </w:tr>
      <w:tr w:rsidR="002D594F" w:rsidRPr="00F169DD" w:rsidTr="0060348E">
        <w:trPr>
          <w:trHeight w:val="3041"/>
        </w:trPr>
        <w:tc>
          <w:tcPr>
            <w:tcW w:w="1365" w:type="dxa"/>
          </w:tcPr>
          <w:p w:rsidR="002D594F" w:rsidRPr="00F169DD" w:rsidRDefault="002D594F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Elliott, 2009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Also cataract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1080" w:type="dxa"/>
            <w:shd w:val="clear" w:color="auto" w:fill="auto"/>
            <w:hideMark/>
          </w:tcPr>
          <w:p w:rsidR="002D594F" w:rsidRPr="00F169DD" w:rsidRDefault="002D594F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2 months</w:t>
            </w:r>
          </w:p>
        </w:tc>
        <w:tc>
          <w:tcPr>
            <w:tcW w:w="7110" w:type="dxa"/>
            <w:shd w:val="clear" w:color="auto" w:fill="auto"/>
            <w:hideMark/>
          </w:tcPr>
          <w:p w:rsidR="002D594F" w:rsidRPr="00F169DD" w:rsidRDefault="002D594F" w:rsidP="0060348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Functional Independence Measure*, baseline-followup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Assessed by certified nursing assistant: 47.9-47.5 vs. 53.5-51.8; between-group p=0.16-0.37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Assessed by patient: 50.8-49.1 vs. 57.4-55.2; between-group p=0.08-0.75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Survey of Activities**, baseline-followup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Activity: 8.6-8.6 vs. 9.1-8.9; between-group p=0.30-0.34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Restriction: 8.1-8.4 vs. 7.5-7.5; between-group p=0.29-0.32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Mini-Mental State Examination***, baseline-followup: 20.2-19.4 vs. 21.7-20.5; between-group p=0.06-0.72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 Range 0-91; higher scores indicate greater independence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** Activity subscale range 0-14, higher scores indicate greater activity; restriction subscale range 0-14, higher score indicates more activities performed less often than 5 years earlier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*** Score &lt;24 indicates cognitive impairment</w:t>
            </w:r>
          </w:p>
        </w:tc>
        <w:tc>
          <w:tcPr>
            <w:tcW w:w="810" w:type="dxa"/>
            <w:shd w:val="clear" w:color="auto" w:fill="auto"/>
            <w:hideMark/>
          </w:tcPr>
          <w:p w:rsidR="002D594F" w:rsidRPr="00F169DD" w:rsidRDefault="002D594F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2D594F" w:rsidRPr="00F169DD" w:rsidRDefault="002D594F" w:rsidP="0060348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Retirement Research Foundation, EyeSight Foundation of Alabama, and National Institutes of Health</w:t>
            </w:r>
          </w:p>
        </w:tc>
        <w:tc>
          <w:tcPr>
            <w:tcW w:w="900" w:type="dxa"/>
            <w:shd w:val="clear" w:color="auto" w:fill="auto"/>
            <w:hideMark/>
          </w:tcPr>
          <w:p w:rsidR="002D594F" w:rsidRPr="00F169DD" w:rsidRDefault="002D594F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2D594F" w:rsidRPr="00F169DD" w:rsidTr="002D594F">
        <w:trPr>
          <w:trHeight w:val="64"/>
        </w:trPr>
        <w:tc>
          <w:tcPr>
            <w:tcW w:w="13335" w:type="dxa"/>
            <w:gridSpan w:val="6"/>
            <w:shd w:val="clear" w:color="auto" w:fill="F2F2F2" w:themeFill="background1" w:themeFillShade="F2"/>
          </w:tcPr>
          <w:p w:rsidR="002D594F" w:rsidRPr="00F169DD" w:rsidRDefault="002D594F" w:rsidP="002D594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Cataract</w:t>
            </w:r>
            <w:r w:rsidRPr="00116409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s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0348E" w:rsidRPr="00F169DD" w:rsidTr="0060348E">
        <w:trPr>
          <w:trHeight w:val="3851"/>
        </w:trPr>
        <w:tc>
          <w:tcPr>
            <w:tcW w:w="1365" w:type="dxa"/>
          </w:tcPr>
          <w:p w:rsidR="0060348E" w:rsidRPr="00F169DD" w:rsidRDefault="0060348E" w:rsidP="00383F7E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Elliott, 2009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86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See also Owsley, 2007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1080" w:type="dxa"/>
            <w:shd w:val="clear" w:color="auto" w:fill="auto"/>
            <w:hideMark/>
          </w:tcPr>
          <w:p w:rsidR="0060348E" w:rsidRPr="00F169DD" w:rsidRDefault="00D20CB3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0348E" w:rsidRPr="00F169DD">
              <w:rPr>
                <w:rFonts w:ascii="Arial" w:eastAsia="Times New Roman" w:hAnsi="Arial" w:cs="Arial"/>
                <w:sz w:val="18"/>
                <w:szCs w:val="18"/>
              </w:rPr>
              <w:t>months</w:t>
            </w:r>
          </w:p>
        </w:tc>
        <w:tc>
          <w:tcPr>
            <w:tcW w:w="7110" w:type="dxa"/>
            <w:shd w:val="clear" w:color="auto" w:fill="auto"/>
            <w:hideMark/>
          </w:tcPr>
          <w:p w:rsidR="0060348E" w:rsidRPr="00F169DD" w:rsidRDefault="0060348E" w:rsidP="0060348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Functional Independence Measure*, baseline-followup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Assessed by certified nursing assistant: 49.9-50.9 vs. 47.7-41.5; between-group p=0.78-0.07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Assessed by patient: 48.5-50.5 vs. 51.5-51.9; between-group p=0.67-0.39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Survey of Activities**, baseline-followup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Activity: 8.4-8.2 vs. 8.7-9.0; between-group p=0.37-0.31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Restriction: 7.8-6.5 vs. 7.0-6.4; between-group p=0.48-0.79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Mini-Mental State Examination***, baseline-followup: 21.3-20.4 vs. 19.7-17.0; between-group p=0.32-0.27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NHVQoL, baseline-followup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General vision: 57.2-79.3 vs. 65.7-67.7; p=0.005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Reading: 69.4-93.6 vs. 78.3-78.3; p=0.001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Social interaction: 86.4-98.1 vs. 94.2-91.2; p=0.033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VF-14, baseline-followup: 68.7-93.6 vs. 80.5-82.0; p=0.004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 Range 0-91; higher scores indicate greater independence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** Activity subscale range 0-14, higher scores indicate greater activity; restriction subscale range 0-14, higher score indicates more activities performed less often than 5 years earlier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/>
              <w:t>*** Score &lt;24 indicates cognitive impairment</w:t>
            </w:r>
          </w:p>
        </w:tc>
        <w:tc>
          <w:tcPr>
            <w:tcW w:w="810" w:type="dxa"/>
            <w:shd w:val="clear" w:color="auto" w:fill="auto"/>
            <w:hideMark/>
          </w:tcPr>
          <w:p w:rsidR="0060348E" w:rsidRPr="00F169DD" w:rsidRDefault="0060348E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60348E" w:rsidRPr="00F169DD" w:rsidRDefault="0060348E" w:rsidP="0060348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Retirement Research Foundation, EyeSight Foundation of Alabama, and National Institutes of Health</w:t>
            </w:r>
          </w:p>
        </w:tc>
        <w:tc>
          <w:tcPr>
            <w:tcW w:w="900" w:type="dxa"/>
            <w:shd w:val="clear" w:color="auto" w:fill="auto"/>
            <w:hideMark/>
          </w:tcPr>
          <w:p w:rsidR="0060348E" w:rsidRPr="00F169DD" w:rsidRDefault="0060348E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60348E" w:rsidRPr="00F169DD" w:rsidTr="0060348E">
        <w:trPr>
          <w:trHeight w:val="80"/>
        </w:trPr>
        <w:tc>
          <w:tcPr>
            <w:tcW w:w="1365" w:type="dxa"/>
          </w:tcPr>
          <w:p w:rsidR="0060348E" w:rsidRDefault="0060348E" w:rsidP="00383F7E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Hall, 2005</w:t>
            </w:r>
            <w:r w:rsidRPr="00F169D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95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Impact of Cataract on Mobility Study </w:t>
            </w:r>
          </w:p>
          <w:p w:rsidR="0060348E" w:rsidRPr="00F169DD" w:rsidRDefault="0060348E" w:rsidP="006B5569">
            <w:pPr>
              <w:ind w:right="-92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 xml:space="preserve">(also included in prior </w:t>
            </w:r>
            <w:r w:rsidR="006B5569" w:rsidRPr="00F169DD">
              <w:rPr>
                <w:rFonts w:ascii="Arial" w:eastAsia="Times New Roman" w:hAnsi="Arial" w:cs="Arial"/>
                <w:sz w:val="18"/>
                <w:szCs w:val="18"/>
              </w:rPr>
              <w:t>re</w:t>
            </w:r>
            <w:r w:rsidR="006B5569">
              <w:rPr>
                <w:rFonts w:ascii="Arial" w:eastAsia="Times New Roman" w:hAnsi="Arial" w:cs="Arial"/>
                <w:sz w:val="18"/>
                <w:szCs w:val="18"/>
              </w:rPr>
              <w:t>view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hideMark/>
          </w:tcPr>
          <w:p w:rsidR="0060348E" w:rsidRPr="00F169DD" w:rsidRDefault="0060348E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2 years</w:t>
            </w:r>
            <w:r w:rsidR="00D20CB3">
              <w:rPr>
                <w:rFonts w:ascii="Arial" w:eastAsia="Times New Roman" w:hAnsi="Arial" w:cs="Arial"/>
                <w:sz w:val="18"/>
                <w:szCs w:val="18"/>
              </w:rPr>
              <w:t xml:space="preserve"> (cognitive function assessed at 1 year) </w:t>
            </w:r>
          </w:p>
        </w:tc>
        <w:tc>
          <w:tcPr>
            <w:tcW w:w="7110" w:type="dxa"/>
            <w:shd w:val="clear" w:color="auto" w:fill="auto"/>
            <w:hideMark/>
          </w:tcPr>
          <w:p w:rsidR="0060348E" w:rsidRPr="00F169DD" w:rsidRDefault="0060348E" w:rsidP="0060348E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A vs. B vs. C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visual acuity, better eye: 0.09 vs. 0.17 vs. -0.01; between-group p&lt;0.001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visual acuity, worse eye: 0.28 vs. 0.38 vs. 0.12; between-group p&lt;0.001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Change in visual acuity significant only in surgery group (p=0.003 in better eye and p=0.03 in worse eye)</w:t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Mean CES depression scale score: 6.0 vs. 8.7 vs. 4.5; between-group p=0.001</w:t>
            </w:r>
          </w:p>
        </w:tc>
        <w:tc>
          <w:tcPr>
            <w:tcW w:w="810" w:type="dxa"/>
            <w:shd w:val="clear" w:color="auto" w:fill="auto"/>
            <w:hideMark/>
          </w:tcPr>
          <w:p w:rsidR="0060348E" w:rsidRPr="00F169DD" w:rsidRDefault="0060348E" w:rsidP="00F169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2070" w:type="dxa"/>
            <w:shd w:val="clear" w:color="auto" w:fill="auto"/>
            <w:hideMark/>
          </w:tcPr>
          <w:p w:rsidR="0060348E" w:rsidRPr="00F169DD" w:rsidRDefault="0060348E" w:rsidP="002D594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National Institutes of Health, Research to Prevent Blindness, and Eyesight Foundation</w:t>
            </w:r>
          </w:p>
        </w:tc>
        <w:tc>
          <w:tcPr>
            <w:tcW w:w="900" w:type="dxa"/>
            <w:shd w:val="clear" w:color="auto" w:fill="auto"/>
            <w:hideMark/>
          </w:tcPr>
          <w:p w:rsidR="0060348E" w:rsidRPr="00F169DD" w:rsidRDefault="0060348E" w:rsidP="00F169D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169DD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</w:tbl>
    <w:p w:rsidR="009267E8" w:rsidRDefault="00F169DD" w:rsidP="00A35F65">
      <w:pPr>
        <w:ind w:right="-450"/>
        <w:rPr>
          <w:rFonts w:ascii="Arial" w:hAnsi="Arial" w:cs="Arial"/>
          <w:sz w:val="18"/>
          <w:szCs w:val="18"/>
        </w:rPr>
      </w:pPr>
      <w:r w:rsidRPr="00F169DD">
        <w:rPr>
          <w:rFonts w:ascii="Arial" w:hAnsi="Arial" w:cs="Arial"/>
          <w:b/>
          <w:sz w:val="18"/>
          <w:szCs w:val="18"/>
        </w:rPr>
        <w:t>Abbreviations:</w:t>
      </w:r>
      <w:r w:rsidRPr="00F169DD">
        <w:rPr>
          <w:rFonts w:ascii="Arial" w:hAnsi="Arial" w:cs="Arial"/>
          <w:sz w:val="18"/>
          <w:szCs w:val="18"/>
        </w:rPr>
        <w:t xml:space="preserve"> AMD = age-related macular degeneration, CES = Center for Epidmiologic Studies, MMSE = Mini-Mental State Examination, NHVQoL = Nursing Home Vision-Targeted Health-Related Quality of Life Questionairre, NR = not reported, VF-14 = Vision Function (14 Questions).</w:t>
      </w:r>
    </w:p>
    <w:sectPr w:rsidR="009267E8" w:rsidSect="00B827E9">
      <w:headerReference w:type="default" r:id="rId8"/>
      <w:footerReference w:type="default" r:id="rId9"/>
      <w:pgSz w:w="15840" w:h="12240" w:orient="landscape"/>
      <w:pgMar w:top="1170" w:right="1440" w:bottom="1170" w:left="1440" w:header="720" w:footer="720" w:gutter="0"/>
      <w:pgNumType w:start="9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AE" w:rsidRDefault="00676EAE">
      <w:r>
        <w:separator/>
      </w:r>
    </w:p>
  </w:endnote>
  <w:endnote w:type="continuationSeparator" w:id="1">
    <w:p w:rsidR="00676EAE" w:rsidRDefault="00676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75" w:rsidRDefault="00DE1B75" w:rsidP="00DE1B75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="00135096"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="00135096" w:rsidRPr="000876B6">
      <w:rPr>
        <w:rFonts w:ascii="Arial" w:hAnsi="Arial" w:cs="Arial"/>
        <w:sz w:val="16"/>
        <w:szCs w:val="16"/>
      </w:rPr>
      <w:fldChar w:fldCharType="separate"/>
    </w:r>
    <w:r w:rsidR="00B827E9">
      <w:rPr>
        <w:rFonts w:ascii="Arial" w:hAnsi="Arial" w:cs="Arial"/>
        <w:noProof/>
        <w:sz w:val="16"/>
        <w:szCs w:val="16"/>
      </w:rPr>
      <w:t>95</w:t>
    </w:r>
    <w:r w:rsidR="00135096"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AE" w:rsidRDefault="00676EAE">
      <w:r>
        <w:separator/>
      </w:r>
    </w:p>
  </w:footnote>
  <w:footnote w:type="continuationSeparator" w:id="1">
    <w:p w:rsidR="00676EAE" w:rsidRDefault="00676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DE1B75" w:rsidP="00407404">
    <w:pPr>
      <w:pStyle w:val="Header"/>
    </w:pPr>
    <w:r w:rsidRPr="00F169DD">
      <w:rPr>
        <w:rFonts w:ascii="Arial" w:hAnsi="Arial" w:cs="Arial"/>
        <w:b/>
        <w:sz w:val="20"/>
        <w:szCs w:val="20"/>
      </w:rPr>
      <w:t>Appendix C3. Studies of Treatment of Uncorrected Refractive Error or Cataract</w:t>
    </w:r>
    <w:r>
      <w:rPr>
        <w:rFonts w:ascii="Arial" w:hAnsi="Arial" w:cs="Arial"/>
        <w:b/>
        <w:sz w:val="20"/>
        <w:szCs w:val="20"/>
      </w:rPr>
      <w:t>s</w:t>
    </w:r>
    <w:r w:rsidRPr="00F169DD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35096"/>
    <w:rsid w:val="001610C4"/>
    <w:rsid w:val="001766EE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76EA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D64F8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827E9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E1B75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9</cp:revision>
  <dcterms:created xsi:type="dcterms:W3CDTF">2016-02-19T14:28:00Z</dcterms:created>
  <dcterms:modified xsi:type="dcterms:W3CDTF">2016-03-10T05:16:00Z</dcterms:modified>
</cp:coreProperties>
</file>