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350"/>
        <w:gridCol w:w="2250"/>
        <w:gridCol w:w="1710"/>
        <w:gridCol w:w="1350"/>
        <w:gridCol w:w="3690"/>
        <w:gridCol w:w="1440"/>
        <w:gridCol w:w="810"/>
      </w:tblGrid>
      <w:tr w:rsidR="005E04B8" w:rsidRPr="005E04B8" w:rsidTr="00F32BE5">
        <w:trPr>
          <w:trHeight w:val="64"/>
        </w:trPr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5E04B8" w:rsidRPr="005E04B8" w:rsidRDefault="005E04B8" w:rsidP="005E04B8">
            <w:pPr>
              <w:ind w:right="-19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5E04B8" w:rsidRPr="005E04B8" w:rsidRDefault="005E04B8" w:rsidP="005E04B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  <w:hideMark/>
          </w:tcPr>
          <w:p w:rsidR="005E04B8" w:rsidRPr="005E04B8" w:rsidRDefault="005E04B8" w:rsidP="005E04B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Literature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earches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5E04B8" w:rsidRPr="005E04B8" w:rsidRDefault="005E04B8" w:rsidP="005E04B8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Patients/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rials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5E04B8" w:rsidRPr="005E04B8" w:rsidRDefault="005E04B8" w:rsidP="005E04B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Interventions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bottom"/>
            <w:hideMark/>
          </w:tcPr>
          <w:p w:rsidR="005E04B8" w:rsidRPr="005E04B8" w:rsidRDefault="005E04B8" w:rsidP="005E04B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bottom"/>
            <w:hideMark/>
          </w:tcPr>
          <w:p w:rsidR="005E04B8" w:rsidRPr="005E04B8" w:rsidRDefault="005E04B8" w:rsidP="005E04B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Conclusion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5E04B8" w:rsidRPr="005E04B8" w:rsidRDefault="005E04B8" w:rsidP="005E04B8">
            <w:pPr>
              <w:ind w:left="-107" w:right="-9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F32BE5" w:rsidRPr="005E04B8" w:rsidTr="00F32BE5">
        <w:trPr>
          <w:trHeight w:val="5354"/>
        </w:trPr>
        <w:tc>
          <w:tcPr>
            <w:tcW w:w="1170" w:type="dxa"/>
            <w:shd w:val="clear" w:color="auto" w:fill="auto"/>
            <w:hideMark/>
          </w:tcPr>
          <w:p w:rsidR="005E04B8" w:rsidRPr="005E04B8" w:rsidRDefault="005E04B8" w:rsidP="005E04B8">
            <w:pPr>
              <w:ind w:right="-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Murray, 2005</w:t>
            </w: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350" w:type="dxa"/>
            <w:shd w:val="clear" w:color="auto" w:fill="auto"/>
            <w:hideMark/>
          </w:tcPr>
          <w:p w:rsidR="005E04B8" w:rsidRPr="005E04B8" w:rsidRDefault="005E04B8" w:rsidP="005E04B8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systematically review the evidence for safety and efficacy of PRK, LASEK</w:t>
            </w:r>
            <w:r w:rsid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LASIK for the correction of myopia, hyperopia</w:t>
            </w:r>
            <w:r w:rsid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astigmatism</w:t>
            </w:r>
          </w:p>
        </w:tc>
        <w:tc>
          <w:tcPr>
            <w:tcW w:w="2250" w:type="dxa"/>
            <w:shd w:val="clear" w:color="auto" w:fill="auto"/>
            <w:hideMark/>
          </w:tcPr>
          <w:p w:rsidR="005E04B8" w:rsidRPr="005E04B8" w:rsidRDefault="005E04B8" w:rsidP="005E04B8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MEDLINE, MEDLINE Extra, EMBASE, BIOSIS, Science Citation Index, Cochrane Controlled Trials Register,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Research Register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Clinical Trials, Current Controlled Trials, FDA Premarket Approval (PMA) Database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Web of Science Proceedings, Conference Papers Index, Zetoc, Association for Research in Vision and Ophthalmology (ARVO) Abstracts Database, American Society of Cataract and Refractive Surgery-American Society of Ophthalmic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Administrators (ASCRS-ASOA) Abstracts Database; 2000-2005</w:t>
            </w:r>
          </w:p>
        </w:tc>
        <w:tc>
          <w:tcPr>
            <w:tcW w:w="1710" w:type="dxa"/>
            <w:shd w:val="clear" w:color="auto" w:fill="auto"/>
            <w:hideMark/>
          </w:tcPr>
          <w:p w:rsidR="005E04B8" w:rsidRPr="005E04B8" w:rsidRDefault="005E04B8" w:rsidP="005E04B8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LASIK: 64 studies</w:t>
            </w: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(73 publications; 4 RCTs); LASEK: 26 studies (40 publications; 14 RCTs); PRK: 40 (9 RCTs) case series</w:t>
            </w:r>
          </w:p>
        </w:tc>
        <w:tc>
          <w:tcPr>
            <w:tcW w:w="1350" w:type="dxa"/>
            <w:shd w:val="clear" w:color="auto" w:fill="auto"/>
            <w:hideMark/>
          </w:tcPr>
          <w:p w:rsidR="005E04B8" w:rsidRPr="005E04B8" w:rsidRDefault="005E04B8" w:rsidP="005E04B8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Primary treatment with any type of excimer laser used to perform PRK, LASEK, and LASIK for refractive correction of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5E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myopia, hyperopia or astigmatism.</w:t>
            </w:r>
          </w:p>
        </w:tc>
        <w:tc>
          <w:tcPr>
            <w:tcW w:w="3690" w:type="dxa"/>
            <w:shd w:val="clear" w:color="auto" w:fill="auto"/>
            <w:hideMark/>
          </w:tcPr>
          <w:p w:rsidR="005E04B8" w:rsidRPr="005E04B8" w:rsidRDefault="005E04B8" w:rsidP="00F32BE5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sz w:val="18"/>
                <w:szCs w:val="18"/>
              </w:rPr>
              <w:t>Uncorrected visual acuity of 20/20 or better in myopia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PRK 70%, LASEK 62%, LASIK 64%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br/>
              <w:t>20/40 or better: PRK 92%, LASEK 92%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E04B8">
              <w:rPr>
                <w:rFonts w:ascii="Arial" w:eastAsia="Times New Roman" w:hAnsi="Arial" w:cs="Arial"/>
                <w:sz w:val="18"/>
                <w:szCs w:val="18"/>
                <w:u w:val="single"/>
              </w:rPr>
              <w:t>Efficacy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LASIK 94%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t>ighly myopic eyes achieved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br/>
              <w:t>High myopia at baseline, 20/20: PRK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t>14%</w:t>
            </w:r>
            <w:r w:rsidR="00F32BE5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t xml:space="preserve"> LASIK 44%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L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t>ow myopia at baseline: PRK 76%</w:t>
            </w:r>
            <w:r w:rsidR="00F32BE5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t xml:space="preserve"> LASIK </w:t>
            </w:r>
            <w:r w:rsidR="00F32BE5">
              <w:rPr>
                <w:rFonts w:ascii="Arial" w:eastAsia="Times New Roman" w:hAnsi="Arial" w:cs="Arial"/>
                <w:sz w:val="18"/>
                <w:szCs w:val="18"/>
              </w:rPr>
              <w:t>81%</w:t>
            </w:r>
            <w:r w:rsidR="00F32BE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t>Correction of myopia/myopic astigmatism, median across all 3 treatments: 68% to 75% of eyes achieving within 0.5 D of their intended correction; 86% to 92%</w:t>
            </w:r>
            <w:r w:rsidR="00F32BE5">
              <w:rPr>
                <w:rFonts w:ascii="Arial" w:eastAsia="Times New Roman" w:hAnsi="Arial" w:cs="Arial"/>
                <w:sz w:val="18"/>
                <w:szCs w:val="18"/>
              </w:rPr>
              <w:t xml:space="preserve"> of eyes achieved within 1.0 D</w:t>
            </w:r>
            <w:r w:rsidR="00F32BE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t>Correction of hyperopia: 61% of eyes achieved within 0.5 D of intended correction after PRK and LASIK; 79% and 88% for PRK and LASIK respectively within 1.0 D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E04B8">
              <w:rPr>
                <w:rFonts w:ascii="Arial" w:eastAsia="Times New Roman" w:hAnsi="Arial" w:cs="Arial"/>
                <w:sz w:val="18"/>
                <w:szCs w:val="18"/>
                <w:u w:val="single"/>
              </w:rPr>
              <w:t>Harms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br/>
              <w:t>Ectasia (5 LASIK studies): median rate 0.2% (range 0% to 0.87%)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br/>
              <w:t>Loss of ≥2 lines of BSCVA in myopia: PRK 0.5%, LASEK 0%</w:t>
            </w:r>
            <w:r w:rsidR="00F32BE5">
              <w:rPr>
                <w:rFonts w:ascii="Arial" w:eastAsia="Times New Roman" w:hAnsi="Arial" w:cs="Arial"/>
                <w:sz w:val="18"/>
                <w:szCs w:val="18"/>
              </w:rPr>
              <w:t>, LASIK 0.6%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br/>
              <w:t>Loss of ≥2 lines of BSCVA in hyperopia: PRK 7.0%, LASIK 3.5%</w:t>
            </w:r>
          </w:p>
        </w:tc>
        <w:tc>
          <w:tcPr>
            <w:tcW w:w="1440" w:type="dxa"/>
            <w:shd w:val="clear" w:color="auto" w:fill="auto"/>
            <w:hideMark/>
          </w:tcPr>
          <w:p w:rsidR="005E04B8" w:rsidRPr="005E04B8" w:rsidRDefault="005E04B8" w:rsidP="00F32BE5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sz w:val="18"/>
                <w:szCs w:val="18"/>
              </w:rPr>
              <w:t>The safety and efficacy of photorefractive surgery should be considered against the</w:t>
            </w:r>
            <w:r w:rsidR="00F32B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04B8">
              <w:rPr>
                <w:rFonts w:ascii="Arial" w:eastAsia="Times New Roman" w:hAnsi="Arial" w:cs="Arial"/>
                <w:sz w:val="18"/>
                <w:szCs w:val="18"/>
              </w:rPr>
              <w:t>alternative methods of correction; adverse events occur rarely from a statistical standpoint.</w:t>
            </w:r>
          </w:p>
        </w:tc>
        <w:tc>
          <w:tcPr>
            <w:tcW w:w="810" w:type="dxa"/>
            <w:shd w:val="clear" w:color="auto" w:fill="auto"/>
            <w:hideMark/>
          </w:tcPr>
          <w:p w:rsidR="005E04B8" w:rsidRPr="005E04B8" w:rsidRDefault="005E04B8" w:rsidP="005E04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04B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</w:tbl>
    <w:p w:rsidR="009267E8" w:rsidRDefault="005E04B8" w:rsidP="00A35F65">
      <w:pPr>
        <w:ind w:right="-450"/>
        <w:rPr>
          <w:rFonts w:ascii="Arial" w:hAnsi="Arial" w:cs="Arial"/>
          <w:sz w:val="18"/>
          <w:szCs w:val="18"/>
        </w:rPr>
      </w:pPr>
      <w:r w:rsidRPr="00F32BE5">
        <w:rPr>
          <w:rFonts w:ascii="Arial" w:hAnsi="Arial" w:cs="Arial"/>
          <w:b/>
          <w:sz w:val="18"/>
          <w:szCs w:val="18"/>
        </w:rPr>
        <w:t xml:space="preserve">Abbreviations: </w:t>
      </w:r>
      <w:r w:rsidRPr="005E04B8">
        <w:rPr>
          <w:rFonts w:ascii="Arial" w:hAnsi="Arial" w:cs="Arial"/>
          <w:sz w:val="18"/>
          <w:szCs w:val="18"/>
        </w:rPr>
        <w:t xml:space="preserve">BSCVA = </w:t>
      </w:r>
      <w:r w:rsidR="00F32BE5" w:rsidRPr="005E04B8">
        <w:rPr>
          <w:rFonts w:ascii="Arial" w:hAnsi="Arial" w:cs="Arial"/>
          <w:sz w:val="18"/>
          <w:szCs w:val="18"/>
        </w:rPr>
        <w:t>best spectacle-corrected visual acuity</w:t>
      </w:r>
      <w:r w:rsidR="00F32BE5">
        <w:rPr>
          <w:rFonts w:ascii="Arial" w:hAnsi="Arial" w:cs="Arial"/>
          <w:sz w:val="18"/>
          <w:szCs w:val="18"/>
        </w:rPr>
        <w:t>;</w:t>
      </w:r>
      <w:r w:rsidRPr="005E04B8">
        <w:rPr>
          <w:rFonts w:ascii="Arial" w:hAnsi="Arial" w:cs="Arial"/>
          <w:sz w:val="18"/>
          <w:szCs w:val="18"/>
        </w:rPr>
        <w:t xml:space="preserve"> LASEK = </w:t>
      </w:r>
      <w:r w:rsidR="00F32BE5" w:rsidRPr="005E04B8">
        <w:rPr>
          <w:rFonts w:ascii="Arial" w:hAnsi="Arial" w:cs="Arial"/>
          <w:sz w:val="18"/>
          <w:szCs w:val="18"/>
        </w:rPr>
        <w:t>laser assisted sub-epithelial keratomileusis</w:t>
      </w:r>
      <w:r w:rsidR="00F32BE5">
        <w:rPr>
          <w:rFonts w:ascii="Arial" w:hAnsi="Arial" w:cs="Arial"/>
          <w:sz w:val="18"/>
          <w:szCs w:val="18"/>
        </w:rPr>
        <w:t>;</w:t>
      </w:r>
      <w:r w:rsidRPr="005E04B8">
        <w:rPr>
          <w:rFonts w:ascii="Arial" w:hAnsi="Arial" w:cs="Arial"/>
          <w:sz w:val="18"/>
          <w:szCs w:val="18"/>
        </w:rPr>
        <w:t xml:space="preserve"> LASIK = </w:t>
      </w:r>
      <w:r w:rsidR="00F32BE5" w:rsidRPr="005E04B8">
        <w:rPr>
          <w:rFonts w:ascii="Arial" w:hAnsi="Arial" w:cs="Arial"/>
          <w:sz w:val="18"/>
          <w:szCs w:val="18"/>
        </w:rPr>
        <w:t>laser assisted in situ keratomileusis</w:t>
      </w:r>
      <w:r w:rsidR="00F32BE5">
        <w:rPr>
          <w:rFonts w:ascii="Arial" w:hAnsi="Arial" w:cs="Arial"/>
          <w:sz w:val="18"/>
          <w:szCs w:val="18"/>
        </w:rPr>
        <w:t>;</w:t>
      </w:r>
      <w:r w:rsidRPr="005E04B8">
        <w:rPr>
          <w:rFonts w:ascii="Arial" w:hAnsi="Arial" w:cs="Arial"/>
          <w:sz w:val="18"/>
          <w:szCs w:val="18"/>
        </w:rPr>
        <w:t xml:space="preserve"> PRK = </w:t>
      </w:r>
      <w:r w:rsidR="00F32BE5" w:rsidRPr="005E04B8">
        <w:rPr>
          <w:rFonts w:ascii="Arial" w:hAnsi="Arial" w:cs="Arial"/>
          <w:sz w:val="18"/>
          <w:szCs w:val="18"/>
        </w:rPr>
        <w:t>photorefractive keratectomy</w:t>
      </w:r>
      <w:r w:rsidR="00F32BE5">
        <w:rPr>
          <w:rFonts w:ascii="Arial" w:hAnsi="Arial" w:cs="Arial"/>
          <w:sz w:val="18"/>
          <w:szCs w:val="18"/>
        </w:rPr>
        <w:t>;</w:t>
      </w:r>
      <w:r w:rsidRPr="005E04B8">
        <w:rPr>
          <w:rFonts w:ascii="Arial" w:hAnsi="Arial" w:cs="Arial"/>
          <w:sz w:val="18"/>
          <w:szCs w:val="18"/>
        </w:rPr>
        <w:t xml:space="preserve"> RCT = randomized controlled trial.</w:t>
      </w:r>
    </w:p>
    <w:sectPr w:rsidR="009267E8" w:rsidSect="00D7197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83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90" w:rsidRDefault="00516D90">
      <w:r>
        <w:separator/>
      </w:r>
    </w:p>
  </w:endnote>
  <w:endnote w:type="continuationSeparator" w:id="1">
    <w:p w:rsidR="00516D90" w:rsidRDefault="00516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7E" w:rsidRDefault="00D7197E" w:rsidP="00D7197E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83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90" w:rsidRDefault="00516D90">
      <w:r>
        <w:separator/>
      </w:r>
    </w:p>
  </w:footnote>
  <w:footnote w:type="continuationSeparator" w:id="1">
    <w:p w:rsidR="00516D90" w:rsidRDefault="00516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D7197E" w:rsidP="00407404">
    <w:pPr>
      <w:pStyle w:val="Header"/>
    </w:pPr>
    <w:r w:rsidRPr="005E04B8">
      <w:rPr>
        <w:rFonts w:ascii="Arial" w:hAnsi="Arial" w:cs="Arial"/>
        <w:b/>
        <w:sz w:val="20"/>
        <w:szCs w:val="20"/>
      </w:rPr>
      <w:t>Appendix B5. Systematic Reviews of Treatment of Uncorrected Refractive Error Included in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49C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16D9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7197E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2016-03-10T04:23:00Z</dcterms:modified>
</cp:coreProperties>
</file>