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Default="008B7429" w:rsidP="00D95774">
      <w:pPr>
        <w:pStyle w:val="TableTitle"/>
      </w:pPr>
      <w:r>
        <w:t xml:space="preserve">Table D44. Other subgroup outcome 2 </w:t>
      </w:r>
    </w:p>
    <w:tbl>
      <w:tblPr>
        <w:tblStyle w:val="EPC"/>
        <w:tblW w:w="12960" w:type="dxa"/>
        <w:tblBorders>
          <w:top w:val="single" w:sz="12" w:space="0" w:color="auto"/>
          <w:bottom w:val="single" w:sz="4" w:space="0" w:color="auto"/>
        </w:tblBorders>
        <w:tblLook w:val="04A0"/>
      </w:tblPr>
      <w:tblGrid>
        <w:gridCol w:w="1548"/>
        <w:gridCol w:w="1710"/>
        <w:gridCol w:w="1980"/>
        <w:gridCol w:w="2430"/>
        <w:gridCol w:w="1710"/>
        <w:gridCol w:w="1260"/>
        <w:gridCol w:w="2322"/>
      </w:tblGrid>
      <w:tr w:rsidR="008B7429" w:rsidRPr="00DF3D04" w:rsidTr="00DF3D04">
        <w:trPr>
          <w:cnfStyle w:val="100000000000"/>
          <w:cantSplit/>
          <w:tblHeader/>
        </w:trPr>
        <w:tc>
          <w:tcPr>
            <w:tcW w:w="1548" w:type="dxa"/>
            <w:tcBorders>
              <w:top w:val="none" w:sz="0" w:space="0" w:color="auto"/>
            </w:tcBorders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1710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Subgroup</w:t>
            </w:r>
          </w:p>
        </w:tc>
        <w:tc>
          <w:tcPr>
            <w:tcW w:w="1980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Outcome 2 for Subgroup</w:t>
            </w:r>
          </w:p>
        </w:tc>
        <w:tc>
          <w:tcPr>
            <w:tcW w:w="2430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 xml:space="preserve">Description of Timing of Measurement of Outcome </w:t>
            </w:r>
          </w:p>
        </w:tc>
        <w:tc>
          <w:tcPr>
            <w:tcW w:w="1710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Data source</w:t>
            </w:r>
          </w:p>
        </w:tc>
        <w:tc>
          <w:tcPr>
            <w:tcW w:w="1260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2322" w:type="dxa"/>
            <w:tcBorders>
              <w:top w:val="none" w:sz="0" w:space="0" w:color="auto"/>
            </w:tcBorders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DF3D04" w:rsidTr="00DF3D04">
        <w:trPr>
          <w:cantSplit/>
        </w:trPr>
        <w:tc>
          <w:tcPr>
            <w:tcW w:w="1548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Bogner et al., 2008</w: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</w: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71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Depression and hypertension</w:t>
            </w:r>
          </w:p>
        </w:tc>
        <w:tc>
          <w:tcPr>
            <w:tcW w:w="198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43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71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26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322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</w:tr>
      <w:tr w:rsidR="008B7429" w:rsidRPr="00DF3D04" w:rsidTr="00DF3D04">
        <w:trPr>
          <w:cantSplit/>
        </w:trPr>
        <w:tc>
          <w:tcPr>
            <w:tcW w:w="1548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Bogner et al., 2010</w: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</w: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171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African American primary care patients</w:t>
            </w:r>
          </w:p>
        </w:tc>
        <w:tc>
          <w:tcPr>
            <w:tcW w:w="198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A1C/Blood glycemic control</w:t>
            </w:r>
          </w:p>
        </w:tc>
        <w:tc>
          <w:tcPr>
            <w:tcW w:w="243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2 times, at baseline and 12 weeks</w:t>
            </w:r>
          </w:p>
        </w:tc>
        <w:tc>
          <w:tcPr>
            <w:tcW w:w="171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A1C assays</w:t>
            </w:r>
          </w:p>
        </w:tc>
        <w:tc>
          <w:tcPr>
            <w:tcW w:w="126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G1: 29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29</w:t>
            </w:r>
          </w:p>
        </w:tc>
        <w:tc>
          <w:tcPr>
            <w:tcW w:w="2322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b/>
                <w:color w:val="000000"/>
                <w:szCs w:val="18"/>
              </w:rPr>
              <w:t>BL (%)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G1: Mean (SD) = 7.3 (2.3)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Mean (SD) = 7.3 (2.0)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p: 0.70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</w:r>
            <w:r w:rsidRPr="00DF3D04">
              <w:rPr>
                <w:rFonts w:ascii="Arial" w:hAnsi="Arial" w:cs="Arial"/>
                <w:b/>
                <w:color w:val="000000"/>
                <w:szCs w:val="18"/>
              </w:rPr>
              <w:t>EP (%)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G1: Mean (SD) = 6.7 (2.3)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Mean (SD) = 7.9 (2.6)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p: 0.019</w:t>
            </w:r>
          </w:p>
        </w:tc>
      </w:tr>
      <w:tr w:rsidR="008B7429" w:rsidRPr="00DF3D04" w:rsidTr="00DF3D04">
        <w:trPr>
          <w:cantSplit/>
        </w:trPr>
        <w:tc>
          <w:tcPr>
            <w:tcW w:w="1548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Fulmer et al., 1999</w: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&lt;EndNote&gt;&lt;Cite&gt;&lt;Author&gt;Fulmer&lt;/Author&gt;&lt;Year&gt;1999&lt;/Year&gt;&lt;RecNum&gt;3348&lt;/RecNum&gt;&lt;DisplayText&gt;&lt;style face="superscript" font="Times New Roman"&gt;15&lt;/style&gt;&lt;/DisplayText&gt;&lt;record&gt;&lt;rec-number&gt;3348&lt;/rec-number&gt;&lt;foreign-keys&gt;&lt;key app="EN" db-id="59ts2tx0zfaerqef90o5fteqx5vvte9zzzaa"&gt;3348&lt;/key&gt;&lt;/foreign-keys&gt;&lt;ref-type name="Journal Article"&gt;17&lt;/ref-type&gt;&lt;contributors&gt;&lt;authors&gt;&lt;author&gt;Fulmer, T. T.&lt;/author&gt;&lt;author&gt;Feldman, P. H.&lt;/author&gt;&lt;author&gt;Kim, T. S.&lt;/author&gt;&lt;author&gt;Carty, B.&lt;/author&gt;&lt;author&gt;Beers, M.&lt;/author&gt;&lt;author&gt;Molina, M.&lt;/author&gt;&lt;author&gt;Putnam, M.&lt;/author&gt;&lt;/authors&gt;&lt;/contributors&gt;&lt;auth-address&gt;Division of Nursing, New York University, NY 10012, USA.&lt;/auth-address&gt;&lt;titles&gt;&lt;title&gt;An intervention study to enhance medication compliance in community-dwelling elderly individuals&lt;/title&gt;&lt;secondary-title&gt;J Gerontol Nurs&lt;/secondary-title&gt;&lt;/titles&gt;&lt;periodical&gt;&lt;full-title&gt;Journal of Gerontological Nursing&lt;/full-title&gt;&lt;abbr-1&gt;J. Gerontol. Nurs.&lt;/abbr-1&gt;&lt;abbr-2&gt;J Gerontol Nurs&lt;/abbr-2&gt;&lt;/periodical&gt;&lt;pages&gt;6-14&lt;/pages&gt;&lt;volume&gt;25&lt;/volume&gt;&lt;number&gt;8&lt;/number&gt;&lt;edition&gt;2000/03/11&lt;/edition&gt;&lt;keywords&gt;&lt;keyword&gt;Aftercare/ methods&lt;/keyword&gt;&lt;keyword&gt;Aged&lt;/keyword&gt;&lt;keyword&gt;Aged, 80 and over&lt;/keyword&gt;&lt;keyword&gt;Community Health Nursing/ methods&lt;/keyword&gt;&lt;keyword&gt;Heart Failure/ drug therapy/nursing/psychology&lt;/keyword&gt;&lt;keyword&gt;Humans&lt;/keyword&gt;&lt;keyword&gt;Nursing Evaluation Research&lt;/keyword&gt;&lt;keyword&gt;Patient Compliance/ psychology&lt;/keyword&gt;&lt;keyword&gt;Telephone&lt;/keyword&gt;&lt;/keywords&gt;&lt;dates&gt;&lt;year&gt;1999&lt;/year&gt;&lt;pub-dates&gt;&lt;date&gt;Aug&lt;/date&gt;&lt;/pub-dates&gt;&lt;/dates&gt;&lt;isbn&gt;0098-9134 (Print)&amp;#xD;0098-9134 (Linking)&lt;/isbn&gt;&lt;accession-num&gt;10711101&lt;/accession-num&gt;&lt;label&gt;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15</w: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71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Elderly</w:t>
            </w:r>
          </w:p>
        </w:tc>
        <w:tc>
          <w:tcPr>
            <w:tcW w:w="198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43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71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26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322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</w:tr>
      <w:tr w:rsidR="008B7429" w:rsidRPr="00DF3D04" w:rsidTr="00DF3D04">
        <w:trPr>
          <w:cantSplit/>
        </w:trPr>
        <w:tc>
          <w:tcPr>
            <w:tcW w:w="1548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Katon et al., 1995</w: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24</w: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71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Major depression</w:t>
            </w:r>
          </w:p>
        </w:tc>
        <w:tc>
          <w:tcPr>
            <w:tcW w:w="198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43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71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26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322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</w:tr>
      <w:tr w:rsidR="008B7429" w:rsidRPr="00DF3D04" w:rsidTr="00DF3D04">
        <w:trPr>
          <w:cantSplit/>
        </w:trPr>
        <w:tc>
          <w:tcPr>
            <w:tcW w:w="1548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Katon et al., 1996</w: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25</w: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71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Major depression</w:t>
            </w:r>
          </w:p>
        </w:tc>
        <w:tc>
          <w:tcPr>
            <w:tcW w:w="198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43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71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26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322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</w:tr>
      <w:tr w:rsidR="008B7429" w:rsidRPr="00DF3D04" w:rsidTr="00DF3D04">
        <w:trPr>
          <w:cantSplit/>
        </w:trPr>
        <w:tc>
          <w:tcPr>
            <w:tcW w:w="1548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Katon et al., 1999</w: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26</w: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Katon et al., 2002</w: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27</w: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710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Severe depression at baseline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(Reported in 3169)</w:t>
            </w:r>
          </w:p>
        </w:tc>
        <w:tc>
          <w:tcPr>
            <w:tcW w:w="1980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Depression severity and functional impairment in patients with Severe depression at baseline</w:t>
            </w:r>
          </w:p>
        </w:tc>
        <w:tc>
          <w:tcPr>
            <w:tcW w:w="2430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Measured at 1, 3, 6, and 28 months; analysis at 28 months</w:t>
            </w:r>
          </w:p>
        </w:tc>
        <w:tc>
          <w:tcPr>
            <w:tcW w:w="1710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SCL Depression scale (for depression severity); Sheehan disability score (for functional impairment)</w:t>
            </w:r>
          </w:p>
        </w:tc>
        <w:tc>
          <w:tcPr>
            <w:tcW w:w="1260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G1: NR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322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Depression severity: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ANCOVA: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F(1.51)=0.02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Adjusted mean, (SD):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G1: 1.16, (0.85)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1.19, (0.72)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p: 0.88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Sheehan disability score: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ANCOVA: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F(1.51) = 0.09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Adjusted mean, (SD):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G1: 3.41, (2.61)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3.20, (2.66)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p: 0.76</w:t>
            </w:r>
          </w:p>
        </w:tc>
      </w:tr>
      <w:tr w:rsidR="008B7429" w:rsidRPr="00DF3D04" w:rsidTr="00DF3D04">
        <w:trPr>
          <w:cantSplit/>
        </w:trPr>
        <w:tc>
          <w:tcPr>
            <w:tcW w:w="1548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lastRenderedPageBreak/>
              <w:t>Lee et al. (continued), 2006</w: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31</w: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FAME</w:t>
            </w:r>
          </w:p>
        </w:tc>
        <w:tc>
          <w:tcPr>
            <w:tcW w:w="1710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Patients with drug-treated hyperlipidemia</w:t>
            </w:r>
          </w:p>
        </w:tc>
        <w:tc>
          <w:tcPr>
            <w:tcW w:w="1980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Drug-treated hyperlipidemia patients only: LDL-C at 14 months, mean (SD)</w:t>
            </w:r>
          </w:p>
        </w:tc>
        <w:tc>
          <w:tcPr>
            <w:tcW w:w="2430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At 14 months; 1 time measure for this outcome</w:t>
            </w:r>
          </w:p>
        </w:tc>
        <w:tc>
          <w:tcPr>
            <w:tcW w:w="1710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Direct assay measurement</w:t>
            </w:r>
          </w:p>
        </w:tc>
        <w:tc>
          <w:tcPr>
            <w:tcW w:w="1260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G1: 64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57</w:t>
            </w:r>
          </w:p>
        </w:tc>
        <w:tc>
          <w:tcPr>
            <w:tcW w:w="2322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G1: 87.5 (24.2)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88.4 (21.0)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p: 0.84</w:t>
            </w:r>
          </w:p>
        </w:tc>
      </w:tr>
      <w:tr w:rsidR="008B7429" w:rsidRPr="00DF3D04" w:rsidTr="00DF3D04">
        <w:trPr>
          <w:cantSplit/>
        </w:trPr>
        <w:tc>
          <w:tcPr>
            <w:tcW w:w="1548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Lee et al., 2006</w: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31</w: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FAME</w:t>
            </w:r>
          </w:p>
        </w:tc>
        <w:tc>
          <w:tcPr>
            <w:tcW w:w="1710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Patients with drug-treated hypertension</w:t>
            </w:r>
          </w:p>
        </w:tc>
        <w:tc>
          <w:tcPr>
            <w:tcW w:w="1980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Drug treated hypertension patients only: Difference in Systolic BP at 14 months (95% CI)</w:t>
            </w:r>
          </w:p>
        </w:tc>
        <w:tc>
          <w:tcPr>
            <w:tcW w:w="2430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Difference between SBP values at 14 months and at 2 months; frequency = 2 measurements; duration between measures = 12 months</w:t>
            </w:r>
          </w:p>
        </w:tc>
        <w:tc>
          <w:tcPr>
            <w:tcW w:w="1710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Clinical pharmacist measurement</w:t>
            </w:r>
          </w:p>
        </w:tc>
        <w:tc>
          <w:tcPr>
            <w:tcW w:w="1260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G1: 73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G2: 62</w:t>
            </w:r>
          </w:p>
        </w:tc>
        <w:tc>
          <w:tcPr>
            <w:tcW w:w="2322" w:type="dxa"/>
            <w:hideMark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 xml:space="preserve">G1: -6.9 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(-10.7 to -3.1)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 xml:space="preserve">G2: -1.0 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(-5.9 to 3.9)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 xml:space="preserve">95% CI,NR </w:t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p: 0.04</w:t>
            </w:r>
          </w:p>
        </w:tc>
      </w:tr>
      <w:tr w:rsidR="008B7429" w:rsidRPr="00DF3D04" w:rsidTr="00DF3D04">
        <w:trPr>
          <w:cantSplit/>
        </w:trPr>
        <w:tc>
          <w:tcPr>
            <w:tcW w:w="1548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Lin et al., 2006</w: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32</w: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71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Depression and diabetes</w:t>
            </w:r>
          </w:p>
        </w:tc>
        <w:tc>
          <w:tcPr>
            <w:tcW w:w="198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43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71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26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322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</w:tr>
      <w:tr w:rsidR="008B7429" w:rsidRPr="00DF3D04" w:rsidTr="00DF3D04">
        <w:trPr>
          <w:cantSplit/>
        </w:trPr>
        <w:tc>
          <w:tcPr>
            <w:tcW w:w="1548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Rich et al., 1996</w: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&lt;EndNote&gt;&lt;Cite&gt;&lt;Author&gt;Rich&lt;/Author&gt;&lt;Year&gt;1996&lt;/Year&gt;&lt;RecNum&gt;3515&lt;/RecNum&gt;&lt;DisplayText&gt;&lt;style face="superscript" font="Times New Roman"&gt;42&lt;/style&gt;&lt;/DisplayText&gt;&lt;record&gt;&lt;rec-number&gt;3515&lt;/rec-number&gt;&lt;foreign-keys&gt;&lt;key app="EN" db-id="59ts2tx0zfaerqef90o5fteqx5vvte9zzzaa"&gt;3515&lt;/key&gt;&lt;/foreign-keys&gt;&lt;ref-type name="Journal Article"&gt;17&lt;/ref-type&gt;&lt;contributors&gt;&lt;authors&gt;&lt;author&gt;Rich, M. W.&lt;/author&gt;&lt;author&gt;Gray, D. B.&lt;/author&gt;&lt;author&gt;Beckham, V.&lt;/author&gt;&lt;author&gt;Wittenberg, C.&lt;/author&gt;&lt;author&gt;Luther, P.&lt;/author&gt;&lt;/authors&gt;&lt;/contributors&gt;&lt;auth-address&gt;Geriatric Cardiology Section, Jewish Hospital, Washington University Medical Center, St. Louis, Missouri 63110, USA.&lt;/auth-address&gt;&lt;titles&gt;&lt;title&gt;Effect of a multidisciplinary intervention on medication compliance in elderly patients with congestive heart failure&lt;/title&gt;&lt;secondary-title&gt;Am J Med&lt;/secondary-title&gt;&lt;/titles&gt;&lt;periodical&gt;&lt;full-title&gt;American Journal of Medicine&lt;/full-title&gt;&lt;abbr-1&gt;Am. J. Med.&lt;/abbr-1&gt;&lt;abbr-2&gt;Am J Med&lt;/abbr-2&gt;&lt;/periodical&gt;&lt;pages&gt;270-6&lt;/pages&gt;&lt;volume&gt;101&lt;/volume&gt;&lt;number&gt;3&lt;/number&gt;&lt;edition&gt;1996/09/01&lt;/edition&gt;&lt;keywords&gt;&lt;keyword&gt;Aged&lt;/keyword&gt;&lt;keyword&gt;Aged, 80 and over&lt;/keyword&gt;&lt;keyword&gt;Counseling&lt;/keyword&gt;&lt;keyword&gt;Dietary Services&lt;/keyword&gt;&lt;keyword&gt;Female&lt;/keyword&gt;&lt;keyword&gt;Heart Failure/ drug therapy&lt;/keyword&gt;&lt;keyword&gt;Humans&lt;/keyword&gt;&lt;keyword&gt;Male&lt;/keyword&gt;&lt;keyword&gt;Multivariate Analysis&lt;/keyword&gt;&lt;keyword&gt;Patient Compliance&lt;/keyword&gt;&lt;keyword&gt;Patient Education as Topic&lt;/keyword&gt;&lt;keyword&gt;Social Work&lt;/keyword&gt;&lt;keyword&gt;Socioeconomic Factors&lt;/keyword&gt;&lt;/keywords&gt;&lt;dates&gt;&lt;year&gt;1996&lt;/year&gt;&lt;pub-dates&gt;&lt;date&gt;Sep&lt;/date&gt;&lt;/pub-dates&gt;&lt;/dates&gt;&lt;isbn&gt;0002-9343 (Print)&amp;#xD;0002-9343 (Linking)&lt;/isbn&gt;&lt;accession-num&gt;8873488&lt;/accession-num&gt;&lt;label&gt; ; PubMed Main Search (RCTs)&lt;/label&gt;&lt;urls&gt;&lt;/urls&gt;&lt;custom1&gt;I&lt;/custom1&gt;&lt;custom2&gt;I&lt;/custom2&gt;&lt;custom3&gt;M&lt;/custom3&gt;&lt;custom4&gt;1, 3, 4&lt;/custom4&gt;&lt;custom5&gt;CVD - CHF&lt;/custom5&gt;&lt;custom6&gt;RCT-P&lt;/custom6&gt;&lt;custom7&gt;PAT&lt;/custom7&gt;&lt;remote-database-provider&gt;NLM&lt;/remote-database-provider&gt;&lt;language&gt;eng&lt;/language&gt;&lt;/record&gt;&lt;/Cite&gt;&lt;/EndNote&gt;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42</w: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71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Elderly (≥70 years of age)</w:t>
            </w:r>
          </w:p>
        </w:tc>
        <w:tc>
          <w:tcPr>
            <w:tcW w:w="198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43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71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26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322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</w:tr>
      <w:tr w:rsidR="008B7429" w:rsidRPr="00DF3D04" w:rsidTr="00DF3D04">
        <w:trPr>
          <w:cantSplit/>
        </w:trPr>
        <w:tc>
          <w:tcPr>
            <w:tcW w:w="1548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Schneider et al., 2008</w: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DF3D04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&lt;EndNote&gt;&lt;Cite&gt;&lt;Author&gt;Schneider&lt;/Author&gt;&lt;Year&gt;2008&lt;/Year&gt;&lt;RecNum&gt;2387&lt;/RecNum&gt;&lt;DisplayText&gt;&lt;style face="superscript" font="Times New Roman"&gt;49&lt;/style&gt;&lt;/DisplayText&gt;&lt;record&gt;&lt;rec-number&gt;2387&lt;/rec-number&gt;&lt;foreign-keys&gt;&lt;key app="EN" db-id="59ts2tx0zfaerqef90o5fteqx5vvte9zzzaa"&gt;2387&lt;/key&gt;&lt;/foreign-keys&gt;&lt;ref-type name="Journal Article"&gt;17&lt;/ref-type&gt;&lt;contributors&gt;&lt;authors&gt;&lt;author&gt;Schneider, P. J.&lt;/author&gt;&lt;author&gt;Murphy, J. E.&lt;/author&gt;&lt;author&gt;Pedersen, C. A.&lt;/author&gt;&lt;/authors&gt;&lt;/contributors&gt;&lt;auth-address&gt;Latiolais Leadership Program, College of Pharmacy, Ohio State University, Columbus, OH 43210, USA. schneider.5@osu.edu&lt;/auth-address&gt;&lt;titles&gt;&lt;title&gt;Impact of medication packaging on adherence and treatment outcomes in older ambulatory patients&lt;/title&gt;&lt;secondary-title&gt;J Am Pharm Assoc (2003)&lt;/secondary-title&gt;&lt;/titles&gt;&lt;pages&gt;58-63&lt;/pages&gt;&lt;volume&gt;48&lt;/volume&gt;&lt;number&gt;1&lt;/number&gt;&lt;edition&gt;2008/01/15&lt;/edition&gt;&lt;keywords&gt;&lt;keyword&gt;Aged&lt;/keyword&gt;&lt;keyword&gt;Ambulatory Care&lt;/keyword&gt;&lt;keyword&gt;Antihypertensive Agents/ therapeutic use&lt;/keyword&gt;&lt;keyword&gt;Arizona&lt;/keyword&gt;&lt;keyword&gt;Blood Pressure/drug effects&lt;/keyword&gt;&lt;keyword&gt;Drug Labeling/methods&lt;/keyword&gt;&lt;keyword&gt;Drug Packaging&lt;/keyword&gt;&lt;keyword&gt;Female&lt;/keyword&gt;&lt;keyword&gt;Humans&lt;/keyword&gt;&lt;keyword&gt;Hypertension/ drug therapy&lt;/keyword&gt;&lt;keyword&gt;Lisinopril/ therapeutic use&lt;/keyword&gt;&lt;keyword&gt;Male&lt;/keyword&gt;&lt;keyword&gt;Ohio&lt;/keyword&gt;&lt;keyword&gt;Patient Compliance&lt;/keyword&gt;&lt;keyword&gt;Time Factors&lt;/keyword&gt;&lt;keyword&gt;Treatment Outcome&lt;/keyword&gt;&lt;/keywords&gt;&lt;dates&gt;&lt;year&gt;2008&lt;/year&gt;&lt;pub-dates&gt;&lt;date&gt;Jan-Feb&lt;/date&gt;&lt;/pub-dates&gt;&lt;/dates&gt;&lt;isbn&gt;1544-3450 (Electronic)&amp;#xD;1086-5802 (Linking)&lt;/isbn&gt;&lt;accession-num&gt;18192132&lt;/accession-num&gt;&lt;label&gt; ; PubMed Main Search (RCTs)&lt;/label&gt;&lt;urls&gt;&lt;/urls&gt;&lt;custom1&gt;I&lt;/custom1&gt;&lt;custom2&gt;I&lt;/custom2&gt;&lt;custom3&gt;L&lt;/custom3&gt;&lt;custom4&gt;1, 4&lt;/custom4&gt;&lt;custom5&gt;CVD: HTN&lt;/custom5&gt;&lt;custom6&gt;RCT-P&lt;/custom6&gt;&lt;custom7&gt;PAT&lt;/custom7&gt;&lt;electronic-resource-num&gt;10.1331/JAPhA.2008.07040&lt;/electronic-resource-num&gt;&lt;remote-database-provider&gt;NLM&lt;/remote-database-provider&gt;&lt;language&gt;eng&lt;/language&gt;&lt;/record&gt;&lt;/Cite&gt;&lt;/EndNote&gt;</w:instrTex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DF3D04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49</w:t>
            </w:r>
            <w:r w:rsidR="00921385" w:rsidRPr="00DF3D04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DF3D04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71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Elderly, i.e., ≥65 years of age (entire sample)</w:t>
            </w:r>
          </w:p>
        </w:tc>
        <w:tc>
          <w:tcPr>
            <w:tcW w:w="198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43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71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1260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  <w:tc>
          <w:tcPr>
            <w:tcW w:w="2322" w:type="dxa"/>
          </w:tcPr>
          <w:p w:rsidR="008B7429" w:rsidRPr="00DF3D04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DF3D04">
              <w:rPr>
                <w:rFonts w:ascii="Arial" w:hAnsi="Arial" w:cs="Arial"/>
                <w:color w:val="000000"/>
                <w:szCs w:val="18"/>
              </w:rPr>
              <w:t>See main outcomes abstraction</w:t>
            </w:r>
          </w:p>
        </w:tc>
      </w:tr>
    </w:tbl>
    <w:p w:rsidR="008B7429" w:rsidRPr="00A23F62" w:rsidRDefault="008B7429" w:rsidP="00D95774">
      <w:pPr>
        <w:rPr>
          <w:rFonts w:ascii="Arial" w:hAnsi="Arial" w:cs="Arial"/>
        </w:rPr>
      </w:pPr>
    </w:p>
    <w:sectPr w:rsidR="008B7429" w:rsidRPr="00A23F62" w:rsidSect="00CB4736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27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F88" w:rsidRDefault="00385F88">
      <w:r>
        <w:separator/>
      </w:r>
    </w:p>
  </w:endnote>
  <w:endnote w:type="continuationSeparator" w:id="0">
    <w:p w:rsidR="00385F88" w:rsidRDefault="00385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CB4736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CB4736">
      <w:rPr>
        <w:rFonts w:ascii="Times New Roman" w:hAnsi="Times New Roman"/>
        <w:sz w:val="24"/>
        <w:szCs w:val="24"/>
      </w:rPr>
      <w:t>D</w:t>
    </w:r>
    <w:r w:rsidR="00124C78" w:rsidRPr="00CB4736">
      <w:rPr>
        <w:rFonts w:ascii="Times New Roman" w:hAnsi="Times New Roman"/>
        <w:sz w:val="24"/>
        <w:szCs w:val="24"/>
      </w:rPr>
      <w:t>-</w:t>
    </w:r>
    <w:r w:rsidR="00921385" w:rsidRPr="00CB4736">
      <w:rPr>
        <w:rFonts w:ascii="Times New Roman" w:hAnsi="Times New Roman"/>
        <w:b/>
        <w:sz w:val="24"/>
        <w:szCs w:val="24"/>
      </w:rPr>
      <w:fldChar w:fldCharType="begin"/>
    </w:r>
    <w:r w:rsidR="00124C78" w:rsidRPr="00CB4736">
      <w:rPr>
        <w:rFonts w:ascii="Times New Roman" w:hAnsi="Times New Roman"/>
        <w:sz w:val="24"/>
        <w:szCs w:val="24"/>
      </w:rPr>
      <w:instrText xml:space="preserve"> PAGE   \* MERGEFORMAT </w:instrText>
    </w:r>
    <w:r w:rsidR="00921385" w:rsidRPr="00CB4736">
      <w:rPr>
        <w:rFonts w:ascii="Times New Roman" w:hAnsi="Times New Roman"/>
        <w:b/>
        <w:sz w:val="24"/>
        <w:szCs w:val="24"/>
      </w:rPr>
      <w:fldChar w:fldCharType="separate"/>
    </w:r>
    <w:r w:rsidR="00CB4736">
      <w:rPr>
        <w:rFonts w:ascii="Times New Roman" w:hAnsi="Times New Roman"/>
        <w:noProof/>
        <w:sz w:val="24"/>
        <w:szCs w:val="24"/>
      </w:rPr>
      <w:t>279</w:t>
    </w:r>
    <w:r w:rsidR="00921385" w:rsidRPr="00CB4736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F88" w:rsidRDefault="00385F88">
      <w:r>
        <w:separator/>
      </w:r>
    </w:p>
  </w:footnote>
  <w:footnote w:type="continuationSeparator" w:id="0">
    <w:p w:rsidR="00385F88" w:rsidRDefault="00385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85F88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1385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736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E27433-9175-42CB-A25B-E79F2DA1A2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45E57-2C92-4906-BBE0-32187465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9567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2012-09-05T19:13:00Z</cp:lastPrinted>
  <dcterms:created xsi:type="dcterms:W3CDTF">2012-09-29T06:34:00Z</dcterms:created>
  <dcterms:modified xsi:type="dcterms:W3CDTF">2012-09-29T13:31:00Z</dcterms:modified>
</cp:coreProperties>
</file>