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Default="008B7429" w:rsidP="00D95774">
      <w:pPr>
        <w:pStyle w:val="TableTitle"/>
      </w:pPr>
      <w:r>
        <w:t>Table D39. Health utilization outcomes 3</w:t>
      </w:r>
    </w:p>
    <w:tbl>
      <w:tblPr>
        <w:tblStyle w:val="EPC"/>
        <w:tblW w:w="12690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839"/>
        <w:gridCol w:w="2841"/>
        <w:gridCol w:w="2610"/>
        <w:gridCol w:w="1620"/>
        <w:gridCol w:w="1440"/>
        <w:gridCol w:w="2340"/>
      </w:tblGrid>
      <w:tr w:rsidR="008B7429" w:rsidRPr="00F615A1" w:rsidTr="00DF3D04">
        <w:trPr>
          <w:cnfStyle w:val="100000000000"/>
          <w:cantSplit/>
          <w:tblHeader/>
        </w:trPr>
        <w:tc>
          <w:tcPr>
            <w:tcW w:w="1839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>Author, Year</w:t>
            </w:r>
          </w:p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>Trial Name</w:t>
            </w:r>
          </w:p>
        </w:tc>
        <w:tc>
          <w:tcPr>
            <w:tcW w:w="2841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 xml:space="preserve">Health </w:t>
            </w:r>
            <w:r>
              <w:t>U</w:t>
            </w:r>
            <w:r w:rsidRPr="00F615A1">
              <w:t>tilization 3</w:t>
            </w:r>
          </w:p>
        </w:tc>
        <w:tc>
          <w:tcPr>
            <w:tcW w:w="2610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>Description of Timing of</w:t>
            </w:r>
            <w:r>
              <w:t xml:space="preserve"> Measurement of Outcome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 xml:space="preserve">Data </w:t>
            </w:r>
            <w:r>
              <w:t>S</w:t>
            </w:r>
            <w:r w:rsidRPr="00F615A1">
              <w:t>ource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>N</w:t>
            </w:r>
          </w:p>
        </w:tc>
        <w:tc>
          <w:tcPr>
            <w:tcW w:w="2340" w:type="dxa"/>
            <w:tcBorders>
              <w:top w:val="none" w:sz="0" w:space="0" w:color="auto"/>
            </w:tcBorders>
            <w:hideMark/>
          </w:tcPr>
          <w:p w:rsidR="008B7429" w:rsidRPr="00F615A1" w:rsidRDefault="008B7429" w:rsidP="00D95774">
            <w:pPr>
              <w:pStyle w:val="TableText"/>
              <w:rPr>
                <w:b w:val="0"/>
              </w:rPr>
            </w:pPr>
            <w:r w:rsidRPr="00F615A1">
              <w:t>Results</w:t>
            </w:r>
          </w:p>
        </w:tc>
      </w:tr>
      <w:tr w:rsidR="008B7429" w:rsidTr="00DF3D04">
        <w:trPr>
          <w:cantSplit/>
        </w:trPr>
        <w:tc>
          <w:tcPr>
            <w:tcW w:w="1839" w:type="dxa"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Katon et al., </w:t>
            </w:r>
            <w:r>
              <w:rPr>
                <w:rFonts w:cs="Arial"/>
                <w:color w:val="000000"/>
                <w:szCs w:val="18"/>
              </w:rPr>
              <w:br w:type="page"/>
              <w:t>1999</w: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26</w:t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br w:type="page"/>
              <w:t>NA</w:t>
            </w:r>
            <w:r>
              <w:rPr>
                <w:rFonts w:cs="Arial"/>
                <w:color w:val="000000"/>
                <w:szCs w:val="18"/>
              </w:rPr>
              <w:br w:type="page"/>
            </w:r>
            <w:r>
              <w:rPr>
                <w:rFonts w:cs="Arial"/>
                <w:color w:val="000000"/>
                <w:szCs w:val="18"/>
              </w:rPr>
              <w:br w:type="page"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br w:type="page"/>
              <w:t xml:space="preserve">Katon et al., </w:t>
            </w:r>
            <w:r>
              <w:rPr>
                <w:rFonts w:cs="Arial"/>
                <w:color w:val="000000"/>
                <w:szCs w:val="18"/>
              </w:rPr>
              <w:br w:type="page"/>
              <w:t>2002</w: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27</w:t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br w:type="page"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NA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Mean number of visits to a non-study mental health specialist in group-model HMO</w:t>
            </w:r>
            <w:r>
              <w:rPr>
                <w:rFonts w:cs="Arial"/>
                <w:color w:val="000000"/>
                <w:szCs w:val="18"/>
              </w:rPr>
              <w:br/>
            </w:r>
            <w:r>
              <w:rPr>
                <w:rFonts w:cs="Arial"/>
                <w:color w:val="000000"/>
                <w:szCs w:val="18"/>
              </w:rPr>
              <w:br/>
              <w:t>(Reported in 9123)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Measured at 12-weeks &amp; 6 months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Not indicated; likely to be self-report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NR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 w:rsidRPr="00250877">
              <w:rPr>
                <w:rFonts w:cs="Arial"/>
                <w:b/>
                <w:color w:val="000000"/>
                <w:szCs w:val="18"/>
              </w:rPr>
              <w:t>At 12-wks:</w:t>
            </w:r>
            <w:r>
              <w:rPr>
                <w:rFonts w:cs="Arial"/>
                <w:color w:val="000000"/>
                <w:szCs w:val="18"/>
              </w:rPr>
              <w:br/>
              <w:t>G1: 0.6 (1.7)</w:t>
            </w:r>
            <w:r>
              <w:rPr>
                <w:rFonts w:cs="Arial"/>
                <w:color w:val="000000"/>
                <w:szCs w:val="18"/>
              </w:rPr>
              <w:br/>
              <w:t>G2: 0.8 (1.9)</w:t>
            </w:r>
            <w:r>
              <w:rPr>
                <w:rFonts w:cs="Arial"/>
                <w:color w:val="000000"/>
                <w:szCs w:val="18"/>
              </w:rPr>
              <w:br/>
              <w:t>p: 0.34</w:t>
            </w:r>
            <w:r>
              <w:rPr>
                <w:rFonts w:cs="Arial"/>
                <w:color w:val="000000"/>
                <w:szCs w:val="18"/>
              </w:rPr>
              <w:br/>
            </w:r>
            <w:r>
              <w:rPr>
                <w:rFonts w:cs="Arial"/>
                <w:color w:val="000000"/>
                <w:szCs w:val="18"/>
              </w:rPr>
              <w:br/>
            </w:r>
            <w:r w:rsidRPr="00250877">
              <w:rPr>
                <w:rFonts w:cs="Arial"/>
                <w:b/>
                <w:color w:val="000000"/>
                <w:szCs w:val="18"/>
              </w:rPr>
              <w:t>At 6-mos</w:t>
            </w:r>
            <w:r>
              <w:rPr>
                <w:rFonts w:cs="Arial"/>
                <w:color w:val="000000"/>
                <w:szCs w:val="18"/>
              </w:rPr>
              <w:t>.</w:t>
            </w:r>
            <w:r>
              <w:rPr>
                <w:rFonts w:cs="Arial"/>
                <w:color w:val="000000"/>
                <w:szCs w:val="18"/>
              </w:rPr>
              <w:br/>
              <w:t>G1: 1.3 (2.9)</w:t>
            </w:r>
            <w:r>
              <w:rPr>
                <w:rFonts w:cs="Arial"/>
                <w:color w:val="000000"/>
                <w:szCs w:val="18"/>
              </w:rPr>
              <w:br/>
              <w:t>G2: 1.3 (2.9)</w:t>
            </w:r>
            <w:r>
              <w:rPr>
                <w:rFonts w:cs="Arial"/>
                <w:color w:val="000000"/>
                <w:szCs w:val="18"/>
              </w:rPr>
              <w:br/>
              <w:t xml:space="preserve">p: 0.85 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Katon et al., 1996</w: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25</w:t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br/>
              <w:t>NA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Visits with primary care physician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6-month period after the primary care referral visit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Medical records</w:t>
            </w:r>
          </w:p>
        </w:tc>
        <w:tc>
          <w:tcPr>
            <w:tcW w:w="1440" w:type="dxa"/>
            <w:hideMark/>
          </w:tcPr>
          <w:p w:rsidR="008B7429" w:rsidRPr="00943F48" w:rsidRDefault="008B7429" w:rsidP="00D95774">
            <w:pPr>
              <w:rPr>
                <w:rFonts w:cs="Arial"/>
                <w:iCs/>
                <w:color w:val="000000"/>
                <w:szCs w:val="18"/>
              </w:rPr>
            </w:pPr>
            <w:r>
              <w:rPr>
                <w:rFonts w:cs="Arial"/>
                <w:iCs/>
                <w:color w:val="000000"/>
                <w:szCs w:val="18"/>
              </w:rPr>
              <w:t>NR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Mean (SD)</w:t>
            </w:r>
            <w:r>
              <w:rPr>
                <w:rFonts w:cs="Arial"/>
                <w:color w:val="000000"/>
                <w:szCs w:val="18"/>
              </w:rPr>
              <w:br/>
              <w:t>G1: 4.6 (2.6)</w:t>
            </w:r>
            <w:r>
              <w:rPr>
                <w:rFonts w:cs="Arial"/>
                <w:color w:val="000000"/>
                <w:szCs w:val="18"/>
              </w:rPr>
              <w:br/>
              <w:t>G2: 4.1 (2)</w:t>
            </w:r>
            <w:r>
              <w:rPr>
                <w:rFonts w:cs="Arial"/>
                <w:color w:val="000000"/>
                <w:szCs w:val="18"/>
              </w:rPr>
              <w:br/>
              <w:t>p: 0.19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br w:type="page"/>
              <w:t>Murray et al., 2007</w: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 w:rsidR="00FC1D7C">
              <w:rPr>
                <w:rFonts w:cs="Arial"/>
                <w:color w:val="000000"/>
                <w:szCs w:val="18"/>
              </w:rPr>
            </w:r>
            <w:r w:rsidR="00FC1D7C">
              <w:rPr>
                <w:rFonts w:cs="Arial"/>
                <w:color w:val="000000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36</w:t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br w:type="page"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NA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Heart failure-related combined ED visits and hospitalizations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Timeframe: 30 days. Assessed via monthly telephone interviews x 12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Ascertained through monthly interviews, confirmed (?) by medical record review by an RN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122</w:t>
            </w:r>
            <w:r>
              <w:rPr>
                <w:rFonts w:cs="Arial"/>
                <w:szCs w:val="18"/>
              </w:rPr>
              <w:br/>
              <w:t>G2: 192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0.40 mean (1.47 SD)</w:t>
            </w:r>
            <w:r>
              <w:rPr>
                <w:rFonts w:cs="Arial"/>
                <w:szCs w:val="18"/>
              </w:rPr>
              <w:br/>
              <w:t>G2: 0.44 mean (1.79 SD)</w:t>
            </w:r>
            <w:r>
              <w:rPr>
                <w:rFonts w:cs="Arial"/>
                <w:szCs w:val="18"/>
              </w:rPr>
              <w:br/>
              <w:t xml:space="preserve">IRR 1.00 </w:t>
            </w:r>
            <w:r>
              <w:rPr>
                <w:rFonts w:cs="Arial"/>
                <w:szCs w:val="18"/>
              </w:rPr>
              <w:br/>
              <w:t>(95% CI 0.36</w:t>
            </w:r>
            <w:r>
              <w:rPr>
                <w:rFonts w:cs="Arial"/>
                <w:color w:val="000000"/>
                <w:szCs w:val="18"/>
              </w:rPr>
              <w:t xml:space="preserve"> to </w:t>
            </w:r>
            <w:r>
              <w:rPr>
                <w:rFonts w:cs="Arial"/>
                <w:szCs w:val="18"/>
              </w:rPr>
              <w:t>2.77)</w:t>
            </w:r>
            <w:r>
              <w:rPr>
                <w:rFonts w:cs="Arial"/>
                <w:szCs w:val="18"/>
              </w:rPr>
              <w:br/>
              <w:t>p: NR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Rich et al., 1996</w:t>
            </w:r>
            <w:r w:rsidR="00FC1D7C">
              <w:rPr>
                <w:rFonts w:cs="Arial"/>
                <w:color w:val="000000"/>
                <w:szCs w:val="18"/>
              </w:rPr>
              <w:fldChar w:fldCharType="begin"/>
            </w:r>
            <w:r>
              <w:rPr>
                <w:rFonts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FC1D7C">
              <w:rPr>
                <w:rFonts w:cs="Arial"/>
                <w:color w:val="000000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color w:val="000000"/>
                <w:szCs w:val="18"/>
                <w:vertAlign w:val="superscript"/>
              </w:rPr>
              <w:t>42</w:t>
            </w:r>
            <w:r w:rsidR="00FC1D7C"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br w:type="page"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NA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Days of hospitalization from readmissions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Measured during 90 days following discharge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NR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G1: 80</w:t>
            </w:r>
            <w:r>
              <w:rPr>
                <w:rFonts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G1: 188</w:t>
            </w:r>
            <w:r>
              <w:rPr>
                <w:rFonts w:cs="Arial"/>
                <w:color w:val="000000"/>
                <w:szCs w:val="18"/>
              </w:rPr>
              <w:br/>
              <w:t>G2: 258</w:t>
            </w:r>
            <w:r>
              <w:rPr>
                <w:rFonts w:cs="Arial"/>
                <w:color w:val="000000"/>
                <w:szCs w:val="18"/>
              </w:rPr>
              <w:br/>
              <w:t>95% CI, NR</w:t>
            </w:r>
            <w:r>
              <w:rPr>
                <w:rFonts w:cs="Arial"/>
                <w:color w:val="000000"/>
                <w:szCs w:val="18"/>
              </w:rPr>
              <w:br/>
              <w:t>p: NS, no # given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Ross et al., 2004</w: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cs="Arial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end"/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szCs w:val="18"/>
                <w:vertAlign w:val="superscript"/>
              </w:rPr>
              <w:t>44</w:t>
            </w:r>
            <w:r w:rsidR="00FC1D7C">
              <w:rPr>
                <w:rFonts w:cs="Arial"/>
                <w:szCs w:val="18"/>
              </w:rPr>
              <w:fldChar w:fldCharType="end"/>
            </w:r>
          </w:p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NR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Number of patients with heart failure practice visits (%); Number of heart failure practice visits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NR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Chart review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G1: NR</w:t>
            </w:r>
            <w:r>
              <w:rPr>
                <w:rFonts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Number of pts: </w:t>
            </w:r>
            <w:r>
              <w:rPr>
                <w:rFonts w:cs="Arial"/>
                <w:color w:val="000000"/>
                <w:szCs w:val="18"/>
              </w:rPr>
              <w:br/>
              <w:t>G1: 50 (93%)</w:t>
            </w:r>
            <w:r>
              <w:rPr>
                <w:rFonts w:cs="Arial"/>
                <w:color w:val="000000"/>
                <w:szCs w:val="18"/>
              </w:rPr>
              <w:br/>
              <w:t>G2: 49 (92%)</w:t>
            </w:r>
            <w:r>
              <w:rPr>
                <w:rFonts w:cs="Arial"/>
                <w:color w:val="000000"/>
                <w:szCs w:val="18"/>
              </w:rPr>
              <w:br/>
              <w:t xml:space="preserve">95% CI, NR </w:t>
            </w:r>
            <w:r>
              <w:rPr>
                <w:rFonts w:cs="Arial"/>
                <w:color w:val="000000"/>
                <w:szCs w:val="18"/>
              </w:rPr>
              <w:br/>
              <w:t>p: 1.00;</w:t>
            </w:r>
            <w:r>
              <w:rPr>
                <w:rFonts w:cs="Arial"/>
                <w:color w:val="000000"/>
                <w:szCs w:val="18"/>
              </w:rPr>
              <w:br/>
            </w:r>
          </w:p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Number of visits:</w:t>
            </w:r>
            <w:r>
              <w:rPr>
                <w:rFonts w:cs="Arial"/>
                <w:color w:val="000000"/>
                <w:szCs w:val="18"/>
              </w:rPr>
              <w:br/>
              <w:t>G1: 324</w:t>
            </w:r>
            <w:r>
              <w:rPr>
                <w:rFonts w:cs="Arial"/>
                <w:color w:val="000000"/>
                <w:szCs w:val="18"/>
              </w:rPr>
              <w:br/>
              <w:t>G2: 325</w:t>
            </w:r>
            <w:r>
              <w:rPr>
                <w:rFonts w:cs="Arial"/>
                <w:color w:val="000000"/>
                <w:szCs w:val="18"/>
              </w:rPr>
              <w:br/>
              <w:t>95% CI, NR</w:t>
            </w:r>
            <w:r>
              <w:rPr>
                <w:rFonts w:cs="Arial"/>
                <w:color w:val="000000"/>
                <w:szCs w:val="18"/>
              </w:rPr>
              <w:br/>
              <w:t>p: 0.66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Solomon et al., 1998</w: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>
              <w:rPr>
                <w:rFonts w:cs="Arial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end"/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szCs w:val="18"/>
                <w:vertAlign w:val="superscript"/>
              </w:rPr>
              <w:t>54</w:t>
            </w:r>
            <w:r w:rsidR="00FC1D7C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br/>
              <w:t>NA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br/>
              <w:t>Gourley et al., 1998</w: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>
              <w:rPr>
                <w:rFonts w:cs="Arial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end"/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szCs w:val="18"/>
                <w:vertAlign w:val="superscript"/>
              </w:rPr>
              <w:t>55</w:t>
            </w:r>
            <w:r w:rsidR="00FC1D7C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br/>
              <w:t>NA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Hypertension group: contacts with "other healthcare providers" (MD, NP, PA or RN) in 4 weeks prior, compared between groups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Visit 5, at between 4 and 6 months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Self-report by patient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63</w:t>
            </w:r>
            <w:r>
              <w:rPr>
                <w:rFonts w:cs="Arial"/>
                <w:szCs w:val="18"/>
              </w:rPr>
              <w:br/>
              <w:t>G2: 61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0.59 (0.78 SD)</w:t>
            </w:r>
            <w:r>
              <w:rPr>
                <w:rFonts w:cs="Arial"/>
                <w:szCs w:val="18"/>
              </w:rPr>
              <w:br/>
              <w:t>G2: 1.0 (0.82 SD)</w:t>
            </w:r>
            <w:r>
              <w:rPr>
                <w:rFonts w:cs="Arial"/>
                <w:szCs w:val="18"/>
              </w:rPr>
              <w:br/>
              <w:t>95% CI, NR</w:t>
            </w:r>
            <w:r>
              <w:rPr>
                <w:rFonts w:cs="Arial"/>
                <w:szCs w:val="18"/>
              </w:rPr>
              <w:br/>
              <w:t>p: &lt;0.05 (one-tailed)</w:t>
            </w:r>
          </w:p>
        </w:tc>
      </w:tr>
      <w:tr w:rsidR="008B7429" w:rsidTr="00DF3D04">
        <w:trPr>
          <w:cantSplit/>
        </w:trPr>
        <w:tc>
          <w:tcPr>
            <w:tcW w:w="1839" w:type="dxa"/>
            <w:hideMark/>
          </w:tcPr>
          <w:p w:rsidR="008B7429" w:rsidRDefault="008B7429" w:rsidP="00D9577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Wilson et al., 2010</w: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cs="Arial"/>
                <w:szCs w:val="18"/>
              </w:rPr>
              <w:instrText xml:space="preserve"> ADDIN EN.CITE </w:instrText>
            </w:r>
            <w:r w:rsidR="00FC1D7C">
              <w:rPr>
                <w:rFonts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>
              <w:rPr>
                <w:rFonts w:cs="Arial"/>
                <w:szCs w:val="18"/>
              </w:rPr>
              <w:instrText xml:space="preserve"> ADDIN EN.CITE.DATA </w:instrText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end"/>
            </w:r>
            <w:r w:rsidR="00FC1D7C">
              <w:rPr>
                <w:rFonts w:cs="Arial"/>
                <w:szCs w:val="18"/>
              </w:rPr>
            </w:r>
            <w:r w:rsidR="00FC1D7C">
              <w:rPr>
                <w:rFonts w:cs="Arial"/>
                <w:szCs w:val="18"/>
              </w:rPr>
              <w:fldChar w:fldCharType="separate"/>
            </w:r>
            <w:r w:rsidRPr="000940C1">
              <w:rPr>
                <w:rFonts w:ascii="Times New Roman" w:hAnsi="Times New Roman"/>
                <w:noProof/>
                <w:szCs w:val="18"/>
                <w:vertAlign w:val="superscript"/>
              </w:rPr>
              <w:t>65</w:t>
            </w:r>
            <w:r w:rsidR="00FC1D7C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br/>
              <w:t>Better Outcomes of Asthma Treatment (BOAT)</w:t>
            </w:r>
          </w:p>
        </w:tc>
        <w:tc>
          <w:tcPr>
            <w:tcW w:w="2841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SABA use; data reported as mean equivalents acquired </w:t>
            </w:r>
          </w:p>
        </w:tc>
        <w:tc>
          <w:tcPr>
            <w:tcW w:w="261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 2</w:t>
            </w:r>
          </w:p>
        </w:tc>
        <w:tc>
          <w:tcPr>
            <w:tcW w:w="162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Electronic pharm data</w:t>
            </w:r>
          </w:p>
        </w:tc>
        <w:tc>
          <w:tcPr>
            <w:tcW w:w="14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182</w:t>
            </w:r>
            <w:r>
              <w:rPr>
                <w:rFonts w:cs="Arial"/>
                <w:szCs w:val="18"/>
              </w:rPr>
              <w:br/>
              <w:t>G2: 180</w:t>
            </w:r>
            <w:r>
              <w:rPr>
                <w:rFonts w:cs="Arial"/>
                <w:szCs w:val="18"/>
              </w:rPr>
              <w:br/>
              <w:t>G3: 189</w:t>
            </w:r>
          </w:p>
        </w:tc>
        <w:tc>
          <w:tcPr>
            <w:tcW w:w="2340" w:type="dxa"/>
            <w:hideMark/>
          </w:tcPr>
          <w:p w:rsidR="008B7429" w:rsidRDefault="008B7429" w:rsidP="00D9577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G1: 4.7</w:t>
            </w:r>
            <w:r>
              <w:rPr>
                <w:rFonts w:cs="Arial"/>
                <w:szCs w:val="18"/>
              </w:rPr>
              <w:br/>
              <w:t>G3: 6.3</w:t>
            </w:r>
            <w:r>
              <w:rPr>
                <w:rFonts w:cs="Arial"/>
                <w:szCs w:val="18"/>
              </w:rPr>
              <w:br/>
              <w:t>p= 0.0141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br/>
              <w:t>G1: 4.7</w:t>
            </w:r>
            <w:r>
              <w:rPr>
                <w:rFonts w:cs="Arial"/>
                <w:szCs w:val="18"/>
              </w:rPr>
              <w:br/>
              <w:t>G2: 6.0</w:t>
            </w:r>
            <w:r>
              <w:rPr>
                <w:rFonts w:cs="Arial"/>
                <w:szCs w:val="18"/>
              </w:rPr>
              <w:br/>
              <w:t>p: 0.06</w:t>
            </w:r>
            <w:r>
              <w:rPr>
                <w:rFonts w:cs="Arial"/>
                <w:szCs w:val="18"/>
              </w:rPr>
              <w:br/>
            </w:r>
            <w:r>
              <w:rPr>
                <w:rFonts w:cs="Arial"/>
                <w:szCs w:val="18"/>
              </w:rPr>
              <w:br/>
              <w:t>G2: 6.0</w:t>
            </w:r>
            <w:r>
              <w:rPr>
                <w:rFonts w:cs="Arial"/>
                <w:szCs w:val="18"/>
              </w:rPr>
              <w:br/>
              <w:t>G3:6.3</w:t>
            </w:r>
            <w:r>
              <w:rPr>
                <w:rFonts w:cs="Arial"/>
                <w:szCs w:val="18"/>
              </w:rPr>
              <w:br/>
              <w:t>p: &gt;0.05</w:t>
            </w:r>
          </w:p>
        </w:tc>
      </w:tr>
    </w:tbl>
    <w:p w:rsidR="008B7429" w:rsidRDefault="008B7429" w:rsidP="00D95774"/>
    <w:sectPr w:rsidR="008B7429" w:rsidSect="00200F28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27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9F" w:rsidRDefault="001C159F">
      <w:r>
        <w:separator/>
      </w:r>
    </w:p>
  </w:endnote>
  <w:endnote w:type="continuationSeparator" w:id="0">
    <w:p w:rsidR="001C159F" w:rsidRDefault="001C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200F28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200F28">
      <w:rPr>
        <w:rFonts w:ascii="Times New Roman" w:hAnsi="Times New Roman"/>
        <w:sz w:val="24"/>
        <w:szCs w:val="24"/>
      </w:rPr>
      <w:t>D</w:t>
    </w:r>
    <w:r w:rsidR="00124C78" w:rsidRPr="00200F28">
      <w:rPr>
        <w:rFonts w:ascii="Times New Roman" w:hAnsi="Times New Roman"/>
        <w:sz w:val="24"/>
        <w:szCs w:val="24"/>
      </w:rPr>
      <w:t>-</w:t>
    </w:r>
    <w:r w:rsidR="00FC1D7C" w:rsidRPr="00200F28">
      <w:rPr>
        <w:rFonts w:ascii="Times New Roman" w:hAnsi="Times New Roman"/>
        <w:b/>
        <w:sz w:val="24"/>
        <w:szCs w:val="24"/>
      </w:rPr>
      <w:fldChar w:fldCharType="begin"/>
    </w:r>
    <w:r w:rsidR="00124C78" w:rsidRPr="00200F28">
      <w:rPr>
        <w:rFonts w:ascii="Times New Roman" w:hAnsi="Times New Roman"/>
        <w:sz w:val="24"/>
        <w:szCs w:val="24"/>
      </w:rPr>
      <w:instrText xml:space="preserve"> PAGE   \* MERGEFORMAT </w:instrText>
    </w:r>
    <w:r w:rsidR="00FC1D7C" w:rsidRPr="00200F28">
      <w:rPr>
        <w:rFonts w:ascii="Times New Roman" w:hAnsi="Times New Roman"/>
        <w:b/>
        <w:sz w:val="24"/>
        <w:szCs w:val="24"/>
      </w:rPr>
      <w:fldChar w:fldCharType="separate"/>
    </w:r>
    <w:r w:rsidR="00200F28">
      <w:rPr>
        <w:rFonts w:ascii="Times New Roman" w:hAnsi="Times New Roman"/>
        <w:noProof/>
        <w:sz w:val="24"/>
        <w:szCs w:val="24"/>
      </w:rPr>
      <w:t>271</w:t>
    </w:r>
    <w:r w:rsidR="00FC1D7C" w:rsidRPr="00200F2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9F" w:rsidRDefault="001C159F">
      <w:r>
        <w:separator/>
      </w:r>
    </w:p>
  </w:footnote>
  <w:footnote w:type="continuationSeparator" w:id="0">
    <w:p w:rsidR="001C159F" w:rsidRDefault="001C1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59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0F28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1D7C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C244A-B773-47B5-AA1B-008E5B00F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8BBD0-B719-41F2-AD6D-C67B9428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4393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2012-09-29T06:34:00Z</dcterms:created>
  <dcterms:modified xsi:type="dcterms:W3CDTF">2012-09-29T13:27:00Z</dcterms:modified>
</cp:coreProperties>
</file>