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625156" w:rsidRDefault="008B7429" w:rsidP="00625156">
      <w:pPr>
        <w:pStyle w:val="TableTitle"/>
      </w:pPr>
      <w:r w:rsidRPr="00625156">
        <w:t>Table D35. Quality of life outcomes 1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638"/>
        <w:gridCol w:w="2430"/>
        <w:gridCol w:w="2430"/>
        <w:gridCol w:w="2160"/>
        <w:gridCol w:w="1440"/>
        <w:gridCol w:w="2880"/>
      </w:tblGrid>
      <w:tr w:rsidR="008B7429" w:rsidRPr="00625156" w:rsidTr="00625156">
        <w:trPr>
          <w:cnfStyle w:val="100000000000"/>
          <w:cantSplit/>
          <w:tblHeader/>
        </w:trPr>
        <w:tc>
          <w:tcPr>
            <w:tcW w:w="1638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Quality of life 1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216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625156" w:rsidTr="00625156">
        <w:trPr>
          <w:cantSplit/>
        </w:trPr>
        <w:tc>
          <w:tcPr>
            <w:tcW w:w="1638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Asthma quality of life questionnaire - Total; higher scores indicate better quality of life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measured at baseline and at week 10; time frame of measure NR</w:t>
            </w:r>
          </w:p>
        </w:tc>
        <w:tc>
          <w:tcPr>
            <w:tcW w:w="216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Asthma quality of life questionnaire (AQLQ)</w:t>
            </w:r>
          </w:p>
        </w:tc>
        <w:tc>
          <w:tcPr>
            <w:tcW w:w="144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25</w:t>
            </w:r>
            <w:r w:rsidRPr="00625156">
              <w:rPr>
                <w:rFonts w:ascii="Arial" w:hAnsi="Arial" w:cs="Arial"/>
                <w:szCs w:val="18"/>
              </w:rPr>
              <w:br/>
              <w:t>G2: 25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b/>
                <w:szCs w:val="18"/>
              </w:rPr>
              <w:t>Mean change in AQLQ scores</w:t>
            </w:r>
            <w:r w:rsidRPr="00625156">
              <w:rPr>
                <w:rFonts w:ascii="Arial" w:hAnsi="Arial" w:cs="Arial"/>
                <w:szCs w:val="18"/>
              </w:rPr>
              <w:br/>
              <w:t>G1: 0.152 (0.92)</w:t>
            </w:r>
            <w:r w:rsidRPr="00625156">
              <w:rPr>
                <w:rFonts w:ascii="Arial" w:hAnsi="Arial" w:cs="Arial"/>
                <w:szCs w:val="18"/>
              </w:rPr>
              <w:br/>
              <w:t xml:space="preserve">G2: 0.381 (1.06) </w:t>
            </w:r>
            <w:r w:rsidRPr="00625156">
              <w:rPr>
                <w:rFonts w:ascii="Arial" w:hAnsi="Arial" w:cs="Arial"/>
                <w:szCs w:val="18"/>
              </w:rPr>
              <w:br/>
              <w:t xml:space="preserve">95% CI, </w:t>
            </w:r>
            <w:r w:rsidRPr="00625156">
              <w:rPr>
                <w:rFonts w:ascii="Arial" w:hAnsi="Arial" w:cs="Arial"/>
                <w:szCs w:val="18"/>
              </w:rPr>
              <w:br/>
              <w:t>p: .419</w:t>
            </w:r>
          </w:p>
        </w:tc>
      </w:tr>
      <w:tr w:rsidR="008B7429" w:rsidRPr="00625156" w:rsidTr="00625156">
        <w:trPr>
          <w:cantSplit/>
        </w:trPr>
        <w:tc>
          <w:tcPr>
            <w:tcW w:w="163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 xml:space="preserve">Janson et al.,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2009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Mean change in Quality of life score (range0-80; lower scores mean higher quality):During intervention(T0-T1), following intervention (T1-T2), and for entire study duration (T0-T2)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frequency not reported; assume once at the end of each time period; </w:t>
            </w:r>
          </w:p>
        </w:tc>
        <w:tc>
          <w:tcPr>
            <w:tcW w:w="216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validated self-competed questionnaire</w:t>
            </w:r>
          </w:p>
        </w:tc>
        <w:tc>
          <w:tcPr>
            <w:tcW w:w="144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45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G2: 39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625156">
              <w:rPr>
                <w:rFonts w:ascii="Arial" w:hAnsi="Arial" w:cs="Arial"/>
                <w:b/>
                <w:szCs w:val="18"/>
              </w:rPr>
              <w:t>T0-T1</w:t>
            </w:r>
            <w:r w:rsidRPr="00625156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-2.71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-1.39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p: 0.36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b/>
                <w:szCs w:val="18"/>
              </w:rPr>
            </w:pPr>
            <w:r w:rsidRPr="00625156">
              <w:rPr>
                <w:rFonts w:ascii="Arial" w:hAnsi="Arial" w:cs="Arial"/>
                <w:b/>
                <w:szCs w:val="18"/>
              </w:rPr>
              <w:t>T1-T2</w:t>
            </w:r>
            <w:r w:rsidRPr="00625156">
              <w:rPr>
                <w:rFonts w:ascii="Arial" w:hAnsi="Arial" w:cs="Arial"/>
                <w:b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G1: -1.11 </w:t>
            </w:r>
            <w:r w:rsidRPr="00625156">
              <w:rPr>
                <w:rFonts w:ascii="Arial" w:hAnsi="Arial" w:cs="Arial"/>
                <w:szCs w:val="18"/>
              </w:rPr>
              <w:br w:type="page"/>
              <w:t>G2: 0.58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95% CI, 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p: .27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b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b/>
                <w:szCs w:val="18"/>
              </w:rPr>
              <w:t>T0-T2</w:t>
            </w:r>
            <w:r w:rsidRPr="00625156">
              <w:rPr>
                <w:rFonts w:ascii="Arial" w:hAnsi="Arial" w:cs="Arial"/>
                <w:szCs w:val="18"/>
              </w:rPr>
              <w:t>: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G1: -3.82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G2: -0.80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p: 0.06</w:t>
            </w:r>
          </w:p>
        </w:tc>
      </w:tr>
      <w:tr w:rsidR="008B7429" w:rsidRPr="00625156" w:rsidTr="00625156">
        <w:trPr>
          <w:cantSplit/>
        </w:trPr>
        <w:tc>
          <w:tcPr>
            <w:tcW w:w="163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43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Quality of life at week 7; between group difference in change from baseline to final visit at week 7 (95% CI)</w:t>
            </w:r>
          </w:p>
        </w:tc>
        <w:tc>
          <w:tcPr>
            <w:tcW w:w="243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assessed at baseline and week 7; time frame not reported</w:t>
            </w:r>
          </w:p>
        </w:tc>
        <w:tc>
          <w:tcPr>
            <w:tcW w:w="216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44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88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17 (9)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19 (13)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Between group difference: 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-4.4 (-9 to 0.2) , p=0.06</w:t>
            </w:r>
          </w:p>
        </w:tc>
      </w:tr>
      <w:tr w:rsidR="008B7429" w:rsidRPr="00625156" w:rsidTr="00625156">
        <w:trPr>
          <w:cantSplit/>
        </w:trPr>
        <w:tc>
          <w:tcPr>
            <w:tcW w:w="163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Murray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2007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103944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Improved Disease-specific QOL from baseline to 6 months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Timeframe unclear; measured at baseline and 6 months; 6 mos b/t measures</w:t>
            </w:r>
          </w:p>
        </w:tc>
        <w:tc>
          <w:tcPr>
            <w:tcW w:w="216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CHF questionnaire</w:t>
            </w:r>
          </w:p>
        </w:tc>
        <w:tc>
          <w:tcPr>
            <w:tcW w:w="144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0.28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G2: 0.21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0.52</w:t>
            </w:r>
          </w:p>
        </w:tc>
      </w:tr>
      <w:tr w:rsidR="008B7429" w:rsidRPr="00625156" w:rsidTr="00625156">
        <w:trPr>
          <w:cantSplit/>
        </w:trPr>
        <w:tc>
          <w:tcPr>
            <w:tcW w:w="1638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Wilson et al., </w:t>
            </w:r>
            <w:r w:rsidRPr="00625156">
              <w:rPr>
                <w:rFonts w:ascii="Arial" w:hAnsi="Arial" w:cs="Arial"/>
                <w:szCs w:val="18"/>
              </w:rPr>
              <w:br w:type="page"/>
              <w:t>2010</w:t>
            </w:r>
            <w:r w:rsidR="00103944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103944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103944" w:rsidRPr="00625156">
              <w:rPr>
                <w:rFonts w:ascii="Arial" w:hAnsi="Arial" w:cs="Arial"/>
                <w:szCs w:val="18"/>
              </w:rPr>
            </w:r>
            <w:r w:rsidR="00103944" w:rsidRPr="00625156">
              <w:rPr>
                <w:rFonts w:ascii="Arial" w:hAnsi="Arial" w:cs="Arial"/>
                <w:szCs w:val="18"/>
              </w:rPr>
              <w:fldChar w:fldCharType="end"/>
            </w:r>
            <w:r w:rsidR="00103944" w:rsidRPr="00625156">
              <w:rPr>
                <w:rFonts w:ascii="Arial" w:hAnsi="Arial" w:cs="Arial"/>
                <w:szCs w:val="18"/>
              </w:rPr>
            </w:r>
            <w:r w:rsidR="00103944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103944" w:rsidRPr="00625156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Better Outcomes of Asthma Treatment (BOAT)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Asthma-related quality of life survey results - consists of ﬁve-item Symptom Subscale of the</w:t>
            </w:r>
            <w:r w:rsidRPr="00625156">
              <w:rPr>
                <w:rFonts w:ascii="Arial" w:hAnsi="Arial" w:cs="Arial"/>
                <w:szCs w:val="18"/>
              </w:rPr>
              <w:br w:type="page"/>
              <w:t>Juniper Mini Asthma Quality of Life Questionnaire</w:t>
            </w:r>
          </w:p>
        </w:tc>
        <w:tc>
          <w:tcPr>
            <w:tcW w:w="243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administered at baseline and end of follow-up year 1; questions refer to previous 2 weeks ; data reported as mean symptom subscale scores</w:t>
            </w:r>
          </w:p>
        </w:tc>
        <w:tc>
          <w:tcPr>
            <w:tcW w:w="216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144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182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G2: 180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G3: 189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5.5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G3: 5.1;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p= 0.0003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5.5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5.4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p: &gt;.05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5.4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G3: 5.1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p: .0009</w:t>
            </w:r>
          </w:p>
        </w:tc>
      </w:tr>
    </w:tbl>
    <w:p w:rsidR="00124C78" w:rsidRDefault="00124C78" w:rsidP="00581EC4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C6" w:rsidRDefault="00E347C6">
      <w:r>
        <w:separator/>
      </w:r>
    </w:p>
  </w:endnote>
  <w:endnote w:type="continuationSeparator" w:id="0">
    <w:p w:rsidR="00E347C6" w:rsidRDefault="00E3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927DCC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927DCC">
      <w:rPr>
        <w:rFonts w:ascii="Times New Roman" w:hAnsi="Times New Roman"/>
        <w:sz w:val="24"/>
        <w:szCs w:val="24"/>
      </w:rPr>
      <w:t>D</w:t>
    </w:r>
    <w:r w:rsidR="00124C78" w:rsidRPr="00927DCC">
      <w:rPr>
        <w:rFonts w:ascii="Times New Roman" w:hAnsi="Times New Roman"/>
        <w:sz w:val="24"/>
        <w:szCs w:val="24"/>
      </w:rPr>
      <w:t>-</w:t>
    </w:r>
    <w:r w:rsidR="00581EC4" w:rsidRPr="00927DCC">
      <w:rPr>
        <w:rFonts w:ascii="Times New Roman" w:hAnsi="Times New Roman"/>
        <w:sz w:val="24"/>
        <w:szCs w:val="24"/>
      </w:rPr>
      <w:t>262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C6" w:rsidRDefault="00E347C6">
      <w:r>
        <w:separator/>
      </w:r>
    </w:p>
  </w:footnote>
  <w:footnote w:type="continuationSeparator" w:id="0">
    <w:p w:rsidR="00E347C6" w:rsidRDefault="00E34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03944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1EC4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02D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27DCC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591F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347C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E19EE-D5D9-4E16-B1C2-F402CE920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02D18-65F2-4AED-87F9-9D0AB5037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E899D-09E5-4AA5-A560-30EC0445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2133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2012-10-01T06:56:00Z</dcterms:modified>
</cp:coreProperties>
</file>