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D18</w:t>
      </w:r>
      <w:r w:rsidRPr="00873D10">
        <w:t xml:space="preserve">. Intervention components, </w:t>
      </w:r>
      <w:r w:rsidRPr="00BD07D2">
        <w:t>part</w:t>
      </w:r>
      <w:r w:rsidRPr="00873D10">
        <w:t xml:space="preserve"> 2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ook w:val="04A0"/>
      </w:tblPr>
      <w:tblGrid>
        <w:gridCol w:w="2140"/>
        <w:gridCol w:w="1367"/>
        <w:gridCol w:w="1367"/>
        <w:gridCol w:w="1630"/>
        <w:gridCol w:w="1662"/>
        <w:gridCol w:w="1367"/>
        <w:gridCol w:w="1739"/>
        <w:gridCol w:w="1688"/>
      </w:tblGrid>
      <w:tr w:rsidR="008B7429" w:rsidRPr="00073B05" w:rsidTr="00460473">
        <w:trPr>
          <w:cnfStyle w:val="100000000000"/>
          <w:cantSplit/>
          <w:tblHeader/>
        </w:trPr>
        <w:tc>
          <w:tcPr>
            <w:tcW w:w="2140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1367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 xml:space="preserve">Social Influence </w:t>
            </w:r>
          </w:p>
        </w:tc>
        <w:tc>
          <w:tcPr>
            <w:tcW w:w="1367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 xml:space="preserve">Targets Attitudes </w:t>
            </w:r>
          </w:p>
        </w:tc>
        <w:tc>
          <w:tcPr>
            <w:tcW w:w="1630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>Self-efficacy</w:t>
            </w:r>
          </w:p>
        </w:tc>
        <w:tc>
          <w:tcPr>
            <w:tcW w:w="1662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 xml:space="preserve">Specify Other Self-Efficacy Components </w:t>
            </w:r>
          </w:p>
        </w:tc>
        <w:tc>
          <w:tcPr>
            <w:tcW w:w="1367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>Intention Formation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 xml:space="preserve">Action control </w:t>
            </w:r>
          </w:p>
        </w:tc>
        <w:tc>
          <w:tcPr>
            <w:tcW w:w="1688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Cs/>
                <w:color w:val="000000"/>
                <w:szCs w:val="18"/>
              </w:rPr>
              <w:t xml:space="preserve">Maintenance 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Bender et al., 2010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Berg et al., 1997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Berger et al., 2005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Bogner et al., 2008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Bosworth et al., 2005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V-STITCH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Bosworth et al., 2008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TCYB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Bosworth et al., 2007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TCYB Methods paper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Capoccia et al., 2004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Carter et al., 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Chernew et al., 2008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Choudhry et al., 2011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MI FREEE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Choudhry et al., 2010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Fulmer et al., 1999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Grant et al., 2003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Guthrie et al., 2001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First Myocardial Infarction (MI) Risk Reduction Program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Hoffman et al., 2003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Hunt et al., 2008</w: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Janson et al., 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Provided information about the participant's level of temptation for not adhering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Katon et al.,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2001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Ludman et al., 2003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Van Korff et al., 2003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Patients taught self-monitoring strategies; taught to identify and proactively plan for situations that would likely lead to relapse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Lin et al., 2006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Maciejewski et al., 2010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Mann et al., 2010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The Statin Choice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Murray et al., 2007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Prescription-taking skills were assessed and addressed as needed; Coping responses including education and facilitation with RNs and MDs was provided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Nietert et al., 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Okeke et al., 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Pearce et al., 2008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Powell et al., 1995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Powers et al., 2011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Pyne et al., 2011</w: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instruction in self-management (e.g., encouraging patients to exercise and participate in social activities)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Rickles et al., 2005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Ross et al., 2004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br w:type="page"/>
              <w:t>Rudd et al., 2004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45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Rudd et al., 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Schaffer et al., 2004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Schectman et al., 1994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Schnipper et al., 2006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Simon et al., 2006</w: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Sledge et al., 2006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52#2608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Uncertain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Smith et al., 2008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Solomon et al., 1998</w: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  <w:r w:rsidRPr="00073B05">
              <w:rPr>
                <w:rFonts w:ascii="Arial" w:hAnsi="Arial" w:cs="Arial"/>
                <w:szCs w:val="18"/>
              </w:rPr>
              <w:br/>
            </w:r>
            <w:r w:rsidRPr="00073B05">
              <w:rPr>
                <w:rFonts w:ascii="Arial" w:hAnsi="Arial" w:cs="Arial"/>
                <w:szCs w:val="18"/>
              </w:rPr>
              <w:br/>
              <w:t>Gourley et al., 1998</w: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Stacy et al., 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Taylor et al., 2003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Vivian et al., 2002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Waalen et al.,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Wakefield et al., 2011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Weinberger et al., 2002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61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Weymiller et al., 2007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Williams et al., 2010</w: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Wilson et al., 2010</w: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szCs w:val="18"/>
              </w:rPr>
            </w:r>
            <w:r w:rsidR="00031CD9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031CD9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Better Outcomes of Asthma Treatment (BOAT); Note that there is online supplemental material for methods and timeline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Wolever et al., 2010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66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214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Zhang et al., 2010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031CD9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3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6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73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68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</w:tbl>
    <w:p w:rsidR="008B7429" w:rsidRDefault="008B7429" w:rsidP="00D95774">
      <w:pPr>
        <w:rPr>
          <w:rFonts w:ascii="Arial" w:hAnsi="Arial" w:cs="Arial"/>
          <w:sz w:val="18"/>
          <w:szCs w:val="18"/>
        </w:rPr>
      </w:pPr>
    </w:p>
    <w:sectPr w:rsidR="008B7429" w:rsidSect="003663EF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19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1A" w:rsidRDefault="00576E1A">
      <w:r>
        <w:separator/>
      </w:r>
    </w:p>
  </w:endnote>
  <w:endnote w:type="continuationSeparator" w:id="0">
    <w:p w:rsidR="00576E1A" w:rsidRDefault="0057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3663EF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3663EF">
      <w:rPr>
        <w:rFonts w:ascii="Times New Roman" w:hAnsi="Times New Roman"/>
        <w:sz w:val="24"/>
        <w:szCs w:val="24"/>
      </w:rPr>
      <w:t>D</w:t>
    </w:r>
    <w:r w:rsidR="00124C78" w:rsidRPr="003663EF">
      <w:rPr>
        <w:rFonts w:ascii="Times New Roman" w:hAnsi="Times New Roman"/>
        <w:sz w:val="24"/>
        <w:szCs w:val="24"/>
      </w:rPr>
      <w:t>-</w:t>
    </w:r>
    <w:r w:rsidR="00031CD9" w:rsidRPr="003663EF">
      <w:rPr>
        <w:rFonts w:ascii="Times New Roman" w:hAnsi="Times New Roman"/>
        <w:b/>
        <w:sz w:val="24"/>
        <w:szCs w:val="24"/>
      </w:rPr>
      <w:fldChar w:fldCharType="begin"/>
    </w:r>
    <w:r w:rsidR="00124C78" w:rsidRPr="003663EF">
      <w:rPr>
        <w:rFonts w:ascii="Times New Roman" w:hAnsi="Times New Roman"/>
        <w:sz w:val="24"/>
        <w:szCs w:val="24"/>
      </w:rPr>
      <w:instrText xml:space="preserve"> PAGE   \* MERGEFORMAT </w:instrText>
    </w:r>
    <w:r w:rsidR="00031CD9" w:rsidRPr="003663EF">
      <w:rPr>
        <w:rFonts w:ascii="Times New Roman" w:hAnsi="Times New Roman"/>
        <w:b/>
        <w:sz w:val="24"/>
        <w:szCs w:val="24"/>
      </w:rPr>
      <w:fldChar w:fldCharType="separate"/>
    </w:r>
    <w:r w:rsidR="003663EF">
      <w:rPr>
        <w:rFonts w:ascii="Times New Roman" w:hAnsi="Times New Roman"/>
        <w:noProof/>
        <w:sz w:val="24"/>
        <w:szCs w:val="24"/>
      </w:rPr>
      <w:t>199</w:t>
    </w:r>
    <w:r w:rsidR="00031CD9" w:rsidRPr="003663E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1A" w:rsidRDefault="00576E1A">
      <w:r>
        <w:separator/>
      </w:r>
    </w:p>
  </w:footnote>
  <w:footnote w:type="continuationSeparator" w:id="0">
    <w:p w:rsidR="00576E1A" w:rsidRDefault="00576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1CD9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3EF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76E1A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4F925-CAC4-4B17-9916-B37828977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3456AC-96CC-469A-9A88-52F178F6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28727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2012-09-29T13:05:00Z</dcterms:created>
  <dcterms:modified xsi:type="dcterms:W3CDTF">2012-09-29T13:05:00Z</dcterms:modified>
</cp:coreProperties>
</file>